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82604" w14:textId="7CF769E9" w:rsidR="007361D6" w:rsidRPr="0037298A" w:rsidRDefault="007361D6" w:rsidP="0037298A">
      <w:pPr>
        <w:pStyle w:val="NotforContentsheading1"/>
      </w:pPr>
      <w:bookmarkStart w:id="0" w:name="_GoBack"/>
      <w:bookmarkEnd w:id="0"/>
      <w:r w:rsidRPr="0037298A">
        <w:t>Regulatory impact statement</w:t>
      </w:r>
      <w:r w:rsidR="00F64CD9">
        <w:t xml:space="preserve">: </w:t>
      </w:r>
      <w:r w:rsidR="00C90C6B">
        <w:t>Passport validity period</w:t>
      </w:r>
    </w:p>
    <w:p w14:paraId="7E382606" w14:textId="77777777" w:rsidR="007361D6" w:rsidRPr="00B302E6" w:rsidRDefault="007361D6" w:rsidP="00B302E6">
      <w:pPr>
        <w:pStyle w:val="NotforContentsheading2"/>
      </w:pPr>
      <w:r w:rsidRPr="00B302E6">
        <w:t>Agency disclosure statement</w:t>
      </w:r>
    </w:p>
    <w:p w14:paraId="70D4DA32" w14:textId="77777777" w:rsidR="0014205F" w:rsidRPr="001C0C30" w:rsidRDefault="0014205F" w:rsidP="0014205F">
      <w:r>
        <w:t>This regulatory impact statement (RIS) has been prepared by the Department of Internal Affairs.</w:t>
      </w:r>
    </w:p>
    <w:p w14:paraId="30C391F2" w14:textId="77777777" w:rsidR="0014205F" w:rsidRDefault="0014205F" w:rsidP="0014205F">
      <w:r>
        <w:t>The passport validity period is currently set at five years. This RIS analyses two options for increasing the validity period to:</w:t>
      </w:r>
    </w:p>
    <w:p w14:paraId="59C2CC66" w14:textId="77777777" w:rsidR="0014205F" w:rsidRDefault="0014205F" w:rsidP="0014205F">
      <w:pPr>
        <w:pStyle w:val="Bullet"/>
      </w:pPr>
      <w:r w:rsidRPr="00EB1A87">
        <w:t>five years and nine months</w:t>
      </w:r>
      <w:r>
        <w:t xml:space="preserve"> on renewal for adults and children: this would implement an August 2013 Cabinet decision; or</w:t>
      </w:r>
    </w:p>
    <w:p w14:paraId="21285CF1" w14:textId="77777777" w:rsidR="0014205F" w:rsidRDefault="0014205F" w:rsidP="0014205F">
      <w:pPr>
        <w:pStyle w:val="Bullet"/>
      </w:pPr>
      <w:r>
        <w:t>ten years for adults: this would reinstate the situation before 2005, when the five year term was introduced.</w:t>
      </w:r>
    </w:p>
    <w:p w14:paraId="3703DDD5" w14:textId="77777777" w:rsidR="0014205F" w:rsidRDefault="0014205F" w:rsidP="0014205F">
      <w:r>
        <w:t xml:space="preserve">The statement’s analysis is structured in two parts. Part One weighs up the two options from the perspectives of security and risk, and takes account of convenience for passport holders. The paper concludes that there is little substantive difference between the two options, with the five year and nine month period providing marginally more security, and the ten year period providing marginally more convenience. </w:t>
      </w:r>
    </w:p>
    <w:p w14:paraId="2A61FF62" w14:textId="77777777" w:rsidR="0014205F" w:rsidRDefault="0014205F" w:rsidP="0014205F">
      <w:r>
        <w:t xml:space="preserve">Part Two provides initial analysis about how a ten year passport might be funded. This focuses on whether the current funding model (full cost recovery) should be retained, or whether partial Crown funding is warranted. After Cabinet decides on the appropriate validity period, the Department will develop detailed funding options (including the cost to the Crown and passport holders).  </w:t>
      </w:r>
    </w:p>
    <w:p w14:paraId="0C8F25A0" w14:textId="2540A065" w:rsidR="0014205F" w:rsidRDefault="00F64CD9" w:rsidP="0014205F">
      <w:r w:rsidRPr="008A5214">
        <w:t xml:space="preserve">While the Department has assessed the impact of different options on </w:t>
      </w:r>
      <w:r>
        <w:t>citizens and the government, the analysis in this RIS is constrained by:</w:t>
      </w:r>
    </w:p>
    <w:p w14:paraId="0E712B5D" w14:textId="447F8D52" w:rsidR="000F5213" w:rsidRDefault="000F5213" w:rsidP="008A5214">
      <w:pPr>
        <w:pStyle w:val="Bullet"/>
      </w:pPr>
      <w:r>
        <w:t>limited quantitative data about New Zealanders</w:t>
      </w:r>
      <w:r w:rsidR="00F64CD9">
        <w:t>’ preferences for passport validity</w:t>
      </w:r>
      <w:r w:rsidR="007E50A5">
        <w:t xml:space="preserve"> and how those preferences change at different price points</w:t>
      </w:r>
      <w:r w:rsidR="00F64CD9">
        <w:t>;</w:t>
      </w:r>
    </w:p>
    <w:p w14:paraId="2CB69BC4" w14:textId="2A68F3CD" w:rsidR="00BB4D5A" w:rsidRDefault="00F64CD9" w:rsidP="008A5214">
      <w:pPr>
        <w:pStyle w:val="Bullet"/>
      </w:pPr>
      <w:r>
        <w:t>inability to properly assess low likelihood risks with hard-to-gauge consequences</w:t>
      </w:r>
      <w:r w:rsidR="00BB4D5A">
        <w:t>;</w:t>
      </w:r>
    </w:p>
    <w:p w14:paraId="7833B011" w14:textId="77777777" w:rsidR="00BB4D5A" w:rsidRDefault="00BB4D5A" w:rsidP="00BB4D5A">
      <w:pPr>
        <w:pStyle w:val="Bullet"/>
      </w:pPr>
      <w:r>
        <w:t>difficulties in conducting modelling on some options lead to narrowing of options considered within the timeframes provided; and</w:t>
      </w:r>
    </w:p>
    <w:p w14:paraId="54A93811" w14:textId="71F6636D" w:rsidR="00F64CD9" w:rsidRDefault="00BB4D5A" w:rsidP="008A5214">
      <w:pPr>
        <w:pStyle w:val="Bullet"/>
      </w:pPr>
      <w:r>
        <w:t>public consultation on the options and their implications has not taken place</w:t>
      </w:r>
      <w:r w:rsidR="00F64CD9">
        <w:t>.</w:t>
      </w:r>
    </w:p>
    <w:tbl>
      <w:tblPr>
        <w:tblStyle w:val="Blanktable"/>
        <w:tblW w:w="0" w:type="auto"/>
        <w:tblLayout w:type="fixed"/>
        <w:tblLook w:val="04A0" w:firstRow="1" w:lastRow="0" w:firstColumn="1" w:lastColumn="0" w:noHBand="0" w:noVBand="1"/>
      </w:tblPr>
      <w:tblGrid>
        <w:gridCol w:w="454"/>
        <w:gridCol w:w="170"/>
        <w:gridCol w:w="454"/>
        <w:gridCol w:w="170"/>
        <w:gridCol w:w="680"/>
        <w:gridCol w:w="6430"/>
      </w:tblGrid>
      <w:tr w:rsidR="007361D6" w:rsidRPr="00934303" w14:paraId="7E38260C" w14:textId="77777777" w:rsidTr="00FB0E14">
        <w:trPr>
          <w:cantSplit/>
        </w:trPr>
        <w:tc>
          <w:tcPr>
            <w:tcW w:w="8358" w:type="dxa"/>
            <w:gridSpan w:val="6"/>
            <w:tcMar>
              <w:left w:w="0" w:type="dxa"/>
            </w:tcMar>
          </w:tcPr>
          <w:p w14:paraId="7D2FC0CA" w14:textId="77777777" w:rsidR="0014205F" w:rsidRDefault="0014205F" w:rsidP="00FB0E14">
            <w:pPr>
              <w:pStyle w:val="Spacer"/>
            </w:pPr>
          </w:p>
          <w:p w14:paraId="03670A09" w14:textId="716E5453" w:rsidR="009C7872" w:rsidRDefault="009C7872" w:rsidP="00FB0E14">
            <w:pPr>
              <w:pStyle w:val="Spacer"/>
            </w:pPr>
          </w:p>
          <w:p w14:paraId="56E04EE2" w14:textId="77777777" w:rsidR="009C7872" w:rsidRDefault="009C7872" w:rsidP="00FB0E14">
            <w:pPr>
              <w:pStyle w:val="Spacer"/>
            </w:pPr>
          </w:p>
          <w:p w14:paraId="7E38260B" w14:textId="2DA86038" w:rsidR="007361D6" w:rsidRPr="00934303" w:rsidRDefault="00777E0D" w:rsidP="00FB0E14">
            <w:pPr>
              <w:pStyle w:val="Spacer"/>
            </w:pPr>
            <w:r>
              <w:t>Steve Waldegrave</w:t>
            </w:r>
          </w:p>
        </w:tc>
      </w:tr>
      <w:tr w:rsidR="007361D6" w:rsidRPr="00934303" w14:paraId="7E38260E" w14:textId="77777777" w:rsidTr="00FB0E14">
        <w:trPr>
          <w:cantSplit/>
        </w:trPr>
        <w:tc>
          <w:tcPr>
            <w:tcW w:w="8358" w:type="dxa"/>
            <w:gridSpan w:val="6"/>
            <w:tcMar>
              <w:left w:w="0" w:type="dxa"/>
            </w:tcMar>
          </w:tcPr>
          <w:p w14:paraId="7E38260D" w14:textId="1F370234" w:rsidR="007361D6" w:rsidRPr="00934303" w:rsidRDefault="00777E0D" w:rsidP="005C56CB">
            <w:pPr>
              <w:pStyle w:val="Spacer"/>
            </w:pPr>
            <w:r>
              <w:t>General Manager Policy</w:t>
            </w:r>
          </w:p>
        </w:tc>
      </w:tr>
      <w:tr w:rsidR="007361D6" w:rsidRPr="00934303" w14:paraId="7E382615" w14:textId="77777777" w:rsidTr="00B84E9B">
        <w:trPr>
          <w:cantSplit/>
          <w:trHeight w:hRule="exact" w:val="567"/>
        </w:trPr>
        <w:tc>
          <w:tcPr>
            <w:tcW w:w="454" w:type="dxa"/>
            <w:tcBorders>
              <w:bottom w:val="single" w:sz="6" w:space="0" w:color="auto"/>
            </w:tcBorders>
            <w:tcMar>
              <w:left w:w="57" w:type="dxa"/>
              <w:right w:w="57" w:type="dxa"/>
            </w:tcMar>
            <w:vAlign w:val="bottom"/>
          </w:tcPr>
          <w:p w14:paraId="7E38260F" w14:textId="77777777" w:rsidR="007361D6" w:rsidRPr="00934303" w:rsidRDefault="007361D6" w:rsidP="00B84E9B">
            <w:pPr>
              <w:pStyle w:val="Spacer"/>
            </w:pPr>
          </w:p>
        </w:tc>
        <w:tc>
          <w:tcPr>
            <w:tcW w:w="170" w:type="dxa"/>
            <w:tcBorders>
              <w:bottom w:val="single" w:sz="6" w:space="0" w:color="auto"/>
            </w:tcBorders>
            <w:tcMar>
              <w:left w:w="57" w:type="dxa"/>
              <w:right w:w="57" w:type="dxa"/>
            </w:tcMar>
            <w:vAlign w:val="bottom"/>
          </w:tcPr>
          <w:p w14:paraId="7E382610" w14:textId="77777777" w:rsidR="007361D6" w:rsidRPr="00934303" w:rsidRDefault="007361D6" w:rsidP="00B84E9B">
            <w:pPr>
              <w:pStyle w:val="Spacer"/>
            </w:pPr>
            <w:r>
              <w:t>/</w:t>
            </w:r>
          </w:p>
        </w:tc>
        <w:tc>
          <w:tcPr>
            <w:tcW w:w="454" w:type="dxa"/>
            <w:tcBorders>
              <w:bottom w:val="single" w:sz="6" w:space="0" w:color="auto"/>
            </w:tcBorders>
            <w:tcMar>
              <w:left w:w="57" w:type="dxa"/>
              <w:right w:w="57" w:type="dxa"/>
            </w:tcMar>
            <w:vAlign w:val="bottom"/>
          </w:tcPr>
          <w:p w14:paraId="7E382611" w14:textId="77777777" w:rsidR="007361D6" w:rsidRPr="00934303" w:rsidRDefault="007361D6" w:rsidP="00B84E9B">
            <w:pPr>
              <w:pStyle w:val="Spacer"/>
            </w:pPr>
          </w:p>
        </w:tc>
        <w:tc>
          <w:tcPr>
            <w:tcW w:w="170" w:type="dxa"/>
            <w:tcBorders>
              <w:bottom w:val="single" w:sz="6" w:space="0" w:color="auto"/>
            </w:tcBorders>
            <w:tcMar>
              <w:left w:w="57" w:type="dxa"/>
              <w:right w:w="57" w:type="dxa"/>
            </w:tcMar>
            <w:vAlign w:val="bottom"/>
          </w:tcPr>
          <w:p w14:paraId="7E382612" w14:textId="77777777" w:rsidR="007361D6" w:rsidRPr="00934303" w:rsidRDefault="007361D6" w:rsidP="00B84E9B">
            <w:pPr>
              <w:pStyle w:val="Spacer"/>
            </w:pPr>
            <w:r>
              <w:t>/</w:t>
            </w:r>
          </w:p>
        </w:tc>
        <w:tc>
          <w:tcPr>
            <w:tcW w:w="680" w:type="dxa"/>
            <w:tcBorders>
              <w:bottom w:val="single" w:sz="6" w:space="0" w:color="auto"/>
            </w:tcBorders>
            <w:tcMar>
              <w:left w:w="57" w:type="dxa"/>
              <w:right w:w="57" w:type="dxa"/>
            </w:tcMar>
            <w:vAlign w:val="bottom"/>
          </w:tcPr>
          <w:p w14:paraId="7E382613" w14:textId="77777777" w:rsidR="007361D6" w:rsidRPr="00934303" w:rsidRDefault="007361D6" w:rsidP="00B84E9B">
            <w:pPr>
              <w:pStyle w:val="Spacer"/>
            </w:pPr>
          </w:p>
        </w:tc>
        <w:tc>
          <w:tcPr>
            <w:tcW w:w="6430" w:type="dxa"/>
            <w:tcMar>
              <w:left w:w="57" w:type="dxa"/>
              <w:right w:w="57" w:type="dxa"/>
            </w:tcMar>
            <w:vAlign w:val="bottom"/>
          </w:tcPr>
          <w:p w14:paraId="7E382614" w14:textId="77777777" w:rsidR="007361D6" w:rsidRPr="00934303" w:rsidRDefault="007361D6" w:rsidP="00B84E9B">
            <w:pPr>
              <w:pStyle w:val="Spacer"/>
            </w:pPr>
          </w:p>
        </w:tc>
      </w:tr>
    </w:tbl>
    <w:p w14:paraId="7E382617" w14:textId="77777777" w:rsidR="00B84E9B" w:rsidRDefault="00B84E9B" w:rsidP="00B84E9B">
      <w:r>
        <w:br w:type="page"/>
      </w:r>
    </w:p>
    <w:p w14:paraId="7E382618" w14:textId="77777777" w:rsidR="0037298A" w:rsidRDefault="0037298A" w:rsidP="0037298A">
      <w:pPr>
        <w:pStyle w:val="NotforContentsheading2"/>
      </w:pPr>
      <w:r>
        <w:lastRenderedPageBreak/>
        <w:t>Contents</w:t>
      </w:r>
    </w:p>
    <w:p w14:paraId="44F08BBA" w14:textId="77777777" w:rsidR="00894B67" w:rsidRDefault="00473E2F">
      <w:pPr>
        <w:pStyle w:val="TOC1"/>
        <w:rPr>
          <w:rFonts w:asciiTheme="minorHAnsi" w:eastAsiaTheme="minorEastAsia" w:hAnsiTheme="minorHAnsi" w:cstheme="minorBidi"/>
          <w:noProof/>
          <w:color w:val="auto"/>
          <w:sz w:val="22"/>
          <w:szCs w:val="22"/>
          <w:lang w:eastAsia="en-NZ"/>
        </w:rPr>
      </w:pPr>
      <w:r>
        <w:rPr>
          <w:noProof/>
        </w:rPr>
        <w:fldChar w:fldCharType="begin"/>
      </w:r>
      <w:r>
        <w:rPr>
          <w:noProof/>
        </w:rPr>
        <w:instrText xml:space="preserve"> TOC \o "1-2" \h \z \u </w:instrText>
      </w:r>
      <w:r>
        <w:rPr>
          <w:noProof/>
        </w:rPr>
        <w:fldChar w:fldCharType="separate"/>
      </w:r>
      <w:hyperlink w:anchor="_Toc413227664" w:history="1">
        <w:r w:rsidR="00894B67" w:rsidRPr="009119F6">
          <w:rPr>
            <w:rStyle w:val="Hyperlink"/>
            <w:bCs/>
            <w:noProof/>
          </w:rPr>
          <w:t>Executive summary</w:t>
        </w:r>
        <w:r w:rsidR="00894B67">
          <w:rPr>
            <w:noProof/>
            <w:webHidden/>
          </w:rPr>
          <w:tab/>
        </w:r>
        <w:r w:rsidR="00894B67">
          <w:rPr>
            <w:noProof/>
            <w:webHidden/>
          </w:rPr>
          <w:fldChar w:fldCharType="begin"/>
        </w:r>
        <w:r w:rsidR="00894B67">
          <w:rPr>
            <w:noProof/>
            <w:webHidden/>
          </w:rPr>
          <w:instrText xml:space="preserve"> PAGEREF _Toc413227664 \h </w:instrText>
        </w:r>
        <w:r w:rsidR="00894B67">
          <w:rPr>
            <w:noProof/>
            <w:webHidden/>
          </w:rPr>
        </w:r>
        <w:r w:rsidR="00894B67">
          <w:rPr>
            <w:noProof/>
            <w:webHidden/>
          </w:rPr>
          <w:fldChar w:fldCharType="separate"/>
        </w:r>
        <w:r w:rsidR="008204CF">
          <w:rPr>
            <w:noProof/>
            <w:webHidden/>
          </w:rPr>
          <w:t>3</w:t>
        </w:r>
        <w:r w:rsidR="00894B67">
          <w:rPr>
            <w:noProof/>
            <w:webHidden/>
          </w:rPr>
          <w:fldChar w:fldCharType="end"/>
        </w:r>
      </w:hyperlink>
    </w:p>
    <w:p w14:paraId="5B2D37F5" w14:textId="77777777" w:rsidR="00894B67" w:rsidRDefault="00B765DD">
      <w:pPr>
        <w:pStyle w:val="TOC1"/>
        <w:rPr>
          <w:rFonts w:asciiTheme="minorHAnsi" w:eastAsiaTheme="minorEastAsia" w:hAnsiTheme="minorHAnsi" w:cstheme="minorBidi"/>
          <w:noProof/>
          <w:color w:val="auto"/>
          <w:sz w:val="22"/>
          <w:szCs w:val="22"/>
          <w:lang w:eastAsia="en-NZ"/>
        </w:rPr>
      </w:pPr>
      <w:hyperlink w:anchor="_Toc413227665" w:history="1">
        <w:r w:rsidR="00894B67" w:rsidRPr="009119F6">
          <w:rPr>
            <w:rStyle w:val="Hyperlink"/>
            <w:bCs/>
            <w:noProof/>
          </w:rPr>
          <w:t>Context</w:t>
        </w:r>
        <w:r w:rsidR="00894B67">
          <w:rPr>
            <w:noProof/>
            <w:webHidden/>
          </w:rPr>
          <w:tab/>
        </w:r>
        <w:r w:rsidR="00894B67">
          <w:rPr>
            <w:noProof/>
            <w:webHidden/>
          </w:rPr>
          <w:fldChar w:fldCharType="begin"/>
        </w:r>
        <w:r w:rsidR="00894B67">
          <w:rPr>
            <w:noProof/>
            <w:webHidden/>
          </w:rPr>
          <w:instrText xml:space="preserve"> PAGEREF _Toc413227665 \h </w:instrText>
        </w:r>
        <w:r w:rsidR="00894B67">
          <w:rPr>
            <w:noProof/>
            <w:webHidden/>
          </w:rPr>
        </w:r>
        <w:r w:rsidR="00894B67">
          <w:rPr>
            <w:noProof/>
            <w:webHidden/>
          </w:rPr>
          <w:fldChar w:fldCharType="separate"/>
        </w:r>
        <w:r w:rsidR="008204CF">
          <w:rPr>
            <w:noProof/>
            <w:webHidden/>
          </w:rPr>
          <w:t>3</w:t>
        </w:r>
        <w:r w:rsidR="00894B67">
          <w:rPr>
            <w:noProof/>
            <w:webHidden/>
          </w:rPr>
          <w:fldChar w:fldCharType="end"/>
        </w:r>
      </w:hyperlink>
    </w:p>
    <w:p w14:paraId="48E27C82" w14:textId="77777777" w:rsidR="00894B67" w:rsidRDefault="00B765DD">
      <w:pPr>
        <w:pStyle w:val="TOC1"/>
        <w:rPr>
          <w:rFonts w:asciiTheme="minorHAnsi" w:eastAsiaTheme="minorEastAsia" w:hAnsiTheme="minorHAnsi" w:cstheme="minorBidi"/>
          <w:noProof/>
          <w:color w:val="auto"/>
          <w:sz w:val="22"/>
          <w:szCs w:val="22"/>
          <w:lang w:eastAsia="en-NZ"/>
        </w:rPr>
      </w:pPr>
      <w:hyperlink w:anchor="_Toc413227668" w:history="1">
        <w:r w:rsidR="00894B67" w:rsidRPr="009119F6">
          <w:rPr>
            <w:rStyle w:val="Hyperlink"/>
            <w:bCs/>
            <w:noProof/>
          </w:rPr>
          <w:t>Status quo</w:t>
        </w:r>
        <w:r w:rsidR="00894B67">
          <w:rPr>
            <w:noProof/>
            <w:webHidden/>
          </w:rPr>
          <w:tab/>
        </w:r>
        <w:r w:rsidR="00894B67">
          <w:rPr>
            <w:noProof/>
            <w:webHidden/>
          </w:rPr>
          <w:fldChar w:fldCharType="begin"/>
        </w:r>
        <w:r w:rsidR="00894B67">
          <w:rPr>
            <w:noProof/>
            <w:webHidden/>
          </w:rPr>
          <w:instrText xml:space="preserve"> PAGEREF _Toc413227668 \h </w:instrText>
        </w:r>
        <w:r w:rsidR="00894B67">
          <w:rPr>
            <w:noProof/>
            <w:webHidden/>
          </w:rPr>
        </w:r>
        <w:r w:rsidR="00894B67">
          <w:rPr>
            <w:noProof/>
            <w:webHidden/>
          </w:rPr>
          <w:fldChar w:fldCharType="separate"/>
        </w:r>
        <w:r w:rsidR="008204CF">
          <w:rPr>
            <w:noProof/>
            <w:webHidden/>
          </w:rPr>
          <w:t>5</w:t>
        </w:r>
        <w:r w:rsidR="00894B67">
          <w:rPr>
            <w:noProof/>
            <w:webHidden/>
          </w:rPr>
          <w:fldChar w:fldCharType="end"/>
        </w:r>
      </w:hyperlink>
    </w:p>
    <w:p w14:paraId="6C6FA9C6" w14:textId="77777777" w:rsidR="00894B67" w:rsidRDefault="00B765DD">
      <w:pPr>
        <w:pStyle w:val="TOC1"/>
        <w:rPr>
          <w:rFonts w:asciiTheme="minorHAnsi" w:eastAsiaTheme="minorEastAsia" w:hAnsiTheme="minorHAnsi" w:cstheme="minorBidi"/>
          <w:noProof/>
          <w:color w:val="auto"/>
          <w:sz w:val="22"/>
          <w:szCs w:val="22"/>
          <w:lang w:eastAsia="en-NZ"/>
        </w:rPr>
      </w:pPr>
      <w:hyperlink w:anchor="_Toc413227671" w:history="1">
        <w:r w:rsidR="00894B67" w:rsidRPr="009119F6">
          <w:rPr>
            <w:rStyle w:val="Hyperlink"/>
            <w:bCs/>
            <w:noProof/>
          </w:rPr>
          <w:t>Assumptions and limitations on analysis</w:t>
        </w:r>
        <w:r w:rsidR="00894B67">
          <w:rPr>
            <w:noProof/>
            <w:webHidden/>
          </w:rPr>
          <w:tab/>
        </w:r>
        <w:r w:rsidR="00894B67">
          <w:rPr>
            <w:noProof/>
            <w:webHidden/>
          </w:rPr>
          <w:fldChar w:fldCharType="begin"/>
        </w:r>
        <w:r w:rsidR="00894B67">
          <w:rPr>
            <w:noProof/>
            <w:webHidden/>
          </w:rPr>
          <w:instrText xml:space="preserve"> PAGEREF _Toc413227671 \h </w:instrText>
        </w:r>
        <w:r w:rsidR="00894B67">
          <w:rPr>
            <w:noProof/>
            <w:webHidden/>
          </w:rPr>
        </w:r>
        <w:r w:rsidR="00894B67">
          <w:rPr>
            <w:noProof/>
            <w:webHidden/>
          </w:rPr>
          <w:fldChar w:fldCharType="separate"/>
        </w:r>
        <w:r w:rsidR="008204CF">
          <w:rPr>
            <w:noProof/>
            <w:webHidden/>
          </w:rPr>
          <w:t>6</w:t>
        </w:r>
        <w:r w:rsidR="00894B67">
          <w:rPr>
            <w:noProof/>
            <w:webHidden/>
          </w:rPr>
          <w:fldChar w:fldCharType="end"/>
        </w:r>
      </w:hyperlink>
    </w:p>
    <w:p w14:paraId="12D0FEDA" w14:textId="77777777" w:rsidR="00894B67" w:rsidRDefault="00B765DD">
      <w:pPr>
        <w:pStyle w:val="TOC1"/>
        <w:rPr>
          <w:rFonts w:asciiTheme="minorHAnsi" w:eastAsiaTheme="minorEastAsia" w:hAnsiTheme="minorHAnsi" w:cstheme="minorBidi"/>
          <w:noProof/>
          <w:color w:val="auto"/>
          <w:sz w:val="22"/>
          <w:szCs w:val="22"/>
          <w:lang w:eastAsia="en-NZ"/>
        </w:rPr>
      </w:pPr>
      <w:hyperlink w:anchor="_Toc413227672" w:history="1">
        <w:r w:rsidR="00894B67" w:rsidRPr="009119F6">
          <w:rPr>
            <w:rStyle w:val="Hyperlink"/>
            <w:bCs/>
            <w:noProof/>
          </w:rPr>
          <w:t>Problem definition</w:t>
        </w:r>
        <w:r w:rsidR="00894B67">
          <w:rPr>
            <w:noProof/>
            <w:webHidden/>
          </w:rPr>
          <w:tab/>
        </w:r>
        <w:r w:rsidR="00894B67">
          <w:rPr>
            <w:noProof/>
            <w:webHidden/>
          </w:rPr>
          <w:fldChar w:fldCharType="begin"/>
        </w:r>
        <w:r w:rsidR="00894B67">
          <w:rPr>
            <w:noProof/>
            <w:webHidden/>
          </w:rPr>
          <w:instrText xml:space="preserve"> PAGEREF _Toc413227672 \h </w:instrText>
        </w:r>
        <w:r w:rsidR="00894B67">
          <w:rPr>
            <w:noProof/>
            <w:webHidden/>
          </w:rPr>
        </w:r>
        <w:r w:rsidR="00894B67">
          <w:rPr>
            <w:noProof/>
            <w:webHidden/>
          </w:rPr>
          <w:fldChar w:fldCharType="separate"/>
        </w:r>
        <w:r w:rsidR="008204CF">
          <w:rPr>
            <w:noProof/>
            <w:webHidden/>
          </w:rPr>
          <w:t>7</w:t>
        </w:r>
        <w:r w:rsidR="00894B67">
          <w:rPr>
            <w:noProof/>
            <w:webHidden/>
          </w:rPr>
          <w:fldChar w:fldCharType="end"/>
        </w:r>
      </w:hyperlink>
    </w:p>
    <w:p w14:paraId="76CDB6A7" w14:textId="5C02A16B" w:rsidR="00894B67" w:rsidRDefault="00B765DD">
      <w:pPr>
        <w:pStyle w:val="TOC1"/>
        <w:tabs>
          <w:tab w:val="left" w:pos="1701"/>
        </w:tabs>
        <w:rPr>
          <w:rFonts w:asciiTheme="minorHAnsi" w:eastAsiaTheme="minorEastAsia" w:hAnsiTheme="minorHAnsi" w:cstheme="minorBidi"/>
          <w:noProof/>
          <w:color w:val="auto"/>
          <w:sz w:val="22"/>
          <w:szCs w:val="22"/>
          <w:lang w:eastAsia="en-NZ"/>
        </w:rPr>
      </w:pPr>
      <w:hyperlink w:anchor="_Toc413227673" w:history="1">
        <w:r w:rsidR="00894B67" w:rsidRPr="009119F6">
          <w:rPr>
            <w:rStyle w:val="Hyperlink"/>
            <w:noProof/>
          </w:rPr>
          <w:t>Part One: Validity Analysis</w:t>
        </w:r>
        <w:r w:rsidR="00894B67">
          <w:rPr>
            <w:noProof/>
            <w:webHidden/>
          </w:rPr>
          <w:tab/>
        </w:r>
        <w:r w:rsidR="00894B67">
          <w:rPr>
            <w:noProof/>
            <w:webHidden/>
          </w:rPr>
          <w:fldChar w:fldCharType="begin"/>
        </w:r>
        <w:r w:rsidR="00894B67">
          <w:rPr>
            <w:noProof/>
            <w:webHidden/>
          </w:rPr>
          <w:instrText xml:space="preserve"> PAGEREF _Toc413227673 \h </w:instrText>
        </w:r>
        <w:r w:rsidR="00894B67">
          <w:rPr>
            <w:noProof/>
            <w:webHidden/>
          </w:rPr>
        </w:r>
        <w:r w:rsidR="00894B67">
          <w:rPr>
            <w:noProof/>
            <w:webHidden/>
          </w:rPr>
          <w:fldChar w:fldCharType="separate"/>
        </w:r>
        <w:r w:rsidR="008204CF">
          <w:rPr>
            <w:noProof/>
            <w:webHidden/>
          </w:rPr>
          <w:t>7</w:t>
        </w:r>
        <w:r w:rsidR="00894B67">
          <w:rPr>
            <w:noProof/>
            <w:webHidden/>
          </w:rPr>
          <w:fldChar w:fldCharType="end"/>
        </w:r>
      </w:hyperlink>
    </w:p>
    <w:p w14:paraId="4CE50D1E" w14:textId="77777777" w:rsidR="00894B67" w:rsidRDefault="00B765DD">
      <w:pPr>
        <w:pStyle w:val="TOC1"/>
        <w:rPr>
          <w:rFonts w:asciiTheme="minorHAnsi" w:eastAsiaTheme="minorEastAsia" w:hAnsiTheme="minorHAnsi" w:cstheme="minorBidi"/>
          <w:noProof/>
          <w:color w:val="auto"/>
          <w:sz w:val="22"/>
          <w:szCs w:val="22"/>
          <w:lang w:eastAsia="en-NZ"/>
        </w:rPr>
      </w:pPr>
      <w:hyperlink w:anchor="_Toc413227674" w:history="1">
        <w:r w:rsidR="00894B67" w:rsidRPr="009119F6">
          <w:rPr>
            <w:rStyle w:val="Hyperlink"/>
            <w:noProof/>
          </w:rPr>
          <w:t>Objectives and Criteria</w:t>
        </w:r>
        <w:r w:rsidR="00894B67">
          <w:rPr>
            <w:noProof/>
            <w:webHidden/>
          </w:rPr>
          <w:tab/>
        </w:r>
        <w:r w:rsidR="00894B67">
          <w:rPr>
            <w:noProof/>
            <w:webHidden/>
          </w:rPr>
          <w:fldChar w:fldCharType="begin"/>
        </w:r>
        <w:r w:rsidR="00894B67">
          <w:rPr>
            <w:noProof/>
            <w:webHidden/>
          </w:rPr>
          <w:instrText xml:space="preserve"> PAGEREF _Toc413227674 \h </w:instrText>
        </w:r>
        <w:r w:rsidR="00894B67">
          <w:rPr>
            <w:noProof/>
            <w:webHidden/>
          </w:rPr>
        </w:r>
        <w:r w:rsidR="00894B67">
          <w:rPr>
            <w:noProof/>
            <w:webHidden/>
          </w:rPr>
          <w:fldChar w:fldCharType="separate"/>
        </w:r>
        <w:r w:rsidR="008204CF">
          <w:rPr>
            <w:noProof/>
            <w:webHidden/>
          </w:rPr>
          <w:t>7</w:t>
        </w:r>
        <w:r w:rsidR="00894B67">
          <w:rPr>
            <w:noProof/>
            <w:webHidden/>
          </w:rPr>
          <w:fldChar w:fldCharType="end"/>
        </w:r>
      </w:hyperlink>
    </w:p>
    <w:p w14:paraId="0A3519AF" w14:textId="77777777" w:rsidR="00894B67" w:rsidRDefault="00B765DD">
      <w:pPr>
        <w:pStyle w:val="TOC1"/>
        <w:rPr>
          <w:rFonts w:asciiTheme="minorHAnsi" w:eastAsiaTheme="minorEastAsia" w:hAnsiTheme="minorHAnsi" w:cstheme="minorBidi"/>
          <w:noProof/>
          <w:color w:val="auto"/>
          <w:sz w:val="22"/>
          <w:szCs w:val="22"/>
          <w:lang w:eastAsia="en-NZ"/>
        </w:rPr>
      </w:pPr>
      <w:hyperlink w:anchor="_Toc413227675" w:history="1">
        <w:r w:rsidR="00894B67" w:rsidRPr="009119F6">
          <w:rPr>
            <w:rStyle w:val="Hyperlink"/>
            <w:noProof/>
          </w:rPr>
          <w:t>Options</w:t>
        </w:r>
        <w:r w:rsidR="00894B67">
          <w:rPr>
            <w:noProof/>
            <w:webHidden/>
          </w:rPr>
          <w:tab/>
        </w:r>
        <w:r w:rsidR="00894B67">
          <w:rPr>
            <w:noProof/>
            <w:webHidden/>
          </w:rPr>
          <w:fldChar w:fldCharType="begin"/>
        </w:r>
        <w:r w:rsidR="00894B67">
          <w:rPr>
            <w:noProof/>
            <w:webHidden/>
          </w:rPr>
          <w:instrText xml:space="preserve"> PAGEREF _Toc413227675 \h </w:instrText>
        </w:r>
        <w:r w:rsidR="00894B67">
          <w:rPr>
            <w:noProof/>
            <w:webHidden/>
          </w:rPr>
        </w:r>
        <w:r w:rsidR="00894B67">
          <w:rPr>
            <w:noProof/>
            <w:webHidden/>
          </w:rPr>
          <w:fldChar w:fldCharType="separate"/>
        </w:r>
        <w:r w:rsidR="008204CF">
          <w:rPr>
            <w:noProof/>
            <w:webHidden/>
          </w:rPr>
          <w:t>8</w:t>
        </w:r>
        <w:r w:rsidR="00894B67">
          <w:rPr>
            <w:noProof/>
            <w:webHidden/>
          </w:rPr>
          <w:fldChar w:fldCharType="end"/>
        </w:r>
      </w:hyperlink>
    </w:p>
    <w:p w14:paraId="4F51E10F" w14:textId="6BF7610E" w:rsidR="00894B67" w:rsidRDefault="00B765DD">
      <w:pPr>
        <w:pStyle w:val="TOC1"/>
        <w:tabs>
          <w:tab w:val="left" w:pos="1701"/>
        </w:tabs>
        <w:rPr>
          <w:rFonts w:asciiTheme="minorHAnsi" w:eastAsiaTheme="minorEastAsia" w:hAnsiTheme="minorHAnsi" w:cstheme="minorBidi"/>
          <w:noProof/>
          <w:color w:val="auto"/>
          <w:sz w:val="22"/>
          <w:szCs w:val="22"/>
          <w:lang w:eastAsia="en-NZ"/>
        </w:rPr>
      </w:pPr>
      <w:hyperlink w:anchor="_Toc413227680" w:history="1">
        <w:r w:rsidR="00894B67" w:rsidRPr="009119F6">
          <w:rPr>
            <w:rStyle w:val="Hyperlink"/>
            <w:bCs/>
            <w:noProof/>
          </w:rPr>
          <w:t>Part Two</w:t>
        </w:r>
        <w:r w:rsidR="00F5766A">
          <w:rPr>
            <w:rStyle w:val="Hyperlink"/>
            <w:bCs/>
            <w:noProof/>
          </w:rPr>
          <w:t>:</w:t>
        </w:r>
        <w:r w:rsidR="00894B67" w:rsidRPr="009119F6">
          <w:rPr>
            <w:rStyle w:val="Hyperlink"/>
            <w:bCs/>
            <w:noProof/>
          </w:rPr>
          <w:t xml:space="preserve"> Cost implications of 10 year validity passports</w:t>
        </w:r>
        <w:r w:rsidR="00894B67">
          <w:rPr>
            <w:noProof/>
            <w:webHidden/>
          </w:rPr>
          <w:tab/>
        </w:r>
        <w:r w:rsidR="00894B67">
          <w:rPr>
            <w:noProof/>
            <w:webHidden/>
          </w:rPr>
          <w:fldChar w:fldCharType="begin"/>
        </w:r>
        <w:r w:rsidR="00894B67">
          <w:rPr>
            <w:noProof/>
            <w:webHidden/>
          </w:rPr>
          <w:instrText xml:space="preserve"> PAGEREF _Toc413227680 \h </w:instrText>
        </w:r>
        <w:r w:rsidR="00894B67">
          <w:rPr>
            <w:noProof/>
            <w:webHidden/>
          </w:rPr>
        </w:r>
        <w:r w:rsidR="00894B67">
          <w:rPr>
            <w:noProof/>
            <w:webHidden/>
          </w:rPr>
          <w:fldChar w:fldCharType="separate"/>
        </w:r>
        <w:r w:rsidR="008204CF">
          <w:rPr>
            <w:noProof/>
            <w:webHidden/>
          </w:rPr>
          <w:t>12</w:t>
        </w:r>
        <w:r w:rsidR="00894B67">
          <w:rPr>
            <w:noProof/>
            <w:webHidden/>
          </w:rPr>
          <w:fldChar w:fldCharType="end"/>
        </w:r>
      </w:hyperlink>
    </w:p>
    <w:p w14:paraId="2F83C64D" w14:textId="1CB24B80" w:rsidR="00894B67" w:rsidRDefault="00B765DD">
      <w:pPr>
        <w:pStyle w:val="TOC1"/>
        <w:rPr>
          <w:rFonts w:asciiTheme="minorHAnsi" w:eastAsiaTheme="minorEastAsia" w:hAnsiTheme="minorHAnsi" w:cstheme="minorBidi"/>
          <w:noProof/>
          <w:color w:val="auto"/>
          <w:sz w:val="22"/>
          <w:szCs w:val="22"/>
          <w:lang w:eastAsia="en-NZ"/>
        </w:rPr>
      </w:pPr>
      <w:hyperlink w:anchor="_Toc413227686" w:history="1">
        <w:r w:rsidR="00894B67" w:rsidRPr="009119F6">
          <w:rPr>
            <w:rStyle w:val="Hyperlink"/>
            <w:noProof/>
          </w:rPr>
          <w:t>Consultation</w:t>
        </w:r>
        <w:r w:rsidR="00894B67">
          <w:rPr>
            <w:noProof/>
            <w:webHidden/>
          </w:rPr>
          <w:tab/>
        </w:r>
        <w:r w:rsidR="00894B67">
          <w:rPr>
            <w:noProof/>
            <w:webHidden/>
          </w:rPr>
          <w:fldChar w:fldCharType="begin"/>
        </w:r>
        <w:r w:rsidR="00894B67">
          <w:rPr>
            <w:noProof/>
            <w:webHidden/>
          </w:rPr>
          <w:instrText xml:space="preserve"> PAGEREF _Toc413227686 \h </w:instrText>
        </w:r>
        <w:r w:rsidR="00894B67">
          <w:rPr>
            <w:noProof/>
            <w:webHidden/>
          </w:rPr>
        </w:r>
        <w:r w:rsidR="00894B67">
          <w:rPr>
            <w:noProof/>
            <w:webHidden/>
          </w:rPr>
          <w:fldChar w:fldCharType="separate"/>
        </w:r>
        <w:r w:rsidR="008204CF">
          <w:rPr>
            <w:noProof/>
            <w:webHidden/>
          </w:rPr>
          <w:t>15</w:t>
        </w:r>
        <w:r w:rsidR="00894B67">
          <w:rPr>
            <w:noProof/>
            <w:webHidden/>
          </w:rPr>
          <w:fldChar w:fldCharType="end"/>
        </w:r>
      </w:hyperlink>
    </w:p>
    <w:p w14:paraId="6D5B31E4" w14:textId="7F07368D" w:rsidR="00894B67" w:rsidRDefault="00B765DD">
      <w:pPr>
        <w:pStyle w:val="TOC1"/>
        <w:rPr>
          <w:rFonts w:asciiTheme="minorHAnsi" w:eastAsiaTheme="minorEastAsia" w:hAnsiTheme="minorHAnsi" w:cstheme="minorBidi"/>
          <w:noProof/>
          <w:color w:val="auto"/>
          <w:sz w:val="22"/>
          <w:szCs w:val="22"/>
          <w:lang w:eastAsia="en-NZ"/>
        </w:rPr>
      </w:pPr>
      <w:hyperlink w:anchor="_Toc413227687" w:history="1">
        <w:r w:rsidR="00894B67" w:rsidRPr="009119F6">
          <w:rPr>
            <w:rStyle w:val="Hyperlink"/>
            <w:noProof/>
          </w:rPr>
          <w:t>Conclusions and recommendations</w:t>
        </w:r>
        <w:r w:rsidR="00894B67">
          <w:rPr>
            <w:noProof/>
            <w:webHidden/>
          </w:rPr>
          <w:tab/>
        </w:r>
        <w:r w:rsidR="00894B67">
          <w:rPr>
            <w:noProof/>
            <w:webHidden/>
          </w:rPr>
          <w:fldChar w:fldCharType="begin"/>
        </w:r>
        <w:r w:rsidR="00894B67">
          <w:rPr>
            <w:noProof/>
            <w:webHidden/>
          </w:rPr>
          <w:instrText xml:space="preserve"> PAGEREF _Toc413227687 \h </w:instrText>
        </w:r>
        <w:r w:rsidR="00894B67">
          <w:rPr>
            <w:noProof/>
            <w:webHidden/>
          </w:rPr>
        </w:r>
        <w:r w:rsidR="00894B67">
          <w:rPr>
            <w:noProof/>
            <w:webHidden/>
          </w:rPr>
          <w:fldChar w:fldCharType="separate"/>
        </w:r>
        <w:r w:rsidR="008204CF">
          <w:rPr>
            <w:noProof/>
            <w:webHidden/>
          </w:rPr>
          <w:t>16</w:t>
        </w:r>
        <w:r w:rsidR="00894B67">
          <w:rPr>
            <w:noProof/>
            <w:webHidden/>
          </w:rPr>
          <w:fldChar w:fldCharType="end"/>
        </w:r>
      </w:hyperlink>
    </w:p>
    <w:p w14:paraId="5E95E153" w14:textId="52C4C33F" w:rsidR="00894B67" w:rsidRDefault="00B765DD">
      <w:pPr>
        <w:pStyle w:val="TOC1"/>
        <w:rPr>
          <w:rFonts w:asciiTheme="minorHAnsi" w:eastAsiaTheme="minorEastAsia" w:hAnsiTheme="minorHAnsi" w:cstheme="minorBidi"/>
          <w:noProof/>
          <w:color w:val="auto"/>
          <w:sz w:val="22"/>
          <w:szCs w:val="22"/>
          <w:lang w:eastAsia="en-NZ"/>
        </w:rPr>
      </w:pPr>
      <w:hyperlink w:anchor="_Toc413227688" w:history="1">
        <w:r w:rsidR="00894B67" w:rsidRPr="009119F6">
          <w:rPr>
            <w:rStyle w:val="Hyperlink"/>
            <w:noProof/>
          </w:rPr>
          <w:t>Implementation plan</w:t>
        </w:r>
        <w:r w:rsidR="00894B67">
          <w:rPr>
            <w:noProof/>
            <w:webHidden/>
          </w:rPr>
          <w:tab/>
        </w:r>
        <w:r w:rsidR="00894B67">
          <w:rPr>
            <w:noProof/>
            <w:webHidden/>
          </w:rPr>
          <w:fldChar w:fldCharType="begin"/>
        </w:r>
        <w:r w:rsidR="00894B67">
          <w:rPr>
            <w:noProof/>
            <w:webHidden/>
          </w:rPr>
          <w:instrText xml:space="preserve"> PAGEREF _Toc413227688 \h </w:instrText>
        </w:r>
        <w:r w:rsidR="00894B67">
          <w:rPr>
            <w:noProof/>
            <w:webHidden/>
          </w:rPr>
        </w:r>
        <w:r w:rsidR="00894B67">
          <w:rPr>
            <w:noProof/>
            <w:webHidden/>
          </w:rPr>
          <w:fldChar w:fldCharType="separate"/>
        </w:r>
        <w:r w:rsidR="008204CF">
          <w:rPr>
            <w:noProof/>
            <w:webHidden/>
          </w:rPr>
          <w:t>16</w:t>
        </w:r>
        <w:r w:rsidR="00894B67">
          <w:rPr>
            <w:noProof/>
            <w:webHidden/>
          </w:rPr>
          <w:fldChar w:fldCharType="end"/>
        </w:r>
      </w:hyperlink>
    </w:p>
    <w:p w14:paraId="40266652" w14:textId="618323AC" w:rsidR="00894B67" w:rsidRDefault="00B765DD">
      <w:pPr>
        <w:pStyle w:val="TOC1"/>
        <w:rPr>
          <w:rFonts w:asciiTheme="minorHAnsi" w:eastAsiaTheme="minorEastAsia" w:hAnsiTheme="minorHAnsi" w:cstheme="minorBidi"/>
          <w:noProof/>
          <w:color w:val="auto"/>
          <w:sz w:val="22"/>
          <w:szCs w:val="22"/>
          <w:lang w:eastAsia="en-NZ"/>
        </w:rPr>
      </w:pPr>
      <w:hyperlink w:anchor="_Toc413227691" w:history="1">
        <w:r w:rsidR="00894B67" w:rsidRPr="009119F6">
          <w:rPr>
            <w:rStyle w:val="Hyperlink"/>
            <w:noProof/>
          </w:rPr>
          <w:t>Monitoring, evaluation, and review</w:t>
        </w:r>
        <w:r w:rsidR="00894B67">
          <w:rPr>
            <w:noProof/>
            <w:webHidden/>
          </w:rPr>
          <w:tab/>
        </w:r>
        <w:r w:rsidR="00894B67">
          <w:rPr>
            <w:noProof/>
            <w:webHidden/>
          </w:rPr>
          <w:fldChar w:fldCharType="begin"/>
        </w:r>
        <w:r w:rsidR="00894B67">
          <w:rPr>
            <w:noProof/>
            <w:webHidden/>
          </w:rPr>
          <w:instrText xml:space="preserve"> PAGEREF _Toc413227691 \h </w:instrText>
        </w:r>
        <w:r w:rsidR="00894B67">
          <w:rPr>
            <w:noProof/>
            <w:webHidden/>
          </w:rPr>
        </w:r>
        <w:r w:rsidR="00894B67">
          <w:rPr>
            <w:noProof/>
            <w:webHidden/>
          </w:rPr>
          <w:fldChar w:fldCharType="separate"/>
        </w:r>
        <w:r w:rsidR="008204CF">
          <w:rPr>
            <w:noProof/>
            <w:webHidden/>
          </w:rPr>
          <w:t>16</w:t>
        </w:r>
        <w:r w:rsidR="00894B67">
          <w:rPr>
            <w:noProof/>
            <w:webHidden/>
          </w:rPr>
          <w:fldChar w:fldCharType="end"/>
        </w:r>
      </w:hyperlink>
    </w:p>
    <w:p w14:paraId="7E382622" w14:textId="77777777" w:rsidR="00264E9B" w:rsidRDefault="00473E2F" w:rsidP="00BE0F28">
      <w:r>
        <w:rPr>
          <w:noProof/>
          <w:color w:val="000000" w:themeColor="text1"/>
        </w:rPr>
        <w:fldChar w:fldCharType="end"/>
      </w:r>
      <w:r w:rsidR="00264E9B">
        <w:br w:type="page"/>
      </w:r>
    </w:p>
    <w:p w14:paraId="7E382623" w14:textId="77777777" w:rsidR="007361D6" w:rsidRPr="00665DA7" w:rsidRDefault="00264E9B" w:rsidP="00665DA7">
      <w:pPr>
        <w:pStyle w:val="Heading1"/>
        <w:rPr>
          <w:bCs/>
          <w:sz w:val="32"/>
        </w:rPr>
      </w:pPr>
      <w:bookmarkStart w:id="1" w:name="_Toc413227664"/>
      <w:r w:rsidRPr="00665DA7">
        <w:rPr>
          <w:bCs/>
          <w:sz w:val="32"/>
        </w:rPr>
        <w:lastRenderedPageBreak/>
        <w:t>Executive summary</w:t>
      </w:r>
      <w:bookmarkEnd w:id="1"/>
    </w:p>
    <w:p w14:paraId="3AF45F44" w14:textId="28052BF3" w:rsidR="00A30E32" w:rsidRPr="005C0A1F" w:rsidRDefault="0011339B" w:rsidP="0011339B">
      <w:pPr>
        <w:pStyle w:val="Numberedpara3level1"/>
        <w:rPr>
          <w:bCs/>
          <w:color w:val="000000"/>
        </w:rPr>
      </w:pPr>
      <w:r>
        <w:rPr>
          <w:bCs/>
          <w:color w:val="000000"/>
        </w:rPr>
        <w:t>This regulatory impact statement considers the implications of changing the validi</w:t>
      </w:r>
      <w:r w:rsidR="00894B67">
        <w:rPr>
          <w:bCs/>
          <w:color w:val="000000"/>
        </w:rPr>
        <w:t>ty period of adult New Zealand p</w:t>
      </w:r>
      <w:r>
        <w:rPr>
          <w:bCs/>
          <w:color w:val="000000"/>
        </w:rPr>
        <w:t>assports.</w:t>
      </w:r>
      <w:r w:rsidR="005C0A1F">
        <w:t xml:space="preserve"> </w:t>
      </w:r>
      <w:r w:rsidR="005724AA" w:rsidRPr="005C0A1F">
        <w:rPr>
          <w:bCs/>
          <w:color w:val="000000"/>
        </w:rPr>
        <w:t xml:space="preserve">In addition, current </w:t>
      </w:r>
      <w:r w:rsidR="005724AA">
        <w:rPr>
          <w:bCs/>
          <w:color w:val="000000"/>
        </w:rPr>
        <w:t xml:space="preserve">passport fees (which are </w:t>
      </w:r>
      <w:r w:rsidR="005724AA" w:rsidRPr="005C0A1F">
        <w:rPr>
          <w:bCs/>
          <w:color w:val="000000"/>
        </w:rPr>
        <w:t>below</w:t>
      </w:r>
      <w:r w:rsidR="005724AA">
        <w:rPr>
          <w:bCs/>
          <w:color w:val="000000"/>
        </w:rPr>
        <w:t xml:space="preserve"> production</w:t>
      </w:r>
      <w:r w:rsidR="005724AA" w:rsidRPr="005C0A1F">
        <w:rPr>
          <w:bCs/>
          <w:color w:val="000000"/>
        </w:rPr>
        <w:t xml:space="preserve"> costs</w:t>
      </w:r>
      <w:r w:rsidR="005724AA">
        <w:rPr>
          <w:bCs/>
          <w:color w:val="000000"/>
        </w:rPr>
        <w:t>)</w:t>
      </w:r>
      <w:r w:rsidR="005724AA" w:rsidRPr="005C0A1F">
        <w:rPr>
          <w:bCs/>
          <w:color w:val="000000"/>
        </w:rPr>
        <w:t xml:space="preserve"> </w:t>
      </w:r>
      <w:r w:rsidR="005724AA">
        <w:rPr>
          <w:bCs/>
          <w:color w:val="000000"/>
        </w:rPr>
        <w:t>are</w:t>
      </w:r>
      <w:r w:rsidR="005724AA" w:rsidRPr="005C0A1F">
        <w:rPr>
          <w:bCs/>
          <w:color w:val="000000"/>
        </w:rPr>
        <w:t xml:space="preserve"> no longer </w:t>
      </w:r>
      <w:r w:rsidR="005724AA">
        <w:rPr>
          <w:bCs/>
          <w:color w:val="000000"/>
        </w:rPr>
        <w:t>sustainable</w:t>
      </w:r>
      <w:r w:rsidR="00CB0B0B" w:rsidRPr="005C0A1F">
        <w:rPr>
          <w:bCs/>
          <w:color w:val="000000"/>
        </w:rPr>
        <w:t xml:space="preserve">. </w:t>
      </w:r>
    </w:p>
    <w:p w14:paraId="67C5B4D9" w14:textId="1B324819" w:rsidR="00CB0B0B" w:rsidRDefault="00CB0B0B" w:rsidP="00A30E32">
      <w:pPr>
        <w:pStyle w:val="Numberedpara3level1"/>
        <w:rPr>
          <w:bCs/>
          <w:color w:val="000000"/>
        </w:rPr>
      </w:pPr>
      <w:r w:rsidRPr="00CB0B0B">
        <w:rPr>
          <w:bCs/>
          <w:color w:val="000000"/>
        </w:rPr>
        <w:t xml:space="preserve">This regulatory impact assessment primarily analyses options for passport validity. </w:t>
      </w:r>
      <w:r>
        <w:rPr>
          <w:bCs/>
          <w:color w:val="000000"/>
        </w:rPr>
        <w:t>These options are:</w:t>
      </w:r>
    </w:p>
    <w:p w14:paraId="145CFEE1" w14:textId="57C9E098" w:rsidR="00CB0B0B" w:rsidRPr="001B69C8" w:rsidRDefault="00CB0B0B" w:rsidP="00CA706B">
      <w:pPr>
        <w:pStyle w:val="Numberedpara3level1"/>
        <w:numPr>
          <w:ilvl w:val="1"/>
          <w:numId w:val="26"/>
        </w:numPr>
      </w:pPr>
      <w:r w:rsidRPr="001B69C8">
        <w:t xml:space="preserve">implementing Cabinet’s </w:t>
      </w:r>
      <w:r w:rsidR="001C4191" w:rsidRPr="001B69C8">
        <w:t xml:space="preserve">August 2013 </w:t>
      </w:r>
      <w:r w:rsidRPr="001B69C8">
        <w:t xml:space="preserve">decision to extend passport validity </w:t>
      </w:r>
      <w:r w:rsidR="0011339B" w:rsidRPr="001B69C8">
        <w:t xml:space="preserve">up </w:t>
      </w:r>
      <w:r w:rsidRPr="001B69C8">
        <w:t xml:space="preserve">to </w:t>
      </w:r>
      <w:r w:rsidR="00A420CC">
        <w:t>five-</w:t>
      </w:r>
      <w:r w:rsidRPr="001B69C8">
        <w:t>year</w:t>
      </w:r>
      <w:r w:rsidR="00A62771" w:rsidRPr="001B69C8">
        <w:t>s</w:t>
      </w:r>
      <w:r w:rsidRPr="001B69C8">
        <w:t xml:space="preserve">, </w:t>
      </w:r>
      <w:r w:rsidR="00A420CC">
        <w:t>nine-</w:t>
      </w:r>
      <w:r w:rsidRPr="001B69C8">
        <w:t>months</w:t>
      </w:r>
      <w:r w:rsidR="0011339B" w:rsidRPr="001B69C8">
        <w:t xml:space="preserve"> on renewal</w:t>
      </w:r>
      <w:r w:rsidRPr="001B69C8">
        <w:t>;</w:t>
      </w:r>
      <w:r w:rsidR="00F43F38">
        <w:t xml:space="preserve"> and</w:t>
      </w:r>
    </w:p>
    <w:p w14:paraId="363D5858" w14:textId="7C27C88B" w:rsidR="00CB0B0B" w:rsidRPr="001B69C8" w:rsidRDefault="00CB0B0B" w:rsidP="00CA706B">
      <w:pPr>
        <w:pStyle w:val="Numberedpara3level1"/>
        <w:numPr>
          <w:ilvl w:val="1"/>
          <w:numId w:val="26"/>
        </w:numPr>
      </w:pPr>
      <w:r w:rsidRPr="001B69C8">
        <w:t xml:space="preserve">raising the passport validity period to </w:t>
      </w:r>
      <w:r w:rsidR="00E93881">
        <w:t>ten years</w:t>
      </w:r>
      <w:r w:rsidR="00F43F38">
        <w:t>.</w:t>
      </w:r>
    </w:p>
    <w:p w14:paraId="3772444F" w14:textId="5FC6FEC7" w:rsidR="005724AA" w:rsidRDefault="005724AA" w:rsidP="00EB70FB">
      <w:pPr>
        <w:pStyle w:val="Numberedpara3level1"/>
      </w:pPr>
      <w:r>
        <w:t>Passports fees were reduced to below production cost in November 2012 to reduce a surplus in the Passport Memorandum Account (the Account) which is used to manage passport fee income and expenditure. This surplus has been reduced and s</w:t>
      </w:r>
      <w:r w:rsidR="00CA706B">
        <w:t>hould the default option</w:t>
      </w:r>
      <w:r w:rsidR="00894B67">
        <w:t xml:space="preserve"> (that fees should be set on a cost</w:t>
      </w:r>
      <w:r>
        <w:t xml:space="preserve"> </w:t>
      </w:r>
      <w:r w:rsidR="00894B67">
        <w:t>recovery basis)</w:t>
      </w:r>
      <w:r w:rsidR="00CA706B">
        <w:t xml:space="preserve"> be retained, </w:t>
      </w:r>
      <w:r>
        <w:t>adult fees</w:t>
      </w:r>
      <w:r w:rsidR="00CA706B">
        <w:t xml:space="preserve"> would need to rise</w:t>
      </w:r>
      <w:r w:rsidR="00894B67">
        <w:t xml:space="preserve"> to an estimated $</w:t>
      </w:r>
      <w:r w:rsidR="00896E08">
        <w:t>19</w:t>
      </w:r>
      <w:r w:rsidR="00360240">
        <w:t>9</w:t>
      </w:r>
      <w:r>
        <w:t xml:space="preserve"> for a </w:t>
      </w:r>
      <w:r w:rsidR="0058230F">
        <w:t>five</w:t>
      </w:r>
      <w:r>
        <w:t>-year passport</w:t>
      </w:r>
      <w:r w:rsidR="00C6366F">
        <w:t>.</w:t>
      </w:r>
      <w:r w:rsidR="00CA706B">
        <w:t xml:space="preserve"> </w:t>
      </w:r>
      <w:r w:rsidR="00C6366F">
        <w:t>I</w:t>
      </w:r>
      <w:r w:rsidR="00CA706B">
        <w:t xml:space="preserve">f passport </w:t>
      </w:r>
      <w:r w:rsidR="00CA706B" w:rsidRPr="005724AA">
        <w:rPr>
          <w:bCs/>
          <w:color w:val="000000"/>
        </w:rPr>
        <w:t>validity</w:t>
      </w:r>
      <w:r w:rsidR="00CA706B">
        <w:t xml:space="preserve"> </w:t>
      </w:r>
      <w:r w:rsidR="00C6366F">
        <w:t>was</w:t>
      </w:r>
      <w:r w:rsidR="00CA706B">
        <w:t xml:space="preserve"> to rise to </w:t>
      </w:r>
      <w:r w:rsidR="00E93881">
        <w:t>ten</w:t>
      </w:r>
      <w:r w:rsidR="00CA706B">
        <w:t xml:space="preserve"> years, </w:t>
      </w:r>
      <w:r>
        <w:t>fees</w:t>
      </w:r>
      <w:r w:rsidR="00CA706B">
        <w:t xml:space="preserve"> would </w:t>
      </w:r>
      <w:r w:rsidR="00C6366F">
        <w:t xml:space="preserve">also </w:t>
      </w:r>
      <w:r w:rsidR="00CA706B">
        <w:t>need to rise considerably</w:t>
      </w:r>
      <w:r w:rsidR="00EB70FB">
        <w:t xml:space="preserve"> (estimated </w:t>
      </w:r>
      <w:r w:rsidR="00CA706B">
        <w:t xml:space="preserve">at $274). </w:t>
      </w:r>
    </w:p>
    <w:p w14:paraId="4C5909E4" w14:textId="35B365F6" w:rsidR="00CB0B0B" w:rsidRDefault="00CA706B" w:rsidP="00EB70FB">
      <w:pPr>
        <w:pStyle w:val="Numberedpara3level1"/>
      </w:pPr>
      <w:r>
        <w:t>This regulatory impact statement also considers</w:t>
      </w:r>
      <w:r w:rsidR="00EB70FB">
        <w:t xml:space="preserve"> </w:t>
      </w:r>
      <w:r w:rsidR="00C6366F">
        <w:t xml:space="preserve">the </w:t>
      </w:r>
      <w:r w:rsidR="00894B67">
        <w:t xml:space="preserve">cost </w:t>
      </w:r>
      <w:r w:rsidR="00C6366F">
        <w:t xml:space="preserve">implications of maintaining full cost recovery for a </w:t>
      </w:r>
      <w:r w:rsidR="00E93881">
        <w:t>ten-year</w:t>
      </w:r>
      <w:r w:rsidR="00EB70FB">
        <w:t xml:space="preserve"> validity passport and options for </w:t>
      </w:r>
      <w:r w:rsidR="00C6366F">
        <w:t xml:space="preserve">reducing prices to passport holders through </w:t>
      </w:r>
      <w:r w:rsidR="00894B67">
        <w:t xml:space="preserve">the application of </w:t>
      </w:r>
      <w:r w:rsidRPr="001B69C8">
        <w:t xml:space="preserve">Crown </w:t>
      </w:r>
      <w:r w:rsidR="00C6366F">
        <w:t xml:space="preserve">revenue </w:t>
      </w:r>
      <w:r w:rsidR="00894B67">
        <w:t>(</w:t>
      </w:r>
      <w:r w:rsidR="00EB70FB">
        <w:t xml:space="preserve">and/or </w:t>
      </w:r>
      <w:r w:rsidR="00C6366F">
        <w:t>department</w:t>
      </w:r>
      <w:r w:rsidR="00EB70FB">
        <w:t>al savings</w:t>
      </w:r>
      <w:r w:rsidR="00894B67">
        <w:t>)</w:t>
      </w:r>
      <w:r w:rsidRPr="001B69C8">
        <w:t>.</w:t>
      </w:r>
    </w:p>
    <w:p w14:paraId="47F7E116" w14:textId="4CF16F30" w:rsidR="0058230F" w:rsidRDefault="0058230F" w:rsidP="00EB70FB">
      <w:pPr>
        <w:pStyle w:val="Numberedpara3level1"/>
      </w:pPr>
      <w:r>
        <w:t xml:space="preserve">The arguments between five and ten year passports are finely balanced. On the one hand, five-year validity is likely to provide a security advantage, while ten-year validity is perceived to offer greater convenience. </w:t>
      </w:r>
    </w:p>
    <w:p w14:paraId="3C84F67A" w14:textId="0B82EB87" w:rsidR="006D0FEA" w:rsidRPr="00EB70FB" w:rsidRDefault="0058230F" w:rsidP="00EB70FB">
      <w:pPr>
        <w:pStyle w:val="Numberedpara3level1"/>
      </w:pPr>
      <w:r>
        <w:t xml:space="preserve">We do not have a preferred option on passport validity, nor do we </w:t>
      </w:r>
      <w:r w:rsidR="006D0FEA">
        <w:t>have a preferred option for the funding of ten-year passports.</w:t>
      </w:r>
      <w:r w:rsidR="006D0FEA" w:rsidRPr="006D0FEA">
        <w:t xml:space="preserve"> </w:t>
      </w:r>
      <w:r w:rsidR="008A5214">
        <w:t>The decision on whether</w:t>
      </w:r>
      <w:r w:rsidR="006D0FEA">
        <w:t xml:space="preserve"> to remain with a cost-recovery model, or provide Crown revenue to limit fee ris</w:t>
      </w:r>
      <w:r w:rsidR="008A5214">
        <w:t>es is, in our view, a decision involving political trade-offs</w:t>
      </w:r>
      <w:r w:rsidR="006D0FEA">
        <w:t xml:space="preserve"> that should be made by Cabinet.</w:t>
      </w:r>
    </w:p>
    <w:p w14:paraId="734B7BAC" w14:textId="1348A08A" w:rsidR="00A30E32" w:rsidRPr="008704E1" w:rsidRDefault="00A30E32" w:rsidP="00C6366F">
      <w:pPr>
        <w:pStyle w:val="Spacer"/>
      </w:pPr>
    </w:p>
    <w:p w14:paraId="7E382625" w14:textId="6F3E1893" w:rsidR="00264E9B" w:rsidRPr="00665DA7" w:rsidRDefault="002A4FF9" w:rsidP="00665DA7">
      <w:pPr>
        <w:pStyle w:val="Heading1"/>
        <w:rPr>
          <w:bCs/>
          <w:sz w:val="32"/>
        </w:rPr>
      </w:pPr>
      <w:bookmarkStart w:id="2" w:name="_Toc413227665"/>
      <w:r w:rsidRPr="00665DA7">
        <w:rPr>
          <w:bCs/>
          <w:sz w:val="32"/>
        </w:rPr>
        <w:t>C</w:t>
      </w:r>
      <w:r w:rsidR="00AC55F7" w:rsidRPr="00665DA7">
        <w:rPr>
          <w:bCs/>
          <w:sz w:val="32"/>
        </w:rPr>
        <w:t>ontext</w:t>
      </w:r>
      <w:bookmarkEnd w:id="2"/>
    </w:p>
    <w:p w14:paraId="64AF3DB7" w14:textId="481840DB" w:rsidR="00B53887" w:rsidRDefault="00B53887" w:rsidP="00B53887">
      <w:pPr>
        <w:pStyle w:val="Numberedpara3level1"/>
      </w:pPr>
      <w:r w:rsidRPr="002D30EC">
        <w:t xml:space="preserve">The Passports Act 1992 (the Act) </w:t>
      </w:r>
      <w:r w:rsidRPr="002D30EC">
        <w:rPr>
          <w:bCs/>
          <w:color w:val="000000"/>
        </w:rPr>
        <w:t xml:space="preserve">affirms every New Zealand citizen’s right to a passport, subject to express limitations specified in the Act. </w:t>
      </w:r>
      <w:r>
        <w:rPr>
          <w:bCs/>
          <w:color w:val="000000"/>
        </w:rPr>
        <w:t xml:space="preserve">The Act </w:t>
      </w:r>
      <w:r w:rsidRPr="002D30EC">
        <w:t xml:space="preserve">provides that the Minister of Internal Affairs has the power to issue, renew, recall and cancel passports, emergency travel documents, certificates of identity and refugee travel documents. </w:t>
      </w:r>
      <w:r w:rsidR="00606DF3">
        <w:t>The Act is administered by the Department of Internal Affairs (the Department).</w:t>
      </w:r>
    </w:p>
    <w:p w14:paraId="426B57E7" w14:textId="0720EE4A" w:rsidR="00B53887" w:rsidRPr="00CD5D2F" w:rsidRDefault="00B53887" w:rsidP="00B53887">
      <w:pPr>
        <w:pStyle w:val="Numberedpara3level1"/>
        <w:rPr>
          <w:lang w:val="en-GB" w:eastAsia="en-GB"/>
        </w:rPr>
      </w:pPr>
      <w:r w:rsidRPr="00C80739">
        <w:t>The New Zealand passport is recognised as a trusted and secure travel document</w:t>
      </w:r>
      <w:r>
        <w:t>. The integrity of the passport system a</w:t>
      </w:r>
      <w:r w:rsidRPr="00C80739">
        <w:t>llow</w:t>
      </w:r>
      <w:r>
        <w:t>s</w:t>
      </w:r>
      <w:r w:rsidRPr="00C80739">
        <w:t xml:space="preserve"> New Zealande</w:t>
      </w:r>
      <w:r>
        <w:t xml:space="preserve">rs freedom to travel to </w:t>
      </w:r>
      <w:r w:rsidR="00A836BC">
        <w:t>170</w:t>
      </w:r>
      <w:r w:rsidRPr="00C80739">
        <w:t xml:space="preserve"> countries through visa-free or visa-on-arrival arrangements</w:t>
      </w:r>
      <w:r>
        <w:t>. This integrity can only be maintained by a regulatory regime that is fit for purpose.</w:t>
      </w:r>
    </w:p>
    <w:tbl>
      <w:tblPr>
        <w:tblStyle w:val="DIATable"/>
        <w:tblpPr w:leftFromText="180" w:rightFromText="180" w:vertAnchor="text" w:horzAnchor="margin" w:tblpXSpec="right" w:tblpY="3"/>
        <w:tblW w:w="0" w:type="auto"/>
        <w:tblInd w:w="0" w:type="dxa"/>
        <w:tblLook w:val="04A0" w:firstRow="1" w:lastRow="0" w:firstColumn="1" w:lastColumn="0" w:noHBand="0" w:noVBand="1"/>
      </w:tblPr>
      <w:tblGrid>
        <w:gridCol w:w="8720"/>
      </w:tblGrid>
      <w:tr w:rsidR="00CD5D2F" w14:paraId="4E7E1FCD" w14:textId="77777777" w:rsidTr="006B1756">
        <w:trPr>
          <w:cnfStyle w:val="100000000000" w:firstRow="1" w:lastRow="0" w:firstColumn="0" w:lastColumn="0" w:oddVBand="0" w:evenVBand="0" w:oddHBand="0" w:evenHBand="0" w:firstRowFirstColumn="0" w:firstRowLastColumn="0" w:lastRowFirstColumn="0" w:lastRowLastColumn="0"/>
        </w:trPr>
        <w:tc>
          <w:tcPr>
            <w:tcW w:w="8720" w:type="dxa"/>
          </w:tcPr>
          <w:p w14:paraId="358DE5A1" w14:textId="77777777" w:rsidR="00CD5D2F" w:rsidRDefault="00CD5D2F" w:rsidP="006B1756">
            <w:pPr>
              <w:pStyle w:val="Numberedpara3level1"/>
              <w:numPr>
                <w:ilvl w:val="0"/>
                <w:numId w:val="0"/>
              </w:numPr>
              <w:rPr>
                <w:lang w:val="en-GB" w:eastAsia="en-GB"/>
              </w:rPr>
            </w:pPr>
            <w:r w:rsidRPr="001D29AF">
              <w:rPr>
                <w:sz w:val="24"/>
                <w:lang w:val="en-GB" w:eastAsia="en-GB"/>
              </w:rPr>
              <w:lastRenderedPageBreak/>
              <w:t>New Zealand passports: basic facts</w:t>
            </w:r>
          </w:p>
          <w:p w14:paraId="1FAF16B9" w14:textId="1C29F874" w:rsidR="00CD5D2F" w:rsidRPr="001B69C8" w:rsidRDefault="00CD5D2F" w:rsidP="006B1756">
            <w:pPr>
              <w:pStyle w:val="Bullet"/>
              <w:rPr>
                <w:b w:val="0"/>
                <w:lang w:val="en-GB" w:eastAsia="en-GB"/>
              </w:rPr>
            </w:pPr>
            <w:r w:rsidRPr="001B69C8">
              <w:rPr>
                <w:b w:val="0"/>
              </w:rPr>
              <w:t xml:space="preserve">Adult passports have a </w:t>
            </w:r>
            <w:r w:rsidR="00A420CC">
              <w:rPr>
                <w:b w:val="0"/>
              </w:rPr>
              <w:t>five-</w:t>
            </w:r>
            <w:r w:rsidRPr="001B69C8">
              <w:rPr>
                <w:b w:val="0"/>
              </w:rPr>
              <w:t xml:space="preserve">year validity period </w:t>
            </w:r>
            <w:r>
              <w:rPr>
                <w:b w:val="0"/>
              </w:rPr>
              <w:t>with fees</w:t>
            </w:r>
            <w:r w:rsidRPr="001B69C8">
              <w:rPr>
                <w:b w:val="0"/>
              </w:rPr>
              <w:t xml:space="preserve"> between $124.50 - $140 (</w:t>
            </w:r>
            <w:r>
              <w:rPr>
                <w:b w:val="0"/>
              </w:rPr>
              <w:t xml:space="preserve">with </w:t>
            </w:r>
            <w:r w:rsidRPr="001B69C8">
              <w:rPr>
                <w:b w:val="0"/>
              </w:rPr>
              <w:t xml:space="preserve">additional </w:t>
            </w:r>
            <w:r>
              <w:rPr>
                <w:b w:val="0"/>
              </w:rPr>
              <w:t>fees</w:t>
            </w:r>
            <w:r w:rsidRPr="001B69C8">
              <w:rPr>
                <w:b w:val="0"/>
              </w:rPr>
              <w:t xml:space="preserve"> for urgent processing). </w:t>
            </w:r>
          </w:p>
          <w:p w14:paraId="1B078AC1" w14:textId="68B1F4FD" w:rsidR="00CD5D2F" w:rsidRPr="001B69C8" w:rsidRDefault="00CD5D2F" w:rsidP="006B1756">
            <w:pPr>
              <w:pStyle w:val="Bullet"/>
              <w:rPr>
                <w:b w:val="0"/>
                <w:lang w:val="en-GB" w:eastAsia="en-GB"/>
              </w:rPr>
            </w:pPr>
            <w:r w:rsidRPr="001B69C8">
              <w:rPr>
                <w:b w:val="0"/>
              </w:rPr>
              <w:t xml:space="preserve">Child passports also have a </w:t>
            </w:r>
            <w:r w:rsidR="00A420CC">
              <w:rPr>
                <w:b w:val="0"/>
              </w:rPr>
              <w:t xml:space="preserve"> five-</w:t>
            </w:r>
            <w:r w:rsidRPr="001B69C8">
              <w:rPr>
                <w:b w:val="0"/>
              </w:rPr>
              <w:t>year</w:t>
            </w:r>
            <w:r>
              <w:rPr>
                <w:b w:val="0"/>
              </w:rPr>
              <w:t xml:space="preserve"> validity period with fees set at </w:t>
            </w:r>
            <w:r w:rsidRPr="001B69C8">
              <w:rPr>
                <w:b w:val="0"/>
              </w:rPr>
              <w:t xml:space="preserve">$81.70 (additional </w:t>
            </w:r>
            <w:r>
              <w:rPr>
                <w:b w:val="0"/>
              </w:rPr>
              <w:t>fees</w:t>
            </w:r>
            <w:r w:rsidRPr="001B69C8">
              <w:rPr>
                <w:b w:val="0"/>
              </w:rPr>
              <w:t xml:space="preserve"> </w:t>
            </w:r>
            <w:r w:rsidR="00896E08">
              <w:rPr>
                <w:b w:val="0"/>
              </w:rPr>
              <w:t xml:space="preserve">for </w:t>
            </w:r>
            <w:r w:rsidRPr="001B69C8">
              <w:rPr>
                <w:b w:val="0"/>
              </w:rPr>
              <w:t xml:space="preserve">urgent processing). This reduced price is subsidised by adult passport </w:t>
            </w:r>
            <w:r>
              <w:rPr>
                <w:b w:val="0"/>
              </w:rPr>
              <w:t>fees</w:t>
            </w:r>
            <w:r w:rsidRPr="001B69C8">
              <w:rPr>
                <w:b w:val="0"/>
              </w:rPr>
              <w:t>.</w:t>
            </w:r>
          </w:p>
          <w:p w14:paraId="0B62D5E6" w14:textId="77777777" w:rsidR="00CD5D2F" w:rsidRPr="001B69C8" w:rsidRDefault="00CD5D2F" w:rsidP="006B1756">
            <w:pPr>
              <w:pStyle w:val="Bullet"/>
              <w:rPr>
                <w:b w:val="0"/>
                <w:lang w:val="en-GB" w:eastAsia="en-GB"/>
              </w:rPr>
            </w:pPr>
            <w:r w:rsidRPr="001B69C8">
              <w:rPr>
                <w:b w:val="0"/>
              </w:rPr>
              <w:t>Approximately</w:t>
            </w:r>
            <w:r w:rsidRPr="001B69C8">
              <w:rPr>
                <w:b w:val="0"/>
                <w:lang w:val="en-GB" w:eastAsia="en-GB"/>
              </w:rPr>
              <w:t xml:space="preserve"> 600,000 passports and other travel documents are produced each year.</w:t>
            </w:r>
          </w:p>
          <w:p w14:paraId="69B48C7A" w14:textId="77777777" w:rsidR="00CD5D2F" w:rsidRDefault="00CD5D2F" w:rsidP="006B1756">
            <w:pPr>
              <w:pStyle w:val="Bullet"/>
              <w:rPr>
                <w:lang w:val="en-GB" w:eastAsia="en-GB"/>
              </w:rPr>
            </w:pPr>
            <w:r w:rsidRPr="001B69C8">
              <w:rPr>
                <w:b w:val="0"/>
                <w:lang w:val="en-GB" w:eastAsia="en-GB"/>
              </w:rPr>
              <w:t xml:space="preserve">The passport service </w:t>
            </w:r>
            <w:r w:rsidRPr="001B69C8">
              <w:rPr>
                <w:b w:val="0"/>
              </w:rPr>
              <w:t>operates</w:t>
            </w:r>
            <w:r w:rsidRPr="001B69C8">
              <w:rPr>
                <w:b w:val="0"/>
                <w:lang w:val="en-GB" w:eastAsia="en-GB"/>
              </w:rPr>
              <w:t xml:space="preserve"> on a cost-recovery basis, managed through the Passports Memorandum Account (the Account).</w:t>
            </w:r>
          </w:p>
        </w:tc>
      </w:tr>
    </w:tbl>
    <w:p w14:paraId="5BC0AFC6" w14:textId="41422971" w:rsidR="0020784E" w:rsidRPr="00F53198" w:rsidRDefault="0046010A" w:rsidP="006F0FE6">
      <w:pPr>
        <w:pStyle w:val="Numberedpara3level1"/>
      </w:pPr>
      <w:r>
        <w:rPr>
          <w:lang w:val="en-GB" w:eastAsia="en-GB"/>
        </w:rPr>
        <w:t>In 2005, the Government made changes to the Act to preserve</w:t>
      </w:r>
      <w:r w:rsidRPr="002D30EC">
        <w:rPr>
          <w:lang w:val="en-GB" w:eastAsia="en-GB"/>
        </w:rPr>
        <w:t xml:space="preserve"> the integrity of New Zealand passports and other travel documents in light of the security concerns at that time</w:t>
      </w:r>
      <w:r w:rsidR="00F53198">
        <w:rPr>
          <w:lang w:val="en-GB" w:eastAsia="en-GB"/>
        </w:rPr>
        <w:t xml:space="preserve"> (these changes included the introduction of ePassports)</w:t>
      </w:r>
      <w:r w:rsidRPr="002D30EC">
        <w:rPr>
          <w:lang w:val="en-GB" w:eastAsia="en-GB"/>
        </w:rPr>
        <w:t xml:space="preserve">. </w:t>
      </w:r>
      <w:r w:rsidR="005724AA">
        <w:rPr>
          <w:lang w:val="en-GB" w:eastAsia="en-GB"/>
        </w:rPr>
        <w:t xml:space="preserve">These changes </w:t>
      </w:r>
      <w:r>
        <w:rPr>
          <w:lang w:val="en-GB" w:eastAsia="en-GB"/>
        </w:rPr>
        <w:t>reduced</w:t>
      </w:r>
      <w:r w:rsidRPr="002D30EC">
        <w:rPr>
          <w:lang w:val="en-GB" w:eastAsia="en-GB"/>
        </w:rPr>
        <w:t xml:space="preserve"> the validity period of a</w:t>
      </w:r>
      <w:r w:rsidR="006F0FE6">
        <w:rPr>
          <w:lang w:val="en-GB" w:eastAsia="en-GB"/>
        </w:rPr>
        <w:t>dult</w:t>
      </w:r>
      <w:r w:rsidRPr="002D30EC">
        <w:rPr>
          <w:lang w:val="en-GB" w:eastAsia="en-GB"/>
        </w:rPr>
        <w:t xml:space="preserve"> New Zealand passpor</w:t>
      </w:r>
      <w:r>
        <w:rPr>
          <w:lang w:val="en-GB" w:eastAsia="en-GB"/>
        </w:rPr>
        <w:t>t</w:t>
      </w:r>
      <w:r w:rsidR="006F0FE6">
        <w:rPr>
          <w:lang w:val="en-GB" w:eastAsia="en-GB"/>
        </w:rPr>
        <w:t>s</w:t>
      </w:r>
      <w:r>
        <w:rPr>
          <w:lang w:val="en-GB" w:eastAsia="en-GB"/>
        </w:rPr>
        <w:t xml:space="preserve"> from </w:t>
      </w:r>
      <w:r w:rsidR="00A420CC">
        <w:rPr>
          <w:lang w:val="en-GB" w:eastAsia="en-GB"/>
        </w:rPr>
        <w:t>ten-</w:t>
      </w:r>
      <w:r>
        <w:rPr>
          <w:lang w:val="en-GB" w:eastAsia="en-GB"/>
        </w:rPr>
        <w:t xml:space="preserve">years to </w:t>
      </w:r>
      <w:r w:rsidR="00A420CC" w:rsidRPr="00A420CC">
        <w:rPr>
          <w:lang w:val="en-GB" w:eastAsia="en-GB"/>
        </w:rPr>
        <w:t>five-</w:t>
      </w:r>
      <w:r>
        <w:rPr>
          <w:lang w:val="en-GB" w:eastAsia="en-GB"/>
        </w:rPr>
        <w:t>years</w:t>
      </w:r>
      <w:r w:rsidR="005724AA">
        <w:rPr>
          <w:lang w:val="en-GB" w:eastAsia="en-GB"/>
        </w:rPr>
        <w:t xml:space="preserve"> in April 2005 and also led to the introduction of ePassports in November 2005</w:t>
      </w:r>
      <w:r>
        <w:rPr>
          <w:lang w:val="en-GB" w:eastAsia="en-GB"/>
        </w:rPr>
        <w:t>.</w:t>
      </w:r>
    </w:p>
    <w:p w14:paraId="06D541BB" w14:textId="576E8C3F" w:rsidR="0046010A" w:rsidRDefault="0046010A" w:rsidP="0046010A">
      <w:pPr>
        <w:pStyle w:val="Numberedpara3level1"/>
      </w:pPr>
      <w:r>
        <w:t>In</w:t>
      </w:r>
      <w:r w:rsidR="001C4191">
        <w:t xml:space="preserve"> August</w:t>
      </w:r>
      <w:r>
        <w:t xml:space="preserve"> 2013, Cabinet made a suite of decisions to amend the Act, including:</w:t>
      </w:r>
    </w:p>
    <w:p w14:paraId="52112617" w14:textId="6474055E" w:rsidR="0046010A" w:rsidRPr="001B69C8" w:rsidRDefault="0046010A" w:rsidP="00CC5111">
      <w:pPr>
        <w:pStyle w:val="Numberedpara3level1"/>
        <w:numPr>
          <w:ilvl w:val="1"/>
          <w:numId w:val="26"/>
        </w:numPr>
      </w:pPr>
      <w:r w:rsidRPr="001B69C8">
        <w:t xml:space="preserve">increasing the passport validity period </w:t>
      </w:r>
      <w:r w:rsidR="00894B67">
        <w:t xml:space="preserve">so that citizens could have up to </w:t>
      </w:r>
      <w:r w:rsidR="00A420CC">
        <w:t>nine</w:t>
      </w:r>
      <w:r w:rsidR="00894B67">
        <w:t xml:space="preserve"> months remaining on their current passport ‘credited’ to a new passport, </w:t>
      </w:r>
      <w:r w:rsidR="00360240">
        <w:t xml:space="preserve">increasing </w:t>
      </w:r>
      <w:r w:rsidR="00894B67">
        <w:t>validity on renewal f</w:t>
      </w:r>
      <w:r w:rsidRPr="001B69C8">
        <w:t xml:space="preserve">rom </w:t>
      </w:r>
      <w:r w:rsidR="00A420CC" w:rsidRPr="00A420CC">
        <w:rPr>
          <w:lang w:val="en-GB" w:eastAsia="en-GB"/>
        </w:rPr>
        <w:t>five-</w:t>
      </w:r>
      <w:r w:rsidR="0011339B" w:rsidRPr="001B69C8">
        <w:t>year</w:t>
      </w:r>
      <w:r w:rsidRPr="001B69C8">
        <w:t xml:space="preserve">s to </w:t>
      </w:r>
      <w:r w:rsidR="00A420CC" w:rsidRPr="00A420CC">
        <w:rPr>
          <w:lang w:val="en-GB" w:eastAsia="en-GB"/>
        </w:rPr>
        <w:t>five-</w:t>
      </w:r>
      <w:r w:rsidR="0011339B" w:rsidRPr="001B69C8">
        <w:t>year</w:t>
      </w:r>
      <w:r w:rsidRPr="001B69C8">
        <w:t xml:space="preserve">s, </w:t>
      </w:r>
      <w:r w:rsidR="00A420CC">
        <w:t>nine-</w:t>
      </w:r>
      <w:r w:rsidRPr="001B69C8">
        <w:t>months;</w:t>
      </w:r>
    </w:p>
    <w:p w14:paraId="082868FE" w14:textId="110EE50A" w:rsidR="0046010A" w:rsidRPr="001B69C8" w:rsidRDefault="0046010A" w:rsidP="00CC5111">
      <w:pPr>
        <w:pStyle w:val="Numberedpara3level1"/>
        <w:numPr>
          <w:ilvl w:val="1"/>
          <w:numId w:val="26"/>
        </w:numPr>
      </w:pPr>
      <w:r w:rsidRPr="001B69C8">
        <w:t>updating existing powers in the Act which seek to prevent the use of a passport in certain limited circumstances; and</w:t>
      </w:r>
    </w:p>
    <w:p w14:paraId="1493BC01" w14:textId="4D6117A8" w:rsidR="0046010A" w:rsidRPr="001B69C8" w:rsidRDefault="0046010A" w:rsidP="00CC5111">
      <w:pPr>
        <w:pStyle w:val="Numberedpara3level1"/>
        <w:numPr>
          <w:ilvl w:val="1"/>
          <w:numId w:val="26"/>
        </w:numPr>
      </w:pPr>
      <w:r w:rsidRPr="001B69C8">
        <w:t>extend the powers in the Act which tackle illegal attempts to get a New Zealand passport</w:t>
      </w:r>
      <w:r w:rsidR="00F53198" w:rsidRPr="001B69C8">
        <w:t>.</w:t>
      </w:r>
    </w:p>
    <w:p w14:paraId="016E8C64" w14:textId="7F246934" w:rsidR="002A4FF9" w:rsidRDefault="0046010A" w:rsidP="00F53198">
      <w:pPr>
        <w:pStyle w:val="Numberedpara3level1"/>
      </w:pPr>
      <w:r>
        <w:t xml:space="preserve">These </w:t>
      </w:r>
      <w:r w:rsidR="001C4191">
        <w:t>c</w:t>
      </w:r>
      <w:r>
        <w:t>hanges were agreed by Cabinet but have not yet been implemented.</w:t>
      </w:r>
      <w:r w:rsidR="001C4191">
        <w:t xml:space="preserve"> A Bill incorporating these changes </w:t>
      </w:r>
      <w:r w:rsidR="00A62771">
        <w:t xml:space="preserve">has </w:t>
      </w:r>
      <w:r w:rsidR="001C4191">
        <w:t>largely been drafted, however its introduction was deferred when a petition was lodged with Parl</w:t>
      </w:r>
      <w:r w:rsidR="00A420CC">
        <w:t>iament seeking a return to a ten-</w:t>
      </w:r>
      <w:r w:rsidR="001C4191">
        <w:t>year validity period for adult passports.</w:t>
      </w:r>
      <w:r w:rsidR="003403AB">
        <w:t xml:space="preserve"> </w:t>
      </w:r>
      <w:r w:rsidR="00F53198">
        <w:t xml:space="preserve"> </w:t>
      </w:r>
      <w:r>
        <w:t xml:space="preserve">In </w:t>
      </w:r>
      <w:r w:rsidR="00FF3B1F">
        <w:t xml:space="preserve">August </w:t>
      </w:r>
      <w:r>
        <w:t xml:space="preserve">2014 </w:t>
      </w:r>
      <w:r w:rsidR="00FF3B1F">
        <w:t>the Minister of Internal Affairs</w:t>
      </w:r>
      <w:r w:rsidR="003403AB">
        <w:t xml:space="preserve"> </w:t>
      </w:r>
      <w:r>
        <w:t xml:space="preserve">directed the Department to review passport validity and in particular advise </w:t>
      </w:r>
      <w:r w:rsidR="00FF3B1F">
        <w:t>him</w:t>
      </w:r>
      <w:r>
        <w:t xml:space="preserve"> on the security, cost and risk implications of returning to a </w:t>
      </w:r>
      <w:r w:rsidR="0011339B">
        <w:t>10 year</w:t>
      </w:r>
      <w:r>
        <w:t xml:space="preserve"> passport validity period. As part of this review </w:t>
      </w:r>
      <w:r w:rsidR="003403AB">
        <w:t>the Department</w:t>
      </w:r>
      <w:r>
        <w:t xml:space="preserve"> commissioned:</w:t>
      </w:r>
    </w:p>
    <w:p w14:paraId="1CB959F4" w14:textId="047AB8E6" w:rsidR="00B53887" w:rsidRPr="001B69C8" w:rsidRDefault="002A4FF9" w:rsidP="00CC5111">
      <w:pPr>
        <w:pStyle w:val="Numberedpara3level1"/>
        <w:numPr>
          <w:ilvl w:val="1"/>
          <w:numId w:val="26"/>
        </w:numPr>
      </w:pPr>
      <w:r w:rsidRPr="001B69C8">
        <w:t xml:space="preserve">an </w:t>
      </w:r>
      <w:r w:rsidR="00B53887" w:rsidRPr="001B69C8">
        <w:t>independe</w:t>
      </w:r>
      <w:r w:rsidRPr="001B69C8">
        <w:t>nt</w:t>
      </w:r>
      <w:r w:rsidR="00B53887" w:rsidRPr="001B69C8">
        <w:t xml:space="preserve"> security review</w:t>
      </w:r>
      <w:r w:rsidRPr="001B69C8">
        <w:t xml:space="preserve"> from Simon Murdoch</w:t>
      </w:r>
      <w:r w:rsidR="00661568" w:rsidRPr="001B69C8">
        <w:t>;</w:t>
      </w:r>
      <w:r w:rsidR="003C3D30" w:rsidRPr="001B69C8">
        <w:t xml:space="preserve"> and</w:t>
      </w:r>
      <w:r w:rsidRPr="001B69C8">
        <w:t xml:space="preserve"> </w:t>
      </w:r>
    </w:p>
    <w:p w14:paraId="4AD15AE6" w14:textId="352B2583" w:rsidR="00B53887" w:rsidRPr="001B69C8" w:rsidRDefault="00B53887" w:rsidP="00CC5111">
      <w:pPr>
        <w:pStyle w:val="Numberedpara3level1"/>
        <w:numPr>
          <w:ilvl w:val="1"/>
          <w:numId w:val="26"/>
        </w:numPr>
      </w:pPr>
      <w:r w:rsidRPr="001B69C8">
        <w:t>advice from PriceWaterhouseCooper</w:t>
      </w:r>
      <w:r w:rsidR="0076554C">
        <w:t xml:space="preserve"> (PWC)</w:t>
      </w:r>
      <w:r w:rsidRPr="001B69C8">
        <w:t xml:space="preserve"> on sustainable funding models for both the status quo and a return to a </w:t>
      </w:r>
      <w:r w:rsidR="0011339B" w:rsidRPr="001B69C8">
        <w:t>10 year</w:t>
      </w:r>
      <w:r w:rsidRPr="001B69C8">
        <w:t xml:space="preserve"> passport</w:t>
      </w:r>
      <w:r w:rsidR="002A4FF9" w:rsidRPr="001B69C8">
        <w:t>.</w:t>
      </w:r>
    </w:p>
    <w:p w14:paraId="39EEBA72" w14:textId="67D6706C" w:rsidR="00471918" w:rsidRDefault="00471918" w:rsidP="00471918">
      <w:pPr>
        <w:pStyle w:val="Heading2"/>
      </w:pPr>
      <w:bookmarkStart w:id="3" w:name="_Toc413227666"/>
      <w:r>
        <w:t>Security review</w:t>
      </w:r>
      <w:bookmarkEnd w:id="3"/>
    </w:p>
    <w:p w14:paraId="12EA89FE" w14:textId="34BB8BA3" w:rsidR="00471918" w:rsidRDefault="00661568" w:rsidP="00471918">
      <w:pPr>
        <w:pStyle w:val="Numberedpara3level1"/>
      </w:pPr>
      <w:r>
        <w:t>The security review found that</w:t>
      </w:r>
      <w:r w:rsidR="00FE571C">
        <w:t xml:space="preserve"> moving to a five year passport was an appropriate course of action in 2005 and contributed to improved passport security. Mr Murdoch also noted that, while international security and border risks have changed since 2005, they have not improved and remain complex.</w:t>
      </w:r>
      <w:r w:rsidR="0076554C">
        <w:t xml:space="preserve"> </w:t>
      </w:r>
      <w:r w:rsidR="00471918">
        <w:t xml:space="preserve">There are continued </w:t>
      </w:r>
      <w:r w:rsidR="00663668">
        <w:t xml:space="preserve">broader </w:t>
      </w:r>
      <w:r w:rsidR="00471918">
        <w:t>security risks relating to:</w:t>
      </w:r>
    </w:p>
    <w:p w14:paraId="4ABC7DBC" w14:textId="475B5109" w:rsidR="00471918" w:rsidRDefault="00471918" w:rsidP="00471918">
      <w:pPr>
        <w:pStyle w:val="Numberedpara3level1"/>
        <w:numPr>
          <w:ilvl w:val="1"/>
          <w:numId w:val="26"/>
        </w:numPr>
      </w:pPr>
      <w:r>
        <w:t xml:space="preserve">foreign groups using New Zealand passports during criminal and terrorist </w:t>
      </w:r>
      <w:r w:rsidR="00663668">
        <w:t>activities;</w:t>
      </w:r>
    </w:p>
    <w:p w14:paraId="26D462A2" w14:textId="7233465E" w:rsidR="00471918" w:rsidRDefault="00471918" w:rsidP="00471918">
      <w:pPr>
        <w:pStyle w:val="Numberedpara3level1"/>
        <w:numPr>
          <w:ilvl w:val="1"/>
          <w:numId w:val="26"/>
        </w:numPr>
      </w:pPr>
      <w:r>
        <w:t>radicalised New Zealanders travelling and committing violent acts</w:t>
      </w:r>
      <w:r w:rsidR="00663668">
        <w:t>;</w:t>
      </w:r>
    </w:p>
    <w:p w14:paraId="154091BA" w14:textId="79995A40" w:rsidR="00663668" w:rsidRDefault="00665DA7" w:rsidP="00471918">
      <w:pPr>
        <w:pStyle w:val="Numberedpara3level1"/>
        <w:numPr>
          <w:ilvl w:val="1"/>
          <w:numId w:val="26"/>
        </w:numPr>
      </w:pPr>
      <w:r>
        <w:lastRenderedPageBreak/>
        <w:t>terrorism threats to</w:t>
      </w:r>
      <w:r w:rsidR="00663668">
        <w:t xml:space="preserve"> New Zealanders (both travelling and in New Zealand).</w:t>
      </w:r>
    </w:p>
    <w:p w14:paraId="1D6B60C9" w14:textId="332E47DF" w:rsidR="00661568" w:rsidRPr="00661568" w:rsidRDefault="00663668" w:rsidP="00663668">
      <w:pPr>
        <w:pStyle w:val="Numberedpara3level1"/>
      </w:pPr>
      <w:r>
        <w:t xml:space="preserve">The </w:t>
      </w:r>
      <w:r w:rsidR="00896E08">
        <w:t>s</w:t>
      </w:r>
      <w:r>
        <w:t>ecurity review also outlined the potential security risks and implications prese</w:t>
      </w:r>
      <w:r w:rsidR="00435D38">
        <w:t>n</w:t>
      </w:r>
      <w:r>
        <w:t>ted by a dramatic loss of revenue</w:t>
      </w:r>
      <w:r w:rsidR="00896E08">
        <w:t xml:space="preserve">. This loss of revenue was also identified as a risk due to the need to </w:t>
      </w:r>
      <w:r w:rsidR="00435D38">
        <w:t xml:space="preserve">invest in regular security updates </w:t>
      </w:r>
      <w:r w:rsidR="00896E08">
        <w:t xml:space="preserve">if a </w:t>
      </w:r>
      <w:r>
        <w:t xml:space="preserve">return to </w:t>
      </w:r>
      <w:r w:rsidR="00A14275">
        <w:t>ten-</w:t>
      </w:r>
      <w:r>
        <w:t>year passport validity</w:t>
      </w:r>
      <w:r w:rsidR="00896E08">
        <w:t xml:space="preserve"> was implemented</w:t>
      </w:r>
      <w:r>
        <w:t xml:space="preserve">. </w:t>
      </w:r>
      <w:r w:rsidR="00661568" w:rsidRPr="00CD5D2F">
        <w:rPr>
          <w:b/>
        </w:rPr>
        <w:t xml:space="preserve">Appendix </w:t>
      </w:r>
      <w:r w:rsidR="0076554C" w:rsidRPr="00CD5D2F">
        <w:rPr>
          <w:b/>
        </w:rPr>
        <w:t>A</w:t>
      </w:r>
      <w:r w:rsidR="00661568">
        <w:t xml:space="preserve"> sets out the </w:t>
      </w:r>
      <w:r w:rsidR="0076554C">
        <w:t>main finding and conclusions</w:t>
      </w:r>
      <w:r w:rsidR="00661568">
        <w:t xml:space="preserve"> of the security review.</w:t>
      </w:r>
    </w:p>
    <w:p w14:paraId="16737EDC" w14:textId="479BFD2D" w:rsidR="00471918" w:rsidRDefault="00471918" w:rsidP="00471918">
      <w:pPr>
        <w:pStyle w:val="Heading2"/>
      </w:pPr>
      <w:bookmarkStart w:id="4" w:name="_Toc413227667"/>
      <w:r>
        <w:t>Funding review</w:t>
      </w:r>
      <w:bookmarkEnd w:id="4"/>
    </w:p>
    <w:p w14:paraId="5D43DD15" w14:textId="3643618A" w:rsidR="00D22CAE" w:rsidRPr="008A5214" w:rsidRDefault="00387B9E" w:rsidP="008A5214">
      <w:pPr>
        <w:pStyle w:val="Numberedpara3level1"/>
      </w:pPr>
      <w:r>
        <w:t>The Department</w:t>
      </w:r>
      <w:r w:rsidRPr="0092455F">
        <w:t xml:space="preserve"> appointed P</w:t>
      </w:r>
      <w:r>
        <w:t>ricewaterhouse</w:t>
      </w:r>
      <w:r w:rsidRPr="0092455F">
        <w:t>C</w:t>
      </w:r>
      <w:r>
        <w:t>oopers</w:t>
      </w:r>
      <w:r w:rsidRPr="0092455F">
        <w:t xml:space="preserve"> </w:t>
      </w:r>
      <w:r w:rsidR="00896E08">
        <w:t>(Pw</w:t>
      </w:r>
      <w:r>
        <w:t xml:space="preserve">C) </w:t>
      </w:r>
      <w:r w:rsidRPr="0092455F">
        <w:t>in September 2014 to develop a new funding model for passport</w:t>
      </w:r>
      <w:r>
        <w:t xml:space="preserve"> </w:t>
      </w:r>
      <w:r w:rsidRPr="0092455F">
        <w:t>services. The new model is more sophisticated than previous models</w:t>
      </w:r>
      <w:r>
        <w:t>,</w:t>
      </w:r>
      <w:r w:rsidRPr="0092455F">
        <w:t xml:space="preserve"> enabl</w:t>
      </w:r>
      <w:r>
        <w:t>ing</w:t>
      </w:r>
      <w:r w:rsidRPr="0092455F">
        <w:t xml:space="preserve"> forecasts of the effects on </w:t>
      </w:r>
      <w:r w:rsidR="00CD5D2F">
        <w:t>the Account</w:t>
      </w:r>
      <w:r w:rsidRPr="0092455F">
        <w:t xml:space="preserve"> from changes in costs or fees, the passport validity period or the number of passports being issued.</w:t>
      </w:r>
      <w:r w:rsidR="009719E2" w:rsidRPr="009719E2">
        <w:rPr>
          <w:lang w:val="en-GB"/>
        </w:rPr>
        <w:t xml:space="preserve"> The Department is also working with PwC to build up its </w:t>
      </w:r>
      <w:r w:rsidR="009719E2" w:rsidRPr="00972EA7">
        <w:rPr>
          <w:lang w:val="en-GB"/>
        </w:rPr>
        <w:t xml:space="preserve">financial capability in utilising the model and to learn from errors arising from previous assumptions. </w:t>
      </w:r>
      <w:r w:rsidR="0076554C">
        <w:t>The Department’s new funding model and forecasting tools</w:t>
      </w:r>
      <w:r w:rsidR="009719E2">
        <w:t xml:space="preserve">, assured by PwC, </w:t>
      </w:r>
      <w:r w:rsidR="0076554C">
        <w:t>are used in this regulatory impact analysis</w:t>
      </w:r>
      <w:r w:rsidR="00F444E8">
        <w:t xml:space="preserve"> to inform </w:t>
      </w:r>
      <w:r w:rsidR="00CD5D2F">
        <w:t xml:space="preserve">the </w:t>
      </w:r>
      <w:r w:rsidR="00F444E8">
        <w:t>cost of passports</w:t>
      </w:r>
      <w:r w:rsidR="00CD5D2F">
        <w:t xml:space="preserve"> under each option</w:t>
      </w:r>
      <w:r w:rsidR="0076554C">
        <w:t>.</w:t>
      </w:r>
      <w:r w:rsidR="009719E2" w:rsidRPr="009719E2">
        <w:rPr>
          <w:lang w:val="en-GB"/>
        </w:rPr>
        <w:t xml:space="preserve"> </w:t>
      </w:r>
    </w:p>
    <w:p w14:paraId="5A39095A" w14:textId="77777777" w:rsidR="008A5214" w:rsidRPr="00661568" w:rsidRDefault="008A5214" w:rsidP="008A5214">
      <w:pPr>
        <w:pStyle w:val="Spacer"/>
      </w:pPr>
    </w:p>
    <w:p w14:paraId="5D0A50B2" w14:textId="77777777" w:rsidR="00F41016" w:rsidRPr="00665DA7" w:rsidRDefault="00F41016" w:rsidP="00665DA7">
      <w:pPr>
        <w:pStyle w:val="Heading1"/>
        <w:rPr>
          <w:bCs/>
          <w:sz w:val="32"/>
        </w:rPr>
      </w:pPr>
      <w:bookmarkStart w:id="5" w:name="_Toc413227668"/>
      <w:r w:rsidRPr="00665DA7">
        <w:rPr>
          <w:bCs/>
          <w:sz w:val="32"/>
        </w:rPr>
        <w:t>Status quo</w:t>
      </w:r>
      <w:bookmarkEnd w:id="5"/>
    </w:p>
    <w:p w14:paraId="0DA0C2F0" w14:textId="4DF78C34" w:rsidR="003403AB" w:rsidRDefault="003403AB" w:rsidP="00F41016">
      <w:pPr>
        <w:pStyle w:val="Numberedpara3level1"/>
        <w:rPr>
          <w:lang w:val="en-GB" w:eastAsia="en-GB"/>
        </w:rPr>
      </w:pPr>
      <w:r w:rsidRPr="003403AB">
        <w:rPr>
          <w:lang w:val="en-GB" w:eastAsia="en-GB"/>
        </w:rPr>
        <w:t>New Zea</w:t>
      </w:r>
      <w:r w:rsidR="00A62771">
        <w:rPr>
          <w:lang w:val="en-GB" w:eastAsia="en-GB"/>
        </w:rPr>
        <w:t>l</w:t>
      </w:r>
      <w:r w:rsidRPr="003403AB">
        <w:rPr>
          <w:lang w:val="en-GB" w:eastAsia="en-GB"/>
        </w:rPr>
        <w:t xml:space="preserve">and issues a </w:t>
      </w:r>
      <w:r w:rsidR="00A420CC" w:rsidRPr="00A420CC">
        <w:rPr>
          <w:lang w:val="en-GB" w:eastAsia="en-GB"/>
        </w:rPr>
        <w:t>five-</w:t>
      </w:r>
      <w:r w:rsidRPr="003403AB">
        <w:rPr>
          <w:lang w:val="en-GB" w:eastAsia="en-GB"/>
        </w:rPr>
        <w:t>year passport which complies with the best security standards set by the International Civil Aviation Organisation</w:t>
      </w:r>
      <w:r w:rsidR="00F528CC" w:rsidRPr="00FC190B">
        <w:rPr>
          <w:lang w:val="en-GB" w:eastAsia="en-GB"/>
        </w:rPr>
        <w:t>.</w:t>
      </w:r>
      <w:r w:rsidRPr="00FC190B">
        <w:rPr>
          <w:lang w:val="en-GB" w:eastAsia="en-GB"/>
        </w:rPr>
        <w:t xml:space="preserve"> Many other countries that New Zealand</w:t>
      </w:r>
      <w:r w:rsidRPr="005B68B9">
        <w:rPr>
          <w:lang w:val="en-GB" w:eastAsia="en-GB"/>
        </w:rPr>
        <w:t xml:space="preserve"> is compared to (Australia, USA, Canada, UK) have either retained, or moved to, a </w:t>
      </w:r>
      <w:r w:rsidR="00A420CC">
        <w:rPr>
          <w:lang w:val="en-GB" w:eastAsia="en-GB"/>
        </w:rPr>
        <w:t>ten-</w:t>
      </w:r>
      <w:r w:rsidRPr="005B68B9">
        <w:rPr>
          <w:lang w:val="en-GB" w:eastAsia="en-GB"/>
        </w:rPr>
        <w:t xml:space="preserve">year passport. </w:t>
      </w:r>
    </w:p>
    <w:p w14:paraId="2F459E88" w14:textId="2B9311AE" w:rsidR="00F41016" w:rsidRPr="00D43DB4" w:rsidRDefault="00F41016" w:rsidP="00F41016">
      <w:pPr>
        <w:pStyle w:val="Numberedpara3level1"/>
        <w:rPr>
          <w:lang w:val="en-GB" w:eastAsia="en-GB"/>
        </w:rPr>
      </w:pPr>
      <w:r w:rsidRPr="003403AB">
        <w:rPr>
          <w:rFonts w:asciiTheme="minorHAnsi" w:hAnsiTheme="minorHAnsi"/>
        </w:rPr>
        <w:t>Countries take different factors into account when considering the appropriate validity period, such as funding of the passport service, size of population and administration, and public convenience. For some countries these factors m</w:t>
      </w:r>
      <w:r w:rsidRPr="00FC190B">
        <w:rPr>
          <w:rFonts w:asciiTheme="minorHAnsi" w:hAnsiTheme="minorHAnsi"/>
        </w:rPr>
        <w:t xml:space="preserve">ay outweigh security risks. We also understand </w:t>
      </w:r>
      <w:r w:rsidRPr="00FC190B">
        <w:rPr>
          <w:lang w:val="en-GB" w:eastAsia="en-GB"/>
        </w:rPr>
        <w:t xml:space="preserve">that many countries with larger populations retained the </w:t>
      </w:r>
      <w:r w:rsidR="00A420CC">
        <w:rPr>
          <w:lang w:val="en-GB" w:eastAsia="en-GB"/>
        </w:rPr>
        <w:t>ten-</w:t>
      </w:r>
      <w:r w:rsidRPr="00FC190B">
        <w:rPr>
          <w:lang w:val="en-GB" w:eastAsia="en-GB"/>
        </w:rPr>
        <w:t xml:space="preserve">year passport because moving to </w:t>
      </w:r>
      <w:r w:rsidR="00A420CC" w:rsidRPr="00A420CC">
        <w:rPr>
          <w:lang w:val="en-GB" w:eastAsia="en-GB"/>
        </w:rPr>
        <w:t>five-</w:t>
      </w:r>
      <w:r w:rsidRPr="00FC190B">
        <w:rPr>
          <w:lang w:val="en-GB" w:eastAsia="en-GB"/>
        </w:rPr>
        <w:t>year passports for such countries would be extremely costly</w:t>
      </w:r>
      <w:r w:rsidRPr="00FC190B">
        <w:rPr>
          <w:rFonts w:asciiTheme="minorHAnsi" w:hAnsiTheme="minorHAnsi" w:cs="Arial Mäori"/>
        </w:rPr>
        <w:t xml:space="preserve"> and create </w:t>
      </w:r>
      <w:r w:rsidRPr="003403AB">
        <w:rPr>
          <w:rFonts w:asciiTheme="minorHAnsi" w:hAnsiTheme="minorHAnsi" w:cs="Arial Mäori"/>
        </w:rPr>
        <w:t>an undesirable administrative burden.</w:t>
      </w:r>
      <w:r w:rsidR="005724AA">
        <w:rPr>
          <w:rStyle w:val="FootnoteReference"/>
          <w:rFonts w:cs="Arial Mäori"/>
        </w:rPr>
        <w:footnoteReference w:id="1"/>
      </w:r>
    </w:p>
    <w:p w14:paraId="50D41323" w14:textId="53DEB096" w:rsidR="00661568" w:rsidRDefault="00661568" w:rsidP="00661568">
      <w:pPr>
        <w:pStyle w:val="Heading2"/>
      </w:pPr>
      <w:bookmarkStart w:id="6" w:name="_Toc413227669"/>
      <w:r>
        <w:t>Affordability of the status quo</w:t>
      </w:r>
      <w:bookmarkEnd w:id="6"/>
      <w:r>
        <w:t xml:space="preserve"> </w:t>
      </w:r>
    </w:p>
    <w:p w14:paraId="164B21A8" w14:textId="24F1B4D3" w:rsidR="00EB70FB" w:rsidRDefault="00661568" w:rsidP="00661568">
      <w:pPr>
        <w:pStyle w:val="Numberedpara3level1"/>
      </w:pPr>
      <w:r>
        <w:t>This analysis does not undertake complete cost-analyses of the options. Once Cabinet has agreed to a passport validity period, the Department</w:t>
      </w:r>
      <w:r w:rsidR="006B1756">
        <w:t xml:space="preserve"> will conduct further analysis </w:t>
      </w:r>
      <w:r>
        <w:t>on</w:t>
      </w:r>
      <w:r w:rsidR="006B1756">
        <w:t xml:space="preserve"> more precise proposals for passport fees</w:t>
      </w:r>
      <w:r w:rsidR="003579BB">
        <w:t>.</w:t>
      </w:r>
    </w:p>
    <w:p w14:paraId="55DFFB7B" w14:textId="46CC0C39" w:rsidR="00661568" w:rsidRDefault="00661568" w:rsidP="00661568">
      <w:pPr>
        <w:pStyle w:val="Numberedpara3level1"/>
      </w:pPr>
      <w:r>
        <w:lastRenderedPageBreak/>
        <w:t xml:space="preserve">However, this analysis is informed by the fact that current pricing of passports is unsustainable. In </w:t>
      </w:r>
      <w:r w:rsidR="00360240">
        <w:t xml:space="preserve">September </w:t>
      </w:r>
      <w:r>
        <w:t xml:space="preserve">2012 Cabinet decided to lower passport fees below cost of production to reduce a $27 million surplus in the Account. </w:t>
      </w:r>
      <w:r w:rsidRPr="00D87544">
        <w:t xml:space="preserve">The funding model used by the Department in 2012 also indicated the balance of the </w:t>
      </w:r>
      <w:r>
        <w:t>Account</w:t>
      </w:r>
      <w:r w:rsidRPr="00D87544">
        <w:t xml:space="preserve"> would reduce to a surplus of approximately $12 million by 30 June 2015</w:t>
      </w:r>
      <w:r w:rsidR="006B1756">
        <w:t xml:space="preserve"> and to $3 million by 30 June 2016</w:t>
      </w:r>
      <w:r w:rsidRPr="00D87544">
        <w:t xml:space="preserve">. However, in August 2013, </w:t>
      </w:r>
      <w:r w:rsidR="003579BB">
        <w:t>faults</w:t>
      </w:r>
      <w:r w:rsidRPr="00D87544">
        <w:t xml:space="preserve"> in </w:t>
      </w:r>
      <w:r>
        <w:t>the</w:t>
      </w:r>
      <w:r w:rsidR="00EB70FB">
        <w:t xml:space="preserve"> (previous)</w:t>
      </w:r>
      <w:r w:rsidRPr="00D87544">
        <w:t xml:space="preserve"> funding model</w:t>
      </w:r>
      <w:r>
        <w:t xml:space="preserve"> were discovered and the Department found that</w:t>
      </w:r>
      <w:r w:rsidRPr="00D87544">
        <w:t xml:space="preserve"> the </w:t>
      </w:r>
      <w:r>
        <w:t>Account</w:t>
      </w:r>
      <w:r w:rsidRPr="00D87544">
        <w:t xml:space="preserve"> was reducing at a much faster rate than forecast when Cabinet a</w:t>
      </w:r>
      <w:r>
        <w:t>greed to reduce adult passport</w:t>
      </w:r>
      <w:r w:rsidR="00EB70FB">
        <w:t xml:space="preserve"> </w:t>
      </w:r>
      <w:r w:rsidR="00896E08">
        <w:t>fees</w:t>
      </w:r>
      <w:r>
        <w:t>.</w:t>
      </w:r>
    </w:p>
    <w:p w14:paraId="0CBF84B7" w14:textId="5EDF859F" w:rsidR="00661568" w:rsidRDefault="00946695" w:rsidP="00661568">
      <w:pPr>
        <w:pStyle w:val="Numberedpara3level1"/>
      </w:pPr>
      <w:r>
        <w:t xml:space="preserve">Our February 2015 </w:t>
      </w:r>
      <w:r w:rsidR="00661568">
        <w:t xml:space="preserve">forecasts (see </w:t>
      </w:r>
      <w:r w:rsidR="00661568" w:rsidRPr="00F4500C">
        <w:rPr>
          <w:b/>
        </w:rPr>
        <w:t>table 1</w:t>
      </w:r>
      <w:r w:rsidR="00661568">
        <w:t xml:space="preserve"> below) now indicate that the balance of the Account will be more than $10 million in deficit as at 30 June 2015.</w:t>
      </w:r>
    </w:p>
    <w:p w14:paraId="2A530A98" w14:textId="1A253932" w:rsidR="00661568" w:rsidRDefault="00661568" w:rsidP="00661568">
      <w:pPr>
        <w:pStyle w:val="Caption"/>
        <w:keepNext/>
      </w:pPr>
      <w:r>
        <w:t xml:space="preserve">Table </w:t>
      </w:r>
      <w:fldSimple w:instr=" SEQ Table \* ARABIC ">
        <w:r w:rsidR="008204CF">
          <w:rPr>
            <w:noProof/>
          </w:rPr>
          <w:t>1</w:t>
        </w:r>
      </w:fldSimple>
      <w:r>
        <w:t xml:space="preserve">: </w:t>
      </w:r>
      <w:r w:rsidR="00946695">
        <w:t>Current and</w:t>
      </w:r>
      <w:r w:rsidRPr="0004537D">
        <w:t xml:space="preserve"> forecast balance of the </w:t>
      </w:r>
      <w:r>
        <w:t>Account</w:t>
      </w:r>
      <w:r w:rsidRPr="0004537D">
        <w:t xml:space="preserve"> (if fees do not rise by July 2015)</w:t>
      </w:r>
    </w:p>
    <w:tbl>
      <w:tblPr>
        <w:tblStyle w:val="RIS"/>
        <w:tblW w:w="0" w:type="auto"/>
        <w:tblLook w:val="04A0" w:firstRow="1" w:lastRow="0" w:firstColumn="1" w:lastColumn="0" w:noHBand="0" w:noVBand="1"/>
      </w:tblPr>
      <w:tblGrid>
        <w:gridCol w:w="2153"/>
        <w:gridCol w:w="2153"/>
        <w:gridCol w:w="2153"/>
        <w:gridCol w:w="2153"/>
      </w:tblGrid>
      <w:tr w:rsidR="00661568" w14:paraId="7A84AF83" w14:textId="77777777" w:rsidTr="00661568">
        <w:trPr>
          <w:cnfStyle w:val="100000000000" w:firstRow="1" w:lastRow="0" w:firstColumn="0" w:lastColumn="0" w:oddVBand="0" w:evenVBand="0" w:oddHBand="0" w:evenHBand="0" w:firstRowFirstColumn="0" w:firstRowLastColumn="0" w:lastRowFirstColumn="0" w:lastRowLastColumn="0"/>
        </w:trPr>
        <w:tc>
          <w:tcPr>
            <w:tcW w:w="2153" w:type="dxa"/>
          </w:tcPr>
          <w:p w14:paraId="4ECA1FD7" w14:textId="77777777" w:rsidR="00661568" w:rsidRPr="001B69C8" w:rsidRDefault="00661568" w:rsidP="001B69C8">
            <w:pPr>
              <w:pStyle w:val="Tableheading"/>
              <w:jc w:val="center"/>
              <w:rPr>
                <w:b/>
              </w:rPr>
            </w:pPr>
            <w:r w:rsidRPr="001B69C8">
              <w:rPr>
                <w:b/>
              </w:rPr>
              <w:t>31 December 2014</w:t>
            </w:r>
          </w:p>
        </w:tc>
        <w:tc>
          <w:tcPr>
            <w:tcW w:w="2153" w:type="dxa"/>
          </w:tcPr>
          <w:p w14:paraId="3B3464E8" w14:textId="77777777" w:rsidR="00661568" w:rsidRPr="001B69C8" w:rsidRDefault="00661568" w:rsidP="001B69C8">
            <w:pPr>
              <w:pStyle w:val="Tableheading"/>
              <w:jc w:val="center"/>
              <w:rPr>
                <w:b/>
              </w:rPr>
            </w:pPr>
            <w:r w:rsidRPr="001B69C8">
              <w:rPr>
                <w:b/>
              </w:rPr>
              <w:t>30 June 2015</w:t>
            </w:r>
          </w:p>
        </w:tc>
        <w:tc>
          <w:tcPr>
            <w:tcW w:w="2153" w:type="dxa"/>
          </w:tcPr>
          <w:p w14:paraId="640FDE0A" w14:textId="77777777" w:rsidR="00661568" w:rsidRPr="001B69C8" w:rsidRDefault="00661568" w:rsidP="001B69C8">
            <w:pPr>
              <w:pStyle w:val="Tableheading"/>
              <w:jc w:val="center"/>
              <w:rPr>
                <w:b/>
              </w:rPr>
            </w:pPr>
            <w:r w:rsidRPr="001B69C8">
              <w:rPr>
                <w:b/>
              </w:rPr>
              <w:t>30 June 2016</w:t>
            </w:r>
          </w:p>
        </w:tc>
        <w:tc>
          <w:tcPr>
            <w:tcW w:w="2153" w:type="dxa"/>
          </w:tcPr>
          <w:p w14:paraId="4FC60398" w14:textId="77777777" w:rsidR="00661568" w:rsidRPr="001B69C8" w:rsidRDefault="00661568" w:rsidP="001B69C8">
            <w:pPr>
              <w:pStyle w:val="Tableheading"/>
              <w:jc w:val="center"/>
              <w:rPr>
                <w:b/>
              </w:rPr>
            </w:pPr>
            <w:r w:rsidRPr="001B69C8">
              <w:rPr>
                <w:b/>
              </w:rPr>
              <w:t>30 June 2018</w:t>
            </w:r>
          </w:p>
        </w:tc>
      </w:tr>
      <w:tr w:rsidR="00661568" w14:paraId="6D0D938E" w14:textId="77777777" w:rsidTr="00661568">
        <w:tc>
          <w:tcPr>
            <w:tcW w:w="2153" w:type="dxa"/>
          </w:tcPr>
          <w:p w14:paraId="4F4E37DD" w14:textId="77777777" w:rsidR="00661568" w:rsidRPr="00FE7F5D" w:rsidRDefault="00661568" w:rsidP="00616935">
            <w:pPr>
              <w:pStyle w:val="Tablenormal0"/>
              <w:jc w:val="center"/>
            </w:pPr>
            <w:r w:rsidRPr="00FE7F5D">
              <w:t>-$1.978m</w:t>
            </w:r>
          </w:p>
        </w:tc>
        <w:tc>
          <w:tcPr>
            <w:tcW w:w="2153" w:type="dxa"/>
          </w:tcPr>
          <w:p w14:paraId="06C1FC1F" w14:textId="77777777" w:rsidR="00661568" w:rsidRPr="00FE7F5D" w:rsidRDefault="00661568" w:rsidP="00616935">
            <w:pPr>
              <w:pStyle w:val="Tablenormal0"/>
              <w:jc w:val="center"/>
            </w:pPr>
            <w:r w:rsidRPr="00FE7F5D">
              <w:t>-$10.568m</w:t>
            </w:r>
          </w:p>
        </w:tc>
        <w:tc>
          <w:tcPr>
            <w:tcW w:w="2153" w:type="dxa"/>
          </w:tcPr>
          <w:p w14:paraId="5AF1D4C7" w14:textId="3526343C" w:rsidR="00661568" w:rsidRPr="00FE7F5D" w:rsidRDefault="00387B9E" w:rsidP="00616935">
            <w:pPr>
              <w:pStyle w:val="Tablenormal0"/>
              <w:jc w:val="center"/>
            </w:pPr>
            <w:r>
              <w:t>-$30.046</w:t>
            </w:r>
            <w:r w:rsidR="00661568" w:rsidRPr="00FE7F5D">
              <w:t>m</w:t>
            </w:r>
          </w:p>
        </w:tc>
        <w:tc>
          <w:tcPr>
            <w:tcW w:w="2153" w:type="dxa"/>
          </w:tcPr>
          <w:p w14:paraId="0A7CB3E2" w14:textId="5EEC1F68" w:rsidR="00661568" w:rsidRPr="00FE7F5D" w:rsidRDefault="00387B9E" w:rsidP="00616935">
            <w:pPr>
              <w:pStyle w:val="Tablenormal0"/>
              <w:jc w:val="center"/>
            </w:pPr>
            <w:r>
              <w:t>-$84.730</w:t>
            </w:r>
            <w:r w:rsidR="00661568" w:rsidRPr="00FE7F5D">
              <w:t>m</w:t>
            </w:r>
          </w:p>
        </w:tc>
      </w:tr>
    </w:tbl>
    <w:p w14:paraId="3CE2A01A" w14:textId="5135CE02" w:rsidR="00661568" w:rsidRDefault="00661568" w:rsidP="00661568">
      <w:pPr>
        <w:pStyle w:val="Numberedpara3level1"/>
      </w:pPr>
      <w:r>
        <w:t xml:space="preserve">This is an unsustainable position, requiring price increases and/or an alternative funding approach. Funding approaches for passports are considered in </w:t>
      </w:r>
      <w:r w:rsidRPr="00661568">
        <w:rPr>
          <w:b/>
        </w:rPr>
        <w:t xml:space="preserve">Part </w:t>
      </w:r>
      <w:r>
        <w:rPr>
          <w:b/>
        </w:rPr>
        <w:t>T</w:t>
      </w:r>
      <w:r w:rsidRPr="00661568">
        <w:rPr>
          <w:b/>
        </w:rPr>
        <w:t>wo</w:t>
      </w:r>
      <w:r>
        <w:t xml:space="preserve"> of this regulatory impact assessment.</w:t>
      </w:r>
    </w:p>
    <w:p w14:paraId="2F3332AD" w14:textId="77777777" w:rsidR="00661568" w:rsidRPr="00D43DB4" w:rsidRDefault="00661568" w:rsidP="00661568">
      <w:pPr>
        <w:pStyle w:val="Heading2"/>
        <w:rPr>
          <w:lang w:val="en-GB" w:eastAsia="en-GB"/>
        </w:rPr>
      </w:pPr>
      <w:bookmarkStart w:id="7" w:name="_Toc413227670"/>
      <w:r>
        <w:t>Status quo &amp; default option</w:t>
      </w:r>
      <w:bookmarkEnd w:id="7"/>
    </w:p>
    <w:p w14:paraId="7480B1EF" w14:textId="3C12392A" w:rsidR="001538D5" w:rsidRDefault="00661568" w:rsidP="00661568">
      <w:pPr>
        <w:pStyle w:val="Numberedpara3level1"/>
        <w:rPr>
          <w:lang w:val="en-GB" w:eastAsia="en-GB"/>
        </w:rPr>
      </w:pPr>
      <w:r w:rsidRPr="003227BD">
        <w:rPr>
          <w:lang w:val="en-GB" w:eastAsia="en-GB"/>
        </w:rPr>
        <w:t xml:space="preserve">Ordinarily, a regulatory impact assessment will compare new options against the status quo. However, in this case Cabinet have already made decisions to increase passport validity, on renewal, from </w:t>
      </w:r>
      <w:r w:rsidR="00A420CC" w:rsidRPr="00A420CC">
        <w:rPr>
          <w:lang w:val="en-GB" w:eastAsia="en-GB"/>
        </w:rPr>
        <w:t>five-</w:t>
      </w:r>
      <w:r w:rsidRPr="003227BD">
        <w:rPr>
          <w:lang w:val="en-GB" w:eastAsia="en-GB"/>
        </w:rPr>
        <w:t xml:space="preserve">years to </w:t>
      </w:r>
      <w:r w:rsidR="00A420CC" w:rsidRPr="00A420CC">
        <w:rPr>
          <w:lang w:val="en-GB" w:eastAsia="en-GB"/>
        </w:rPr>
        <w:t>five-</w:t>
      </w:r>
      <w:r w:rsidRPr="003227BD">
        <w:rPr>
          <w:lang w:val="en-GB" w:eastAsia="en-GB"/>
        </w:rPr>
        <w:t xml:space="preserve">years, </w:t>
      </w:r>
      <w:r w:rsidR="00A420CC">
        <w:rPr>
          <w:lang w:val="en-GB" w:eastAsia="en-GB"/>
        </w:rPr>
        <w:t>nine-</w:t>
      </w:r>
      <w:r w:rsidRPr="003227BD">
        <w:rPr>
          <w:lang w:val="en-GB" w:eastAsia="en-GB"/>
        </w:rPr>
        <w:t>months. Therefore,</w:t>
      </w:r>
      <w:r w:rsidR="00616935">
        <w:rPr>
          <w:lang w:val="en-GB" w:eastAsia="en-GB"/>
        </w:rPr>
        <w:t xml:space="preserve"> </w:t>
      </w:r>
      <w:r>
        <w:rPr>
          <w:lang w:val="en-GB" w:eastAsia="en-GB"/>
        </w:rPr>
        <w:t>t</w:t>
      </w:r>
      <w:r w:rsidRPr="003227BD">
        <w:rPr>
          <w:lang w:val="en-GB" w:eastAsia="en-GB"/>
        </w:rPr>
        <w:t xml:space="preserve">his regulatory impact assessment will not include a status quo option. </w:t>
      </w:r>
    </w:p>
    <w:p w14:paraId="40F63107" w14:textId="23FED8F1" w:rsidR="00661568" w:rsidRPr="003227BD" w:rsidRDefault="00661568" w:rsidP="00661568">
      <w:pPr>
        <w:pStyle w:val="Numberedpara3level1"/>
        <w:rPr>
          <w:lang w:val="en-GB" w:eastAsia="en-GB"/>
        </w:rPr>
      </w:pPr>
      <w:r w:rsidRPr="003227BD">
        <w:rPr>
          <w:lang w:val="en-GB" w:eastAsia="en-GB"/>
        </w:rPr>
        <w:t xml:space="preserve">Instead </w:t>
      </w:r>
      <w:r w:rsidR="00D22CAE">
        <w:rPr>
          <w:lang w:val="en-GB" w:eastAsia="en-GB"/>
        </w:rPr>
        <w:t>we</w:t>
      </w:r>
      <w:r w:rsidRPr="003227BD">
        <w:rPr>
          <w:lang w:val="en-GB" w:eastAsia="en-GB"/>
        </w:rPr>
        <w:t xml:space="preserve"> will consider </w:t>
      </w:r>
      <w:r>
        <w:rPr>
          <w:lang w:val="en-GB" w:eastAsia="en-GB"/>
        </w:rPr>
        <w:t xml:space="preserve">implementing Cabinet’s previous decision of </w:t>
      </w:r>
      <w:r w:rsidR="00A420CC" w:rsidRPr="00A420CC">
        <w:rPr>
          <w:lang w:val="en-GB" w:eastAsia="en-GB"/>
        </w:rPr>
        <w:t>five-</w:t>
      </w:r>
      <w:r>
        <w:rPr>
          <w:lang w:val="en-GB" w:eastAsia="en-GB"/>
        </w:rPr>
        <w:t xml:space="preserve">years, </w:t>
      </w:r>
      <w:r w:rsidR="00A420CC">
        <w:rPr>
          <w:lang w:val="en-GB" w:eastAsia="en-GB"/>
        </w:rPr>
        <w:t>nine-</w:t>
      </w:r>
      <w:r>
        <w:rPr>
          <w:lang w:val="en-GB" w:eastAsia="en-GB"/>
        </w:rPr>
        <w:t>months</w:t>
      </w:r>
      <w:r w:rsidRPr="003227BD">
        <w:rPr>
          <w:lang w:val="en-GB" w:eastAsia="en-GB"/>
        </w:rPr>
        <w:t xml:space="preserve"> </w:t>
      </w:r>
      <w:r>
        <w:rPr>
          <w:lang w:val="en-GB" w:eastAsia="en-GB"/>
        </w:rPr>
        <w:t xml:space="preserve">as the </w:t>
      </w:r>
      <w:r w:rsidRPr="003227BD">
        <w:rPr>
          <w:lang w:val="en-GB" w:eastAsia="en-GB"/>
        </w:rPr>
        <w:t xml:space="preserve">default </w:t>
      </w:r>
      <w:r>
        <w:rPr>
          <w:lang w:val="en-GB" w:eastAsia="en-GB"/>
        </w:rPr>
        <w:t xml:space="preserve">option against which </w:t>
      </w:r>
      <w:r w:rsidR="00D22CAE">
        <w:rPr>
          <w:lang w:val="en-GB" w:eastAsia="en-GB"/>
        </w:rPr>
        <w:t>the other option</w:t>
      </w:r>
      <w:r>
        <w:rPr>
          <w:lang w:val="en-GB" w:eastAsia="en-GB"/>
        </w:rPr>
        <w:t xml:space="preserve"> will be compared.</w:t>
      </w:r>
    </w:p>
    <w:p w14:paraId="782CF556" w14:textId="77777777" w:rsidR="00777E0D" w:rsidRPr="003403AB" w:rsidRDefault="00777E0D" w:rsidP="003227BD">
      <w:pPr>
        <w:pStyle w:val="Spacer"/>
        <w:rPr>
          <w:lang w:val="en-GB" w:eastAsia="en-GB"/>
        </w:rPr>
      </w:pPr>
    </w:p>
    <w:p w14:paraId="7E38263B" w14:textId="1E578F32" w:rsidR="007718EC" w:rsidRPr="00665DA7" w:rsidRDefault="00B5742E" w:rsidP="00665DA7">
      <w:pPr>
        <w:pStyle w:val="Heading1"/>
        <w:rPr>
          <w:bCs/>
          <w:sz w:val="32"/>
        </w:rPr>
      </w:pPr>
      <w:bookmarkStart w:id="8" w:name="_Toc413227671"/>
      <w:r w:rsidRPr="00665DA7">
        <w:rPr>
          <w:bCs/>
          <w:sz w:val="32"/>
        </w:rPr>
        <w:t>Assumptions and l</w:t>
      </w:r>
      <w:r w:rsidR="007718EC" w:rsidRPr="00665DA7">
        <w:rPr>
          <w:bCs/>
          <w:sz w:val="32"/>
        </w:rPr>
        <w:t>imitations on analysis</w:t>
      </w:r>
      <w:bookmarkEnd w:id="8"/>
    </w:p>
    <w:p w14:paraId="7E38263C" w14:textId="262AEC26" w:rsidR="002702FA" w:rsidRPr="002702FA" w:rsidRDefault="00B5742E" w:rsidP="009267D1">
      <w:pPr>
        <w:pStyle w:val="Numberedpara3level1"/>
      </w:pPr>
      <w:r>
        <w:t xml:space="preserve">This regulatory impact analysis </w:t>
      </w:r>
      <w:r w:rsidR="00F53198">
        <w:t>depends on</w:t>
      </w:r>
      <w:r>
        <w:t xml:space="preserve"> a small number of assumptions and</w:t>
      </w:r>
      <w:r w:rsidR="00F53198">
        <w:t xml:space="preserve"> is constrained by </w:t>
      </w:r>
      <w:r w:rsidR="0070462A">
        <w:t xml:space="preserve">two </w:t>
      </w:r>
      <w:r>
        <w:t>limitations. These are set out below.</w:t>
      </w:r>
    </w:p>
    <w:p w14:paraId="2E06B709" w14:textId="3C2BAA53" w:rsidR="002B4879" w:rsidRPr="002B4879" w:rsidRDefault="00B5742E" w:rsidP="002B4879">
      <w:pPr>
        <w:pStyle w:val="Heading3"/>
      </w:pPr>
      <w:r>
        <w:t xml:space="preserve">Assumption: </w:t>
      </w:r>
      <w:r w:rsidR="007718EC" w:rsidRPr="007718EC">
        <w:t xml:space="preserve">Status quo will remain for </w:t>
      </w:r>
      <w:r w:rsidR="00946695">
        <w:t>c</w:t>
      </w:r>
      <w:r w:rsidR="007718EC" w:rsidRPr="007718EC">
        <w:t>hild passports</w:t>
      </w:r>
    </w:p>
    <w:p w14:paraId="7E38263D" w14:textId="4E6A6CB7" w:rsidR="007718EC" w:rsidRDefault="007718EC" w:rsidP="007718EC">
      <w:pPr>
        <w:pStyle w:val="Numberedpara3level1"/>
      </w:pPr>
      <w:r>
        <w:t xml:space="preserve">Child passports will continue to have a validity period of </w:t>
      </w:r>
      <w:r w:rsidR="00A420CC" w:rsidRPr="00A420CC">
        <w:rPr>
          <w:lang w:val="en-GB" w:eastAsia="en-GB"/>
        </w:rPr>
        <w:t>five-</w:t>
      </w:r>
      <w:r>
        <w:t xml:space="preserve">years and will continue to be subsidised by adult passports </w:t>
      </w:r>
      <w:r w:rsidR="00026EE2">
        <w:t>with prices set at</w:t>
      </w:r>
      <w:r w:rsidR="000320B5">
        <w:t xml:space="preserve"> near</w:t>
      </w:r>
      <w:r>
        <w:t xml:space="preserve"> the current rate of </w:t>
      </w:r>
      <w:r w:rsidR="002702C5">
        <w:t>58</w:t>
      </w:r>
      <w:r w:rsidR="00415569">
        <w:t xml:space="preserve"> per</w:t>
      </w:r>
      <w:r w:rsidR="00896E08">
        <w:t xml:space="preserve"> </w:t>
      </w:r>
      <w:r w:rsidR="00415569">
        <w:t>cent</w:t>
      </w:r>
      <w:r>
        <w:t xml:space="preserve"> of </w:t>
      </w:r>
      <w:r w:rsidR="00CC0B6A">
        <w:t>the adult fee</w:t>
      </w:r>
      <w:r w:rsidR="002702C5">
        <w:t xml:space="preserve"> (a 42</w:t>
      </w:r>
      <w:r w:rsidR="00415569" w:rsidRPr="00415569">
        <w:t xml:space="preserve"> </w:t>
      </w:r>
      <w:r w:rsidR="00415569">
        <w:t>per</w:t>
      </w:r>
      <w:r w:rsidR="00896E08">
        <w:t xml:space="preserve"> </w:t>
      </w:r>
      <w:r w:rsidR="00415569">
        <w:t>cent</w:t>
      </w:r>
      <w:r w:rsidR="00415569" w:rsidDel="00415569">
        <w:t xml:space="preserve"> </w:t>
      </w:r>
      <w:r w:rsidR="002702C5">
        <w:t>discount)</w:t>
      </w:r>
      <w:r>
        <w:t>.</w:t>
      </w:r>
    </w:p>
    <w:p w14:paraId="73870FD5" w14:textId="0A0F8668" w:rsidR="0063248B" w:rsidRDefault="0063248B" w:rsidP="007718EC">
      <w:pPr>
        <w:pStyle w:val="Numberedpara3level1"/>
      </w:pPr>
      <w:r>
        <w:t>Therefore, throughout this regulatory impact statement all references to passport validity will refer to adult passports, unless specifically referencing child passports.</w:t>
      </w:r>
    </w:p>
    <w:p w14:paraId="68690EC4" w14:textId="214F2FDA" w:rsidR="00507555" w:rsidRDefault="00507555" w:rsidP="002B4879">
      <w:pPr>
        <w:pStyle w:val="Heading3"/>
      </w:pPr>
      <w:r>
        <w:t>Assumption: change</w:t>
      </w:r>
      <w:r w:rsidR="008A5214">
        <w:t>s</w:t>
      </w:r>
      <w:r>
        <w:t xml:space="preserve"> </w:t>
      </w:r>
      <w:r w:rsidR="008A5214">
        <w:t>will</w:t>
      </w:r>
      <w:r>
        <w:t xml:space="preserve"> be implemented in July 2016</w:t>
      </w:r>
    </w:p>
    <w:p w14:paraId="063D3DEC" w14:textId="2158D07F" w:rsidR="00507555" w:rsidRPr="00507555" w:rsidRDefault="00C96CE4" w:rsidP="00972EA7">
      <w:pPr>
        <w:pStyle w:val="Numberedpara3level1"/>
      </w:pPr>
      <w:r>
        <w:t xml:space="preserve">Any changes to passport validity or funding models will not be put into place until July 2016. This reflects the </w:t>
      </w:r>
      <w:r w:rsidR="00261987">
        <w:t xml:space="preserve">time required to </w:t>
      </w:r>
      <w:r w:rsidR="00F570D6">
        <w:t>amend</w:t>
      </w:r>
      <w:r>
        <w:t xml:space="preserve"> </w:t>
      </w:r>
      <w:r w:rsidR="00261987">
        <w:t xml:space="preserve">the Passports Act </w:t>
      </w:r>
      <w:r>
        <w:t>(</w:t>
      </w:r>
      <w:r w:rsidR="00261987">
        <w:t xml:space="preserve">for </w:t>
      </w:r>
      <w:r>
        <w:t>validity</w:t>
      </w:r>
      <w:r w:rsidR="00261987">
        <w:t xml:space="preserve"> period</w:t>
      </w:r>
      <w:r>
        <w:t>)</w:t>
      </w:r>
      <w:r w:rsidR="00261987">
        <w:t>,</w:t>
      </w:r>
      <w:r>
        <w:t xml:space="preserve"> </w:t>
      </w:r>
      <w:r w:rsidR="00261987">
        <w:t xml:space="preserve">regulation change </w:t>
      </w:r>
      <w:r>
        <w:t>(</w:t>
      </w:r>
      <w:r w:rsidR="00261987">
        <w:t xml:space="preserve">to set new </w:t>
      </w:r>
      <w:r>
        <w:t>fee</w:t>
      </w:r>
      <w:r w:rsidR="00261987">
        <w:t>s</w:t>
      </w:r>
      <w:r>
        <w:t>)</w:t>
      </w:r>
      <w:r w:rsidR="00261987">
        <w:t xml:space="preserve"> and administrative changes in the passports office needed to implement agreed change</w:t>
      </w:r>
      <w:r>
        <w:t>.</w:t>
      </w:r>
    </w:p>
    <w:p w14:paraId="281F7507" w14:textId="7AB5B3D4" w:rsidR="002B4879" w:rsidRPr="002B4879" w:rsidRDefault="00B5742E" w:rsidP="002B4879">
      <w:pPr>
        <w:pStyle w:val="Heading3"/>
      </w:pPr>
      <w:r>
        <w:lastRenderedPageBreak/>
        <w:t xml:space="preserve">Assumption: </w:t>
      </w:r>
      <w:r w:rsidR="00432F36">
        <w:t>Cost of service</w:t>
      </w:r>
      <w:r w:rsidR="007718EC">
        <w:t xml:space="preserve"> to remain constant</w:t>
      </w:r>
    </w:p>
    <w:p w14:paraId="7E38263F" w14:textId="66E431DE" w:rsidR="007718EC" w:rsidRDefault="007718EC" w:rsidP="007718EC">
      <w:pPr>
        <w:pStyle w:val="Numberedpara3level1"/>
      </w:pPr>
      <w:r>
        <w:t>Due to high fixed costs and automation</w:t>
      </w:r>
      <w:r w:rsidR="002E42AC">
        <w:t>,</w:t>
      </w:r>
      <w:r>
        <w:t xml:space="preserve"> as a part of the passport service modernisation process, there is limited scope to significantly reduce the cost of the passport service through reduced service level agreements (e.g. aiming to process passports within </w:t>
      </w:r>
      <w:r w:rsidR="00415569">
        <w:t>four</w:t>
      </w:r>
      <w:r>
        <w:t xml:space="preserve"> or </w:t>
      </w:r>
      <w:r w:rsidR="00415569">
        <w:t>six</w:t>
      </w:r>
      <w:r>
        <w:t xml:space="preserve"> weeks, rather than within </w:t>
      </w:r>
      <w:r w:rsidR="00415569">
        <w:t>two</w:t>
      </w:r>
      <w:r>
        <w:t xml:space="preserve"> weeks). Therefore, this regulatory impact assessment assumes that</w:t>
      </w:r>
      <w:r w:rsidR="00432F36">
        <w:t xml:space="preserve"> </w:t>
      </w:r>
      <w:r>
        <w:t xml:space="preserve">current service levels </w:t>
      </w:r>
      <w:r w:rsidR="009A6B6D">
        <w:t>for the production of passports</w:t>
      </w:r>
      <w:r>
        <w:t xml:space="preserve"> will be assumed to remain constant between options</w:t>
      </w:r>
      <w:r w:rsidR="00432F36">
        <w:t xml:space="preserve">. </w:t>
      </w:r>
    </w:p>
    <w:p w14:paraId="7E382640" w14:textId="0B4B6A7E" w:rsidR="007718EC" w:rsidRDefault="00432F36" w:rsidP="007718EC">
      <w:pPr>
        <w:pStyle w:val="Numberedpara3level1"/>
      </w:pPr>
      <w:r>
        <w:t xml:space="preserve">We will also assume that </w:t>
      </w:r>
      <w:r w:rsidR="007718EC">
        <w:t>attempts to reduce costs will have, at best, marginal impact on costs and will not lead to significant enough savings to impact on options analysis and cost of production will therefore be assumed as constant.</w:t>
      </w:r>
    </w:p>
    <w:p w14:paraId="35A7ACA5" w14:textId="77777777" w:rsidR="002B4879" w:rsidRPr="002B4879" w:rsidRDefault="00B5742E" w:rsidP="002B4879">
      <w:pPr>
        <w:pStyle w:val="Heading3"/>
      </w:pPr>
      <w:r>
        <w:t>Limitation: non-regulatory options are not viable</w:t>
      </w:r>
    </w:p>
    <w:p w14:paraId="7E382642" w14:textId="3154A4E5" w:rsidR="00705CA5" w:rsidRDefault="00B5742E" w:rsidP="00B5742E">
      <w:pPr>
        <w:pStyle w:val="Numberedpara3level1"/>
      </w:pPr>
      <w:r w:rsidRPr="00B5742E">
        <w:t>Passports</w:t>
      </w:r>
      <w:r>
        <w:t xml:space="preserve"> are, at a most basic level, a tool for nation</w:t>
      </w:r>
      <w:r w:rsidR="009326AB">
        <w:t>-s</w:t>
      </w:r>
      <w:r>
        <w:t xml:space="preserve">tates to declare an </w:t>
      </w:r>
      <w:r w:rsidR="00406C3C">
        <w:t>individual’s</w:t>
      </w:r>
      <w:r>
        <w:t xml:space="preserve"> national identity and seek safe passage and</w:t>
      </w:r>
      <w:r w:rsidR="00946695">
        <w:t xml:space="preserve"> consular assistance</w:t>
      </w:r>
      <w:r>
        <w:t xml:space="preserve"> for that individual. Passports are governed by </w:t>
      </w:r>
      <w:r w:rsidR="00A51777">
        <w:t>s</w:t>
      </w:r>
      <w:r>
        <w:t>tatute</w:t>
      </w:r>
      <w:r w:rsidR="000320B5">
        <w:t xml:space="preserve"> and international agreements.</w:t>
      </w:r>
      <w:r>
        <w:t xml:space="preserve"> </w:t>
      </w:r>
      <w:r w:rsidR="000320B5">
        <w:t>N</w:t>
      </w:r>
      <w:r>
        <w:t xml:space="preserve">on-regulatory options for </w:t>
      </w:r>
      <w:r w:rsidR="00946695">
        <w:t xml:space="preserve">changing </w:t>
      </w:r>
      <w:r>
        <w:t xml:space="preserve">passport validity </w:t>
      </w:r>
      <w:r w:rsidR="005266EF">
        <w:t>are not</w:t>
      </w:r>
      <w:r>
        <w:t xml:space="preserve"> viable.</w:t>
      </w:r>
    </w:p>
    <w:p w14:paraId="249248BD" w14:textId="77777777" w:rsidR="002B4879" w:rsidRDefault="00705CA5" w:rsidP="002B4879">
      <w:pPr>
        <w:pStyle w:val="Heading3"/>
      </w:pPr>
      <w:r w:rsidRPr="00285E20">
        <w:t>Limitation: we do not have any data on passport use for verification of identity</w:t>
      </w:r>
    </w:p>
    <w:p w14:paraId="618E5F03" w14:textId="0E038A4B" w:rsidR="006D7962" w:rsidRPr="006D7962" w:rsidRDefault="00705CA5" w:rsidP="005F1EC5">
      <w:pPr>
        <w:pStyle w:val="Numberedpara3level1"/>
        <w:rPr>
          <w:b/>
        </w:rPr>
      </w:pPr>
      <w:r w:rsidRPr="00705CA5">
        <w:t xml:space="preserve">Passports are primarily a travel document. </w:t>
      </w:r>
      <w:r>
        <w:t>While we recognise that New Zealanders frequently use their passports as a form of primary identity verification</w:t>
      </w:r>
      <w:r w:rsidR="002E42AC">
        <w:t>,</w:t>
      </w:r>
      <w:r w:rsidR="00285E20">
        <w:t xml:space="preserve"> </w:t>
      </w:r>
      <w:r>
        <w:t>the Department does not have any data on frequency of use of passport as an</w:t>
      </w:r>
      <w:r w:rsidR="00285E20">
        <w:t xml:space="preserve"> identity document</w:t>
      </w:r>
      <w:r w:rsidR="00606DF3">
        <w:t xml:space="preserve"> other than for international travel purposes</w:t>
      </w:r>
      <w:r w:rsidR="00285E20">
        <w:t>.</w:t>
      </w:r>
    </w:p>
    <w:p w14:paraId="7E382646" w14:textId="1DCBD91E" w:rsidR="0007032B" w:rsidRPr="005F1EC5" w:rsidRDefault="00285E20" w:rsidP="005F1EC5">
      <w:pPr>
        <w:pStyle w:val="Numberedpara3level1"/>
        <w:rPr>
          <w:b/>
        </w:rPr>
      </w:pPr>
      <w:r>
        <w:t>We consider that u</w:t>
      </w:r>
      <w:r w:rsidR="00705CA5">
        <w:t>se of a passport as an identity document</w:t>
      </w:r>
      <w:r w:rsidR="009326AB">
        <w:t xml:space="preserve"> (in situations other than international travel)</w:t>
      </w:r>
      <w:r w:rsidR="00705CA5">
        <w:t xml:space="preserve"> is a side-benefit,</w:t>
      </w:r>
      <w:r w:rsidR="009326AB">
        <w:t xml:space="preserve"> rather than </w:t>
      </w:r>
      <w:r w:rsidR="00705CA5">
        <w:t>a core component</w:t>
      </w:r>
      <w:r>
        <w:t>,</w:t>
      </w:r>
      <w:r w:rsidR="00705CA5">
        <w:t xml:space="preserve"> of passport</w:t>
      </w:r>
      <w:r>
        <w:t>s</w:t>
      </w:r>
      <w:r w:rsidR="00151E8D">
        <w:t xml:space="preserve"> and therefore is not considered a part of this analysis</w:t>
      </w:r>
      <w:r w:rsidR="00705CA5">
        <w:t>.</w:t>
      </w:r>
    </w:p>
    <w:p w14:paraId="2B39B197" w14:textId="31E96308" w:rsidR="00E92EBF" w:rsidRDefault="00E92EBF" w:rsidP="00FF487A">
      <w:pPr>
        <w:pStyle w:val="Spacer"/>
      </w:pPr>
    </w:p>
    <w:p w14:paraId="7E382647" w14:textId="455A108C" w:rsidR="0007032B" w:rsidRPr="00665DA7" w:rsidRDefault="0007032B" w:rsidP="00665DA7">
      <w:pPr>
        <w:pStyle w:val="Heading1"/>
        <w:rPr>
          <w:bCs/>
          <w:sz w:val="32"/>
        </w:rPr>
      </w:pPr>
      <w:bookmarkStart w:id="9" w:name="_Toc413227672"/>
      <w:r w:rsidRPr="00665DA7">
        <w:rPr>
          <w:bCs/>
          <w:sz w:val="32"/>
        </w:rPr>
        <w:t>Problem definition</w:t>
      </w:r>
      <w:bookmarkEnd w:id="9"/>
    </w:p>
    <w:p w14:paraId="1A113BCC" w14:textId="56A6269F" w:rsidR="00DB3A96" w:rsidRDefault="00DB3A96" w:rsidP="00DB3A96">
      <w:pPr>
        <w:pStyle w:val="Numberedpara3level1"/>
      </w:pPr>
      <w:r>
        <w:t xml:space="preserve">This Regulatory Impact Assessment responds to Ministerial direction to examine security, risk and cost implications of moving passport validity to </w:t>
      </w:r>
      <w:r w:rsidR="00A14275">
        <w:t>ten</w:t>
      </w:r>
      <w:r>
        <w:t xml:space="preserve"> years</w:t>
      </w:r>
      <w:r w:rsidR="00946695">
        <w:t xml:space="preserve">, versus implementing the previously agreed validity extension on renewal for </w:t>
      </w:r>
      <w:r w:rsidR="00A420CC" w:rsidRPr="00A420CC">
        <w:rPr>
          <w:lang w:val="en-GB" w:eastAsia="en-GB"/>
        </w:rPr>
        <w:t>five-</w:t>
      </w:r>
      <w:r w:rsidR="00946695">
        <w:t xml:space="preserve">years, </w:t>
      </w:r>
      <w:r w:rsidR="00A420CC">
        <w:t>nine-</w:t>
      </w:r>
      <w:r w:rsidR="00946695">
        <w:t>months</w:t>
      </w:r>
      <w:r>
        <w:t xml:space="preserve">. </w:t>
      </w:r>
    </w:p>
    <w:p w14:paraId="7475FBE3" w14:textId="62481064" w:rsidR="00DB3A96" w:rsidRPr="001B69C8" w:rsidRDefault="003579BB" w:rsidP="003579BB">
      <w:pPr>
        <w:pStyle w:val="Numberedpara3level1"/>
      </w:pPr>
      <w:r>
        <w:t xml:space="preserve">Therefore, we will firstly, </w:t>
      </w:r>
      <w:bookmarkStart w:id="10" w:name="_Toc412452117"/>
      <w:r w:rsidR="00DB3A96" w:rsidRPr="001B69C8">
        <w:t xml:space="preserve">consider options for passport validity (Part 1: </w:t>
      </w:r>
      <w:r w:rsidR="00EB70FB">
        <w:t>v</w:t>
      </w:r>
      <w:r w:rsidR="00DB3A96" w:rsidRPr="001B69C8">
        <w:t xml:space="preserve">alidity </w:t>
      </w:r>
      <w:r w:rsidR="00EB70FB">
        <w:t>a</w:t>
      </w:r>
      <w:r>
        <w:t xml:space="preserve">nalysis) and then </w:t>
      </w:r>
      <w:r w:rsidR="00DB3A96" w:rsidRPr="001B69C8">
        <w:t xml:space="preserve">consider </w:t>
      </w:r>
      <w:r w:rsidR="00EB70FB">
        <w:t xml:space="preserve">the cost implications of returning to a </w:t>
      </w:r>
      <w:r w:rsidR="00A14275">
        <w:t>ten-</w:t>
      </w:r>
      <w:r w:rsidR="00EB70FB">
        <w:t>year validity period</w:t>
      </w:r>
      <w:r w:rsidR="00DB3A96" w:rsidRPr="001B69C8">
        <w:t xml:space="preserve"> (</w:t>
      </w:r>
      <w:r w:rsidR="00DB3A96" w:rsidRPr="00896E08">
        <w:t>Part 2:</w:t>
      </w:r>
      <w:r>
        <w:t xml:space="preserve"> cost analysis).</w:t>
      </w:r>
    </w:p>
    <w:bookmarkEnd w:id="10"/>
    <w:p w14:paraId="22F72457" w14:textId="77777777" w:rsidR="001921DD" w:rsidRDefault="001921DD" w:rsidP="00DB3A96">
      <w:pPr>
        <w:pStyle w:val="Spacer"/>
      </w:pPr>
    </w:p>
    <w:p w14:paraId="0B183306" w14:textId="15149777" w:rsidR="008D46F2" w:rsidRPr="00FE5968" w:rsidRDefault="008D46F2" w:rsidP="008D46F2">
      <w:pPr>
        <w:pStyle w:val="Heading1"/>
        <w:rPr>
          <w:sz w:val="32"/>
        </w:rPr>
      </w:pPr>
      <w:bookmarkStart w:id="11" w:name="_Toc413227673"/>
      <w:r w:rsidRPr="00FE5968">
        <w:rPr>
          <w:sz w:val="32"/>
        </w:rPr>
        <w:t xml:space="preserve">Part One: </w:t>
      </w:r>
      <w:r w:rsidRPr="00FE5968">
        <w:rPr>
          <w:sz w:val="32"/>
        </w:rPr>
        <w:tab/>
        <w:t>Validity Analysis</w:t>
      </w:r>
      <w:bookmarkEnd w:id="11"/>
    </w:p>
    <w:p w14:paraId="154AC1E6" w14:textId="5A9C517C" w:rsidR="00D43DB4" w:rsidRDefault="00D43DB4" w:rsidP="00FE5968">
      <w:pPr>
        <w:pStyle w:val="Heading1"/>
      </w:pPr>
      <w:bookmarkStart w:id="12" w:name="_Toc413227674"/>
      <w:r>
        <w:t>Objectives and Criteria</w:t>
      </w:r>
      <w:bookmarkEnd w:id="12"/>
    </w:p>
    <w:p w14:paraId="37180F0E" w14:textId="4C2F437C" w:rsidR="004712BC" w:rsidRDefault="004D4694" w:rsidP="004712BC">
      <w:pPr>
        <w:pStyle w:val="Numberedpara3level1"/>
      </w:pPr>
      <w:r>
        <w:t>As per Cabinet’s direction to the Department</w:t>
      </w:r>
      <w:r w:rsidR="00CC27E7">
        <w:t>,</w:t>
      </w:r>
      <w:r>
        <w:t xml:space="preserve"> </w:t>
      </w:r>
      <w:r w:rsidR="00CC27E7">
        <w:t>w</w:t>
      </w:r>
      <w:r>
        <w:t xml:space="preserve">e are examining </w:t>
      </w:r>
      <w:r w:rsidR="0070462A">
        <w:t xml:space="preserve">the question of passport validity period from a perspective </w:t>
      </w:r>
      <w:r w:rsidR="004712BC">
        <w:t>of security and risk</w:t>
      </w:r>
      <w:r w:rsidR="00F721C0">
        <w:t xml:space="preserve"> and also taking account of citizen convenience. </w:t>
      </w:r>
      <w:r w:rsidR="00F721C0" w:rsidRPr="00F721C0">
        <w:t xml:space="preserve">It is important that when considering passport validity </w:t>
      </w:r>
      <w:r w:rsidR="00693073">
        <w:t>periods</w:t>
      </w:r>
      <w:r w:rsidR="00F721C0" w:rsidRPr="00F721C0">
        <w:t>, the interests of passport holders are considered</w:t>
      </w:r>
      <w:r w:rsidR="00471918">
        <w:t>.</w:t>
      </w:r>
    </w:p>
    <w:p w14:paraId="17C99A99" w14:textId="77777777" w:rsidR="00661568" w:rsidRDefault="00661568" w:rsidP="0014205F">
      <w:pPr>
        <w:pStyle w:val="Caption"/>
        <w:keepNext/>
      </w:pPr>
      <w:r w:rsidRPr="002D47C6">
        <w:lastRenderedPageBreak/>
        <w:t xml:space="preserve">Figure </w:t>
      </w:r>
      <w:fldSimple w:instr=" SEQ Figure \* ARABIC ">
        <w:r w:rsidR="008204CF">
          <w:rPr>
            <w:noProof/>
          </w:rPr>
          <w:t>1</w:t>
        </w:r>
      </w:fldSimple>
      <w:r w:rsidRPr="002D47C6">
        <w:t xml:space="preserve">: </w:t>
      </w:r>
      <w:r>
        <w:t>regulatory impact assessment criteria for validity period</w:t>
      </w:r>
    </w:p>
    <w:tbl>
      <w:tblPr>
        <w:tblStyle w:val="Blanktable"/>
        <w:tblW w:w="0" w:type="auto"/>
        <w:tblInd w:w="567" w:type="dxa"/>
        <w:tblLook w:val="0480" w:firstRow="0" w:lastRow="0" w:firstColumn="1" w:lastColumn="0" w:noHBand="0" w:noVBand="1"/>
      </w:tblPr>
      <w:tblGrid>
        <w:gridCol w:w="8720"/>
      </w:tblGrid>
      <w:tr w:rsidR="004712BC" w14:paraId="0DB62E0E" w14:textId="77777777" w:rsidTr="004712BC">
        <w:tc>
          <w:tcPr>
            <w:tcW w:w="8720" w:type="dxa"/>
            <w:hideMark/>
          </w:tcPr>
          <w:p w14:paraId="3AC75FE2" w14:textId="7ECD6E50" w:rsidR="004712BC" w:rsidRDefault="004712BC" w:rsidP="00EA3C3C">
            <w:r>
              <w:rPr>
                <w:noProof/>
                <w:lang w:eastAsia="en-NZ"/>
              </w:rPr>
              <w:drawing>
                <wp:inline distT="0" distB="0" distL="0" distR="0" wp14:anchorId="2A0DE5B4" wp14:editId="7D687964">
                  <wp:extent cx="5208423" cy="1945843"/>
                  <wp:effectExtent l="0" t="0" r="11430" b="165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2E50C0A3" w14:textId="72B92176" w:rsidR="00BD7469" w:rsidRDefault="00BD7469" w:rsidP="00972EA7">
      <w:pPr>
        <w:pStyle w:val="Spacer"/>
        <w:rPr>
          <w:b/>
          <w:sz w:val="28"/>
        </w:rPr>
      </w:pPr>
      <w:bookmarkStart w:id="13" w:name="_Toc413227675"/>
    </w:p>
    <w:p w14:paraId="61A56CE0" w14:textId="13D6B0FE" w:rsidR="00D43DB4" w:rsidRDefault="00D43DB4" w:rsidP="00FE5968">
      <w:pPr>
        <w:pStyle w:val="Heading1"/>
      </w:pPr>
      <w:r>
        <w:t>Options</w:t>
      </w:r>
      <w:bookmarkEnd w:id="13"/>
    </w:p>
    <w:p w14:paraId="256465EE" w14:textId="365153D6" w:rsidR="00D43DB4" w:rsidRDefault="0063248B" w:rsidP="00D43DB4">
      <w:pPr>
        <w:pStyle w:val="Numberedpara3level1"/>
      </w:pPr>
      <w:r>
        <w:t>When looking at passport validity periods, this regulatory impact assessment will consider two options:</w:t>
      </w:r>
    </w:p>
    <w:p w14:paraId="2716F212" w14:textId="6B5DB6F7" w:rsidR="0063248B" w:rsidRDefault="00A76834" w:rsidP="0063248B">
      <w:pPr>
        <w:pStyle w:val="Numberedpara3level1"/>
        <w:numPr>
          <w:ilvl w:val="1"/>
          <w:numId w:val="26"/>
        </w:numPr>
      </w:pPr>
      <w:r>
        <w:t xml:space="preserve">the </w:t>
      </w:r>
      <w:r w:rsidR="00EA3C3C">
        <w:t>d</w:t>
      </w:r>
      <w:r w:rsidR="0063248B">
        <w:t xml:space="preserve">efault option: implementing </w:t>
      </w:r>
      <w:r w:rsidR="00A420CC" w:rsidRPr="00A420CC">
        <w:rPr>
          <w:lang w:val="en-GB" w:eastAsia="en-GB"/>
        </w:rPr>
        <w:t>five-</w:t>
      </w:r>
      <w:r w:rsidR="0063248B">
        <w:t xml:space="preserve">year, </w:t>
      </w:r>
      <w:r w:rsidR="00A420CC">
        <w:t>nine-</w:t>
      </w:r>
      <w:r w:rsidR="0063248B">
        <w:t>month passports (on renewal); and</w:t>
      </w:r>
    </w:p>
    <w:p w14:paraId="5A973EA1" w14:textId="65DF7FB4" w:rsidR="0063248B" w:rsidRDefault="00EA3C3C" w:rsidP="0063248B">
      <w:pPr>
        <w:pStyle w:val="Numberedpara3level1"/>
        <w:numPr>
          <w:ilvl w:val="1"/>
          <w:numId w:val="26"/>
        </w:numPr>
      </w:pPr>
      <w:r>
        <w:t>r</w:t>
      </w:r>
      <w:r w:rsidR="0063248B">
        <w:t xml:space="preserve">aising the passport validity period to </w:t>
      </w:r>
      <w:r w:rsidR="00A420CC">
        <w:t>ten</w:t>
      </w:r>
      <w:r w:rsidR="00A14275">
        <w:t xml:space="preserve"> </w:t>
      </w:r>
      <w:r w:rsidR="0063248B">
        <w:t>years</w:t>
      </w:r>
      <w:r>
        <w:t>.</w:t>
      </w:r>
    </w:p>
    <w:p w14:paraId="17A71250" w14:textId="25C71494" w:rsidR="00D43DB4" w:rsidRPr="00CC27E7" w:rsidRDefault="00A76834" w:rsidP="00FE5968">
      <w:pPr>
        <w:pStyle w:val="Heading2"/>
      </w:pPr>
      <w:bookmarkStart w:id="14" w:name="_Toc413227676"/>
      <w:r>
        <w:t>Other o</w:t>
      </w:r>
      <w:r w:rsidR="00D43DB4" w:rsidRPr="00CC27E7">
        <w:t>ptions</w:t>
      </w:r>
      <w:bookmarkEnd w:id="14"/>
      <w:r>
        <w:t xml:space="preserve"> not pursued</w:t>
      </w:r>
    </w:p>
    <w:p w14:paraId="6537729B" w14:textId="4DDF6063" w:rsidR="00EA3C3C" w:rsidRPr="00230B5E" w:rsidRDefault="003227BD" w:rsidP="00D43DB4">
      <w:pPr>
        <w:pStyle w:val="Numberedpara3level1"/>
      </w:pPr>
      <w:r>
        <w:t xml:space="preserve">In addition to examining the option to return to a validity period of </w:t>
      </w:r>
      <w:r w:rsidR="00270564">
        <w:t>ten</w:t>
      </w:r>
      <w:r>
        <w:t xml:space="preserve"> years, we initially considered an option of a </w:t>
      </w:r>
      <w:r w:rsidR="00A420CC">
        <w:t>seven-</w:t>
      </w:r>
      <w:r>
        <w:t xml:space="preserve">year passport, and the possibility of introducing citizen choice between </w:t>
      </w:r>
      <w:r w:rsidR="00A420CC" w:rsidRPr="00A420CC">
        <w:rPr>
          <w:lang w:val="en-GB" w:eastAsia="en-GB"/>
        </w:rPr>
        <w:t>five</w:t>
      </w:r>
      <w:r>
        <w:t xml:space="preserve"> and </w:t>
      </w:r>
      <w:r w:rsidR="00A420CC">
        <w:t>ten</w:t>
      </w:r>
      <w:r>
        <w:t xml:space="preserve"> year passports (Canada recently </w:t>
      </w:r>
      <w:r w:rsidR="00270564">
        <w:t>implemented citizen choice between five and ten year validity</w:t>
      </w:r>
      <w:r>
        <w:t xml:space="preserve">). </w:t>
      </w:r>
    </w:p>
    <w:p w14:paraId="513D30DF" w14:textId="3388BB4C" w:rsidR="00270564" w:rsidRPr="00972EA7" w:rsidRDefault="00270564" w:rsidP="00972EA7">
      <w:pPr>
        <w:pStyle w:val="Numberedpara3level1"/>
        <w:numPr>
          <w:ilvl w:val="0"/>
          <w:numId w:val="0"/>
        </w:numPr>
        <w:ind w:left="567"/>
        <w:rPr>
          <w:i/>
        </w:rPr>
      </w:pPr>
      <w:r w:rsidRPr="00972EA7">
        <w:rPr>
          <w:i/>
        </w:rPr>
        <w:t>Seven-year validity</w:t>
      </w:r>
    </w:p>
    <w:p w14:paraId="7F763909" w14:textId="75EB75CA" w:rsidR="00D43DB4" w:rsidRPr="00230B5E" w:rsidRDefault="00EA3C3C" w:rsidP="00D43DB4">
      <w:pPr>
        <w:pStyle w:val="Numberedpara3level1"/>
      </w:pPr>
      <w:r>
        <w:t xml:space="preserve">A </w:t>
      </w:r>
      <w:r w:rsidR="00A420CC">
        <w:t>seven-</w:t>
      </w:r>
      <w:r w:rsidR="00D43DB4" w:rsidRPr="00230B5E">
        <w:t>year passport</w:t>
      </w:r>
      <w:r w:rsidRPr="00230B5E">
        <w:t xml:space="preserve"> validity period was r</w:t>
      </w:r>
      <w:r w:rsidR="006F3625" w:rsidRPr="00230B5E">
        <w:t>aised as a possible alternative</w:t>
      </w:r>
      <w:r w:rsidR="00D43DB4" w:rsidRPr="00230B5E">
        <w:t xml:space="preserve"> </w:t>
      </w:r>
      <w:r w:rsidRPr="00230B5E">
        <w:t>by Mr Murdo</w:t>
      </w:r>
      <w:r w:rsidR="006F3625" w:rsidRPr="00230B5E">
        <w:t xml:space="preserve">ch in his security review report. We do not consider </w:t>
      </w:r>
      <w:r w:rsidR="00A420CC">
        <w:t>seven</w:t>
      </w:r>
      <w:r w:rsidR="00270564">
        <w:t xml:space="preserve"> </w:t>
      </w:r>
      <w:r w:rsidR="006F3625" w:rsidRPr="00230B5E">
        <w:t>years to be viable position</w:t>
      </w:r>
      <w:r w:rsidR="00230B5E" w:rsidRPr="00230B5E">
        <w:t>. A</w:t>
      </w:r>
      <w:r w:rsidR="006F3625" w:rsidRPr="00230B5E">
        <w:t>s a ‘mid</w:t>
      </w:r>
      <w:r w:rsidR="008C709D">
        <w:t>-</w:t>
      </w:r>
      <w:r w:rsidR="006F3625" w:rsidRPr="00230B5E">
        <w:t>point’ solution</w:t>
      </w:r>
      <w:r w:rsidR="00230B5E" w:rsidRPr="00230B5E">
        <w:t xml:space="preserve">, it would likely involve price rises without sufficiently meeting public calls for a </w:t>
      </w:r>
      <w:r w:rsidR="00A420CC">
        <w:t>ten-</w:t>
      </w:r>
      <w:r w:rsidR="00230B5E" w:rsidRPr="00230B5E">
        <w:t>year validity period. In addition</w:t>
      </w:r>
      <w:r w:rsidR="00693073">
        <w:t>,</w:t>
      </w:r>
      <w:r w:rsidR="00230B5E" w:rsidRPr="00230B5E">
        <w:t xml:space="preserve"> there are no comparable international examples.</w:t>
      </w:r>
    </w:p>
    <w:p w14:paraId="1EF118B0" w14:textId="765FB8B0" w:rsidR="00270564" w:rsidRPr="00972EA7" w:rsidRDefault="00270564" w:rsidP="00972EA7">
      <w:pPr>
        <w:pStyle w:val="Numberedpara3level1"/>
        <w:numPr>
          <w:ilvl w:val="0"/>
          <w:numId w:val="0"/>
        </w:numPr>
        <w:ind w:left="567"/>
        <w:rPr>
          <w:i/>
        </w:rPr>
      </w:pPr>
      <w:r w:rsidRPr="00972EA7">
        <w:rPr>
          <w:i/>
        </w:rPr>
        <w:t>Citizen choice</w:t>
      </w:r>
    </w:p>
    <w:p w14:paraId="2CA4FF23" w14:textId="5BB0FD8E" w:rsidR="00230B5E" w:rsidRPr="00230B5E" w:rsidRDefault="00AF2D04" w:rsidP="00D43DB4">
      <w:pPr>
        <w:pStyle w:val="Numberedpara3level1"/>
      </w:pPr>
      <w:r>
        <w:t>One alternative, recently implemented in Canada would be to p</w:t>
      </w:r>
      <w:r w:rsidR="00230B5E" w:rsidRPr="00230B5E">
        <w:t>rovid</w:t>
      </w:r>
      <w:r>
        <w:t>e</w:t>
      </w:r>
      <w:r w:rsidR="00230B5E" w:rsidRPr="00230B5E">
        <w:t xml:space="preserve"> citizens </w:t>
      </w:r>
      <w:r>
        <w:t xml:space="preserve">with </w:t>
      </w:r>
      <w:r w:rsidR="00230B5E" w:rsidRPr="00230B5E">
        <w:t xml:space="preserve">the choice </w:t>
      </w:r>
      <w:r>
        <w:t xml:space="preserve">of being issued a </w:t>
      </w:r>
      <w:r w:rsidR="00A420CC">
        <w:t xml:space="preserve">five </w:t>
      </w:r>
      <w:r>
        <w:t>or a</w:t>
      </w:r>
      <w:r w:rsidRPr="00230B5E">
        <w:t xml:space="preserve"> </w:t>
      </w:r>
      <w:r w:rsidR="00A420CC">
        <w:t>ten</w:t>
      </w:r>
      <w:r w:rsidR="00D43DB4" w:rsidRPr="00230B5E">
        <w:t xml:space="preserve"> year</w:t>
      </w:r>
      <w:r w:rsidR="00230B5E" w:rsidRPr="00230B5E">
        <w:t xml:space="preserve"> passport. </w:t>
      </w:r>
      <w:r>
        <w:t>While this option appears to be appealing from a customer services perspective, it</w:t>
      </w:r>
      <w:r w:rsidR="00230B5E" w:rsidRPr="00230B5E">
        <w:t xml:space="preserve"> has a number of drawbacks and complications that have necessitated discarding it for this regulatory impact assessment.</w:t>
      </w:r>
    </w:p>
    <w:p w14:paraId="6D175391" w14:textId="2FFC203B" w:rsidR="00230B5E" w:rsidRDefault="00A76834" w:rsidP="00230B5E">
      <w:pPr>
        <w:pStyle w:val="Numberedpara3level1"/>
      </w:pPr>
      <w:r>
        <w:lastRenderedPageBreak/>
        <w:t>In particular, t</w:t>
      </w:r>
      <w:r w:rsidR="00230B5E">
        <w:t>ime constraints</w:t>
      </w:r>
      <w:r w:rsidR="003E0DD1">
        <w:t xml:space="preserve"> and a lack of data about citizen preferences (at different price points)</w:t>
      </w:r>
      <w:r w:rsidR="00230B5E">
        <w:t xml:space="preserve"> </w:t>
      </w:r>
      <w:r>
        <w:t xml:space="preserve">means it is very </w:t>
      </w:r>
      <w:r w:rsidR="00230B5E">
        <w:t xml:space="preserve">difficult to model and predict demand for both </w:t>
      </w:r>
      <w:r w:rsidR="00A420CC">
        <w:t>five</w:t>
      </w:r>
      <w:r w:rsidR="00230B5E">
        <w:t xml:space="preserve"> and </w:t>
      </w:r>
      <w:r w:rsidR="00A420CC">
        <w:t>ten</w:t>
      </w:r>
      <w:r w:rsidR="00230B5E">
        <w:t xml:space="preserve"> year passports. This makes </w:t>
      </w:r>
      <w:r w:rsidR="004D7F6D">
        <w:t>estimating pricing</w:t>
      </w:r>
      <w:r w:rsidR="00230B5E">
        <w:t xml:space="preserve"> and business planning difficult. Offering both </w:t>
      </w:r>
      <w:r w:rsidR="00A420CC">
        <w:t>five</w:t>
      </w:r>
      <w:r w:rsidR="00230B5E">
        <w:t xml:space="preserve"> and </w:t>
      </w:r>
      <w:r w:rsidR="00A420CC">
        <w:t>ten</w:t>
      </w:r>
      <w:r w:rsidR="00230B5E">
        <w:t xml:space="preserve"> year passports would require lengthy business planning. We are informed that this option took Canada a number of years to implement.</w:t>
      </w:r>
      <w:r w:rsidR="008809A0">
        <w:rPr>
          <w:rStyle w:val="FootnoteReference"/>
        </w:rPr>
        <w:footnoteReference w:id="2"/>
      </w:r>
      <w:r w:rsidR="00230B5E">
        <w:t xml:space="preserve"> Given the current fiscal constraints and need for speedy implementation to address the deficit in the Account, further analysis of this option is not </w:t>
      </w:r>
      <w:r w:rsidR="00507555">
        <w:t xml:space="preserve">possible </w:t>
      </w:r>
      <w:r w:rsidR="00230B5E">
        <w:t>at this point in time.</w:t>
      </w:r>
    </w:p>
    <w:p w14:paraId="090BD971" w14:textId="56ABA719" w:rsidR="003227BD" w:rsidRDefault="00230B5E" w:rsidP="003227BD">
      <w:pPr>
        <w:pStyle w:val="Numberedpara3level1"/>
      </w:pPr>
      <w:r>
        <w:t>In addition,</w:t>
      </w:r>
      <w:r w:rsidRPr="00230B5E">
        <w:t xml:space="preserve"> </w:t>
      </w:r>
      <w:r>
        <w:t>providing validity choice is novel and largely untested. Only one country (Canada) has implemented this option, and it has not been operating long enough to robustly assess its success, implications and suitability for New Zealand.</w:t>
      </w:r>
    </w:p>
    <w:p w14:paraId="7E382697" w14:textId="6385A8C1" w:rsidR="00620099" w:rsidRDefault="00620099" w:rsidP="00FE5968">
      <w:pPr>
        <w:pStyle w:val="Heading2"/>
      </w:pPr>
      <w:bookmarkStart w:id="15" w:name="_Toc412452121"/>
      <w:bookmarkStart w:id="16" w:name="_Toc413227677"/>
      <w:r>
        <w:t xml:space="preserve">Option </w:t>
      </w:r>
      <w:r w:rsidR="00A31D67">
        <w:t>1</w:t>
      </w:r>
      <w:r w:rsidR="00A31D67">
        <w:tab/>
      </w:r>
      <w:r w:rsidR="00A31D67">
        <w:tab/>
      </w:r>
      <w:r w:rsidR="00A420CC">
        <w:t>Five-</w:t>
      </w:r>
      <w:r w:rsidR="0011339B">
        <w:t>year</w:t>
      </w:r>
      <w:r>
        <w:t xml:space="preserve">, </w:t>
      </w:r>
      <w:r w:rsidR="00A420CC">
        <w:t>nine-</w:t>
      </w:r>
      <w:r>
        <w:t>month passport [</w:t>
      </w:r>
      <w:r w:rsidR="001921DD">
        <w:t>Default Option</w:t>
      </w:r>
      <w:r>
        <w:t>]</w:t>
      </w:r>
      <w:bookmarkEnd w:id="15"/>
      <w:bookmarkEnd w:id="16"/>
    </w:p>
    <w:p w14:paraId="49BF33F0" w14:textId="3815335D" w:rsidR="007C1F02" w:rsidRDefault="00620099" w:rsidP="00E92EBF">
      <w:pPr>
        <w:pStyle w:val="Numberedpara3level1"/>
      </w:pPr>
      <w:r>
        <w:t xml:space="preserve">Under the status quo New Zealanders </w:t>
      </w:r>
      <w:r w:rsidR="007C1F02">
        <w:t xml:space="preserve">have passports with a validity of </w:t>
      </w:r>
      <w:r w:rsidR="00A420CC">
        <w:t>five</w:t>
      </w:r>
      <w:r w:rsidR="00A14275">
        <w:t xml:space="preserve"> </w:t>
      </w:r>
      <w:r w:rsidR="0011339B">
        <w:t>year</w:t>
      </w:r>
      <w:r w:rsidR="007C1F02">
        <w:t>s.</w:t>
      </w:r>
      <w:r w:rsidR="00C91944">
        <w:t xml:space="preserve"> Cabinet has previously decided to raise </w:t>
      </w:r>
      <w:r>
        <w:t>validity period</w:t>
      </w:r>
      <w:r w:rsidR="00C91944">
        <w:t>s</w:t>
      </w:r>
      <w:r>
        <w:t xml:space="preserve"> </w:t>
      </w:r>
      <w:r w:rsidR="00C91944">
        <w:t>to</w:t>
      </w:r>
      <w:r>
        <w:t xml:space="preserve"> </w:t>
      </w:r>
      <w:r w:rsidR="00A420CC">
        <w:t>five</w:t>
      </w:r>
      <w:r w:rsidR="00A14275">
        <w:t xml:space="preserve"> </w:t>
      </w:r>
      <w:r>
        <w:t xml:space="preserve">years and </w:t>
      </w:r>
      <w:r w:rsidR="00A420CC">
        <w:t>nine-</w:t>
      </w:r>
      <w:r>
        <w:t>months</w:t>
      </w:r>
      <w:r w:rsidR="00E92EBF">
        <w:t xml:space="preserve"> so that</w:t>
      </w:r>
      <w:r w:rsidR="0012547A">
        <w:t>,</w:t>
      </w:r>
      <w:r w:rsidR="00E92EBF">
        <w:t xml:space="preserve"> when an adult passport holder applies for a new passport</w:t>
      </w:r>
      <w:r w:rsidR="0012547A">
        <w:t>,</w:t>
      </w:r>
      <w:r w:rsidR="00E92EBF">
        <w:t xml:space="preserve"> the</w:t>
      </w:r>
      <w:r w:rsidR="0012547A">
        <w:t>y</w:t>
      </w:r>
      <w:r w:rsidR="00E92EBF">
        <w:t xml:space="preserve"> can be credited up to </w:t>
      </w:r>
      <w:r w:rsidR="00A420CC">
        <w:t>nine-</w:t>
      </w:r>
      <w:r w:rsidR="00E92EBF">
        <w:t>months of extra validity from the old passport.</w:t>
      </w:r>
      <w:r w:rsidR="00C91944">
        <w:t xml:space="preserve"> We consider implementing this previous decision </w:t>
      </w:r>
      <w:r w:rsidR="000320B5">
        <w:t>to be</w:t>
      </w:r>
      <w:r w:rsidR="00C91944">
        <w:t xml:space="preserve"> the </w:t>
      </w:r>
      <w:r w:rsidR="008D46F2">
        <w:t xml:space="preserve">default option, and will be </w:t>
      </w:r>
      <w:r w:rsidR="004D7F6D">
        <w:t xml:space="preserve">assessed </w:t>
      </w:r>
      <w:r w:rsidR="008D46F2">
        <w:t xml:space="preserve">in place of the status quo of a </w:t>
      </w:r>
      <w:r w:rsidR="00A420CC">
        <w:t>five-</w:t>
      </w:r>
      <w:r w:rsidR="008D46F2">
        <w:t>year validity period.</w:t>
      </w:r>
    </w:p>
    <w:p w14:paraId="104EFF77" w14:textId="1ADFDF4A" w:rsidR="00955C76" w:rsidRPr="00471918" w:rsidRDefault="00471918" w:rsidP="00FE5968">
      <w:pPr>
        <w:pStyle w:val="Heading3"/>
      </w:pPr>
      <w:r w:rsidRPr="00471918">
        <w:t>Security</w:t>
      </w:r>
    </w:p>
    <w:p w14:paraId="78BD043A" w14:textId="2616A8EF" w:rsidR="00FE5968" w:rsidRDefault="00FF487A" w:rsidP="00FE5968">
      <w:pPr>
        <w:pStyle w:val="Numberedpara3level1"/>
        <w:rPr>
          <w:lang w:val="en-GB"/>
        </w:rPr>
      </w:pPr>
      <w:r>
        <w:t xml:space="preserve">Implementing the status quo would maintain a high level of security standard. </w:t>
      </w:r>
      <w:r w:rsidR="00A420CC">
        <w:t>Five</w:t>
      </w:r>
      <w:r w:rsidR="00A14275">
        <w:t xml:space="preserve"> </w:t>
      </w:r>
      <w:r>
        <w:t xml:space="preserve">years, </w:t>
      </w:r>
      <w:r w:rsidR="00A420CC">
        <w:t>nine-</w:t>
      </w:r>
      <w:r>
        <w:t xml:space="preserve">months is at the ‘best practice’ end of the validity period guidelines </w:t>
      </w:r>
      <w:r w:rsidR="0012547A">
        <w:t>recommended</w:t>
      </w:r>
      <w:r>
        <w:t xml:space="preserve"> by the International Civil Aviation Organisation (ICAO). </w:t>
      </w:r>
      <w:r w:rsidR="00FE5968" w:rsidRPr="00FE5968">
        <w:rPr>
          <w:lang w:val="en-GB"/>
        </w:rPr>
        <w:t>The main finding of the security review was that</w:t>
      </w:r>
      <w:r w:rsidR="0012547A">
        <w:rPr>
          <w:lang w:val="en-GB"/>
        </w:rPr>
        <w:t>,</w:t>
      </w:r>
      <w:r w:rsidR="00FE5968" w:rsidRPr="00FE5968">
        <w:rPr>
          <w:lang w:val="en-GB"/>
        </w:rPr>
        <w:t xml:space="preserve"> in the current international security environment, it is </w:t>
      </w:r>
      <w:r w:rsidR="004D7F6D">
        <w:rPr>
          <w:lang w:val="en-GB"/>
        </w:rPr>
        <w:t>more secure</w:t>
      </w:r>
      <w:r w:rsidR="00FE5968" w:rsidRPr="00FE5968">
        <w:rPr>
          <w:lang w:val="en-GB"/>
        </w:rPr>
        <w:t xml:space="preserve"> to retain a validity period closer to five years. </w:t>
      </w:r>
    </w:p>
    <w:p w14:paraId="1FC6A460" w14:textId="3C902A8C" w:rsidR="00F721C0" w:rsidRDefault="00F721C0" w:rsidP="00F721C0">
      <w:pPr>
        <w:pStyle w:val="Heading3"/>
        <w:rPr>
          <w:lang w:val="en-GB"/>
        </w:rPr>
      </w:pPr>
      <w:r>
        <w:rPr>
          <w:lang w:val="en-GB"/>
        </w:rPr>
        <w:t>Convenience</w:t>
      </w:r>
    </w:p>
    <w:p w14:paraId="5B7E8524" w14:textId="0C31A29B" w:rsidR="00F721C0" w:rsidRDefault="00F721C0" w:rsidP="00FE5968">
      <w:pPr>
        <w:pStyle w:val="Numberedpara3level1"/>
        <w:rPr>
          <w:lang w:val="en-GB"/>
        </w:rPr>
      </w:pPr>
      <w:r>
        <w:rPr>
          <w:lang w:val="en-GB"/>
        </w:rPr>
        <w:t xml:space="preserve">Implementing a further </w:t>
      </w:r>
      <w:r w:rsidR="00A420CC">
        <w:rPr>
          <w:lang w:val="en-GB"/>
        </w:rPr>
        <w:t xml:space="preserve">nine </w:t>
      </w:r>
      <w:r>
        <w:rPr>
          <w:lang w:val="en-GB"/>
        </w:rPr>
        <w:t>months of validity for passport renewals</w:t>
      </w:r>
      <w:r w:rsidR="0012547A">
        <w:rPr>
          <w:lang w:val="en-GB"/>
        </w:rPr>
        <w:t xml:space="preserve"> address</w:t>
      </w:r>
      <w:r w:rsidR="00693073">
        <w:rPr>
          <w:lang w:val="en-GB"/>
        </w:rPr>
        <w:t>es</w:t>
      </w:r>
      <w:r w:rsidR="0012547A">
        <w:rPr>
          <w:lang w:val="en-GB"/>
        </w:rPr>
        <w:t xml:space="preserve"> the problem felt by travellers who are required by certa</w:t>
      </w:r>
      <w:r w:rsidR="00A420CC">
        <w:rPr>
          <w:lang w:val="en-GB"/>
        </w:rPr>
        <w:t xml:space="preserve">in countries to have at least six </w:t>
      </w:r>
      <w:r w:rsidR="0012547A">
        <w:rPr>
          <w:lang w:val="en-GB"/>
        </w:rPr>
        <w:t xml:space="preserve">months of validity left on their passport when entering that country. However, this approach does not address the concerns of people that want to retain a passport for a longer period without having to reapply after </w:t>
      </w:r>
      <w:r w:rsidR="00A420CC">
        <w:t xml:space="preserve">five </w:t>
      </w:r>
      <w:r w:rsidR="0012547A">
        <w:rPr>
          <w:lang w:val="en-GB"/>
        </w:rPr>
        <w:t>years</w:t>
      </w:r>
      <w:r w:rsidR="008C709D">
        <w:rPr>
          <w:lang w:val="en-GB"/>
        </w:rPr>
        <w:t>.</w:t>
      </w:r>
    </w:p>
    <w:p w14:paraId="406F6151" w14:textId="5417D4A5" w:rsidR="009918C1" w:rsidRPr="009918C1" w:rsidRDefault="009918C1" w:rsidP="00FE5968">
      <w:pPr>
        <w:pStyle w:val="Numberedpara3level1"/>
        <w:rPr>
          <w:lang w:val="en-GB"/>
        </w:rPr>
      </w:pPr>
      <w:r w:rsidRPr="009918C1">
        <w:rPr>
          <w:lang w:val="en-GB"/>
        </w:rPr>
        <w:t xml:space="preserve">Passport holders living in countries which require visas to work </w:t>
      </w:r>
      <w:r w:rsidR="0012547A">
        <w:rPr>
          <w:lang w:val="en-GB"/>
        </w:rPr>
        <w:t>may</w:t>
      </w:r>
      <w:r w:rsidRPr="009918C1">
        <w:rPr>
          <w:lang w:val="en-GB"/>
        </w:rPr>
        <w:t xml:space="preserve"> continue to be inconvenienced by having to renew their passport, and then have a new work visa issued, every </w:t>
      </w:r>
      <w:r w:rsidR="00A420CC">
        <w:t>five</w:t>
      </w:r>
      <w:r w:rsidRPr="009918C1">
        <w:rPr>
          <w:lang w:val="en-GB"/>
        </w:rPr>
        <w:t xml:space="preserve"> years instead of every </w:t>
      </w:r>
      <w:r w:rsidR="00A420CC">
        <w:rPr>
          <w:lang w:val="en-GB"/>
        </w:rPr>
        <w:t>ten</w:t>
      </w:r>
      <w:r w:rsidRPr="009918C1">
        <w:rPr>
          <w:lang w:val="en-GB"/>
        </w:rPr>
        <w:t xml:space="preserve"> years. However, </w:t>
      </w:r>
      <w:r>
        <w:rPr>
          <w:lang w:val="en-GB"/>
        </w:rPr>
        <w:t>those passport holders that only travel once within a passport validity period (</w:t>
      </w:r>
      <w:r w:rsidR="00B00A5E">
        <w:rPr>
          <w:lang w:val="en-GB"/>
        </w:rPr>
        <w:t>22.8</w:t>
      </w:r>
      <w:r w:rsidR="00693073">
        <w:rPr>
          <w:lang w:val="en-GB"/>
        </w:rPr>
        <w:t xml:space="preserve"> per cent</w:t>
      </w:r>
      <w:r w:rsidR="004C68DB">
        <w:rPr>
          <w:lang w:val="en-GB"/>
        </w:rPr>
        <w:t xml:space="preserve"> of passport holders</w:t>
      </w:r>
      <w:r w:rsidR="00B00A5E">
        <w:rPr>
          <w:rStyle w:val="FootnoteReference"/>
          <w:lang w:val="en-GB"/>
        </w:rPr>
        <w:footnoteReference w:id="3"/>
      </w:r>
      <w:r w:rsidR="00B00A5E">
        <w:rPr>
          <w:lang w:val="en-GB"/>
        </w:rPr>
        <w:t xml:space="preserve">) </w:t>
      </w:r>
      <w:r w:rsidR="00DA414F">
        <w:t>may not feel they will benefit from</w:t>
      </w:r>
      <w:r w:rsidR="00DA414F" w:rsidRPr="005F41E2">
        <w:t xml:space="preserve"> </w:t>
      </w:r>
      <w:r w:rsidR="00DA414F">
        <w:t>the longer validity period due to a higher upfront charge.</w:t>
      </w:r>
    </w:p>
    <w:p w14:paraId="7CA94BE5" w14:textId="30E64381" w:rsidR="00F721C0" w:rsidRPr="00FE5968" w:rsidRDefault="009918C1" w:rsidP="00FE5968">
      <w:pPr>
        <w:pStyle w:val="Numberedpara3level1"/>
        <w:rPr>
          <w:lang w:val="en-GB"/>
        </w:rPr>
      </w:pPr>
      <w:r>
        <w:rPr>
          <w:lang w:val="en-GB"/>
        </w:rPr>
        <w:t xml:space="preserve">This option would also have higher </w:t>
      </w:r>
      <w:r w:rsidR="0012547A">
        <w:rPr>
          <w:lang w:val="en-GB"/>
        </w:rPr>
        <w:t xml:space="preserve">total </w:t>
      </w:r>
      <w:r>
        <w:rPr>
          <w:lang w:val="en-GB"/>
        </w:rPr>
        <w:t>transaction costs</w:t>
      </w:r>
      <w:r w:rsidR="0012547A">
        <w:rPr>
          <w:lang w:val="en-GB"/>
        </w:rPr>
        <w:t xml:space="preserve"> over a </w:t>
      </w:r>
      <w:r w:rsidR="00A420CC">
        <w:rPr>
          <w:lang w:val="en-GB"/>
        </w:rPr>
        <w:t>ten-</w:t>
      </w:r>
      <w:r w:rsidR="0012547A">
        <w:rPr>
          <w:lang w:val="en-GB"/>
        </w:rPr>
        <w:t>year period</w:t>
      </w:r>
      <w:r>
        <w:rPr>
          <w:lang w:val="en-GB"/>
        </w:rPr>
        <w:t xml:space="preserve"> for those passport holders that always renew their passport. </w:t>
      </w:r>
    </w:p>
    <w:p w14:paraId="34D980A8" w14:textId="1FFFBDC1" w:rsidR="001921DD" w:rsidRPr="00137B55" w:rsidRDefault="001921DD" w:rsidP="00FE5968">
      <w:pPr>
        <w:pStyle w:val="Heading3"/>
      </w:pPr>
      <w:r w:rsidRPr="00137B55">
        <w:lastRenderedPageBreak/>
        <w:t>Risk</w:t>
      </w:r>
    </w:p>
    <w:p w14:paraId="25AC5907" w14:textId="63644F60" w:rsidR="004D7F6D" w:rsidRPr="007B1249" w:rsidRDefault="001921DD" w:rsidP="0012547A">
      <w:pPr>
        <w:pStyle w:val="Numberedpara3level1"/>
      </w:pPr>
      <w:r w:rsidRPr="007B1249">
        <w:t xml:space="preserve">It is likely that </w:t>
      </w:r>
      <w:r w:rsidR="00643490">
        <w:t>implementing the default option</w:t>
      </w:r>
      <w:r w:rsidRPr="007B1249">
        <w:t xml:space="preserve"> will not meet public expectations</w:t>
      </w:r>
      <w:r w:rsidR="004D7F6D">
        <w:t>.</w:t>
      </w:r>
      <w:r w:rsidRPr="007B1249">
        <w:t xml:space="preserve"> </w:t>
      </w:r>
      <w:r w:rsidR="004D7F6D">
        <w:t>Further, a</w:t>
      </w:r>
      <w:r w:rsidRPr="007B1249">
        <w:t xml:space="preserve"> price rise</w:t>
      </w:r>
      <w:r w:rsidR="00FE5968">
        <w:t xml:space="preserve"> without a </w:t>
      </w:r>
      <w:r w:rsidR="0022316C">
        <w:t xml:space="preserve">significant </w:t>
      </w:r>
      <w:r w:rsidR="00FE5968">
        <w:t>validity period increase</w:t>
      </w:r>
      <w:r w:rsidRPr="007B1249">
        <w:t xml:space="preserve"> </w:t>
      </w:r>
      <w:r w:rsidR="00FE5968">
        <w:t>may</w:t>
      </w:r>
      <w:r w:rsidR="00643490">
        <w:t xml:space="preserve"> also</w:t>
      </w:r>
      <w:r w:rsidRPr="007B1249">
        <w:t xml:space="preserve"> lead to increased negative public reaction and renewed pressure for longer val</w:t>
      </w:r>
      <w:r w:rsidR="0022316C">
        <w:t>idity.</w:t>
      </w:r>
    </w:p>
    <w:p w14:paraId="7E3826B2" w14:textId="755B1344" w:rsidR="00F210B6" w:rsidRDefault="00F210B6" w:rsidP="00F210B6">
      <w:pPr>
        <w:pStyle w:val="Heading2"/>
      </w:pPr>
      <w:bookmarkStart w:id="17" w:name="_Toc412452122"/>
      <w:bookmarkStart w:id="18" w:name="_Toc413227678"/>
      <w:r>
        <w:t xml:space="preserve">Option </w:t>
      </w:r>
      <w:r w:rsidR="001921DD">
        <w:t>2</w:t>
      </w:r>
      <w:r w:rsidR="008704E1">
        <w:tab/>
      </w:r>
      <w:r>
        <w:tab/>
      </w:r>
      <w:r w:rsidR="00A420CC">
        <w:t>Ten-</w:t>
      </w:r>
      <w:r w:rsidR="0011339B">
        <w:t xml:space="preserve"> year</w:t>
      </w:r>
      <w:r>
        <w:t xml:space="preserve"> passport</w:t>
      </w:r>
      <w:bookmarkEnd w:id="17"/>
      <w:r w:rsidR="001921DD">
        <w:t xml:space="preserve"> validity period</w:t>
      </w:r>
      <w:bookmarkEnd w:id="18"/>
    </w:p>
    <w:p w14:paraId="7E3826B3" w14:textId="766D43A2" w:rsidR="00F210B6" w:rsidRDefault="00F210B6" w:rsidP="00F210B6">
      <w:pPr>
        <w:pStyle w:val="Numberedpara3level1"/>
      </w:pPr>
      <w:r>
        <w:t>The main alternative to the status quo is to increase passport validity b</w:t>
      </w:r>
      <w:r w:rsidR="00A420CC">
        <w:t>ack to the pre-2005 length of ten</w:t>
      </w:r>
      <w:r>
        <w:t xml:space="preserve"> years. </w:t>
      </w:r>
      <w:r w:rsidR="00CB464D">
        <w:t xml:space="preserve">Returning to a </w:t>
      </w:r>
      <w:r w:rsidR="00A420CC">
        <w:t>ten-</w:t>
      </w:r>
      <w:r w:rsidR="0011339B">
        <w:t>year</w:t>
      </w:r>
      <w:r w:rsidR="00CB464D">
        <w:t xml:space="preserve"> validity period is seen as desirable</w:t>
      </w:r>
      <w:r w:rsidR="0012547A">
        <w:t xml:space="preserve"> by many members of the public. H</w:t>
      </w:r>
      <w:r w:rsidR="00CB464D">
        <w:t>owever there are security and cost implications.</w:t>
      </w:r>
    </w:p>
    <w:p w14:paraId="411151E7" w14:textId="53E54A41" w:rsidR="001921DD" w:rsidRPr="002D4257" w:rsidRDefault="001921DD" w:rsidP="0022316C">
      <w:pPr>
        <w:pStyle w:val="Heading3"/>
      </w:pPr>
      <w:r w:rsidRPr="002D4257">
        <w:t>Security</w:t>
      </w:r>
    </w:p>
    <w:p w14:paraId="33BAF1E8" w14:textId="58C893A3" w:rsidR="00FE5968" w:rsidRDefault="00AE67FB" w:rsidP="009D70C4">
      <w:pPr>
        <w:pStyle w:val="Numberedpara3level1"/>
      </w:pPr>
      <w:r w:rsidRPr="001B69C8">
        <w:t>The independent security review found that there are no secur</w:t>
      </w:r>
      <w:r w:rsidR="00A420CC">
        <w:t>ity benefits from moving to a ten-</w:t>
      </w:r>
      <w:r w:rsidRPr="001B69C8">
        <w:t xml:space="preserve">year validity period. This option has higher security risks. </w:t>
      </w:r>
      <w:r w:rsidR="00FE5968">
        <w:t xml:space="preserve">Predominantly these </w:t>
      </w:r>
      <w:r w:rsidR="004C68DB">
        <w:t xml:space="preserve">increased </w:t>
      </w:r>
      <w:r w:rsidR="00FE5968">
        <w:t xml:space="preserve">risks relate to counterfeiting and impersonation risks </w:t>
      </w:r>
      <w:r w:rsidR="004C68DB">
        <w:t>due to</w:t>
      </w:r>
      <w:r w:rsidR="00FE5968">
        <w:t xml:space="preserve"> an extended ‘window of vulnerability’ as passports are in circulation for </w:t>
      </w:r>
      <w:r w:rsidR="00A420CC">
        <w:t>ten</w:t>
      </w:r>
      <w:r w:rsidR="00FE5968">
        <w:t xml:space="preserve">, rather than </w:t>
      </w:r>
      <w:r w:rsidR="00A420CC">
        <w:t xml:space="preserve">five </w:t>
      </w:r>
      <w:r w:rsidR="00FE5968">
        <w:t>years.</w:t>
      </w:r>
      <w:r w:rsidR="00BA6A9C">
        <w:t xml:space="preserve"> </w:t>
      </w:r>
    </w:p>
    <w:p w14:paraId="6CEEF9EA" w14:textId="148D8C2B" w:rsidR="009D70C4" w:rsidRDefault="009D70C4" w:rsidP="009D70C4">
      <w:pPr>
        <w:pStyle w:val="Numberedpara3level1"/>
      </w:pPr>
      <w:r>
        <w:t>However, the</w:t>
      </w:r>
      <w:r w:rsidR="004C68DB">
        <w:t xml:space="preserve"> increased</w:t>
      </w:r>
      <w:r>
        <w:t xml:space="preserve"> security risk</w:t>
      </w:r>
      <w:r w:rsidR="00A420CC">
        <w:t>s associated with moving to a ten-</w:t>
      </w:r>
      <w:r>
        <w:t>year passport could be mitigated with appropria</w:t>
      </w:r>
      <w:r w:rsidR="001A714F">
        <w:t>te additional security controls. For example</w:t>
      </w:r>
      <w:r>
        <w:t>:</w:t>
      </w:r>
    </w:p>
    <w:p w14:paraId="1D1104CF" w14:textId="7470C8F6" w:rsidR="001A714F" w:rsidRDefault="001A714F" w:rsidP="009D70C4">
      <w:pPr>
        <w:pStyle w:val="Numberedpara3level1"/>
        <w:numPr>
          <w:ilvl w:val="1"/>
          <w:numId w:val="26"/>
        </w:numPr>
      </w:pPr>
      <w:r>
        <w:t>becoming an e</w:t>
      </w:r>
      <w:r w:rsidR="0012547A">
        <w:t>arly adopter</w:t>
      </w:r>
      <w:r w:rsidR="009D70C4">
        <w:t xml:space="preserve"> of next generation</w:t>
      </w:r>
      <w:r>
        <w:t xml:space="preserve"> ePassport chips (to mitigate technology risks);</w:t>
      </w:r>
    </w:p>
    <w:p w14:paraId="438DC584" w14:textId="556A2511" w:rsidR="009D70C4" w:rsidRDefault="001A714F" w:rsidP="009D70C4">
      <w:pPr>
        <w:pStyle w:val="Numberedpara3level1"/>
        <w:numPr>
          <w:ilvl w:val="1"/>
          <w:numId w:val="26"/>
        </w:numPr>
      </w:pPr>
      <w:r>
        <w:t>regularly adopt</w:t>
      </w:r>
      <w:r w:rsidR="00507555">
        <w:t>ing</w:t>
      </w:r>
      <w:r>
        <w:t xml:space="preserve"> new cryptographic key lengths (to better protect the content of ePassports);</w:t>
      </w:r>
    </w:p>
    <w:p w14:paraId="505519C7" w14:textId="4523C5DC" w:rsidR="004C68DB" w:rsidRDefault="001A714F" w:rsidP="001A714F">
      <w:pPr>
        <w:pStyle w:val="Numberedpara3level1"/>
        <w:numPr>
          <w:ilvl w:val="1"/>
          <w:numId w:val="26"/>
        </w:numPr>
      </w:pPr>
      <w:r>
        <w:t>adding further functionality to existing facial recognition systems</w:t>
      </w:r>
      <w:r w:rsidR="004C68DB">
        <w:t>; and</w:t>
      </w:r>
    </w:p>
    <w:p w14:paraId="191012E9" w14:textId="5EE9A9CB" w:rsidR="001A714F" w:rsidRDefault="004C68DB" w:rsidP="001A714F">
      <w:pPr>
        <w:pStyle w:val="Numberedpara3level1"/>
        <w:numPr>
          <w:ilvl w:val="1"/>
          <w:numId w:val="26"/>
        </w:numPr>
      </w:pPr>
      <w:r>
        <w:t>other graduated changes to the security features in passports</w:t>
      </w:r>
      <w:r w:rsidR="001A714F">
        <w:t>.</w:t>
      </w:r>
    </w:p>
    <w:p w14:paraId="2C876235" w14:textId="454A6CF8" w:rsidR="00AE67FB" w:rsidRDefault="004C68DB" w:rsidP="001B69C8">
      <w:pPr>
        <w:pStyle w:val="Numberedpara3level1"/>
      </w:pPr>
      <w:r>
        <w:t>Additional s</w:t>
      </w:r>
      <w:r w:rsidR="00643490">
        <w:t>ecurity mitigations would help manage and reduce the security risks o</w:t>
      </w:r>
      <w:r w:rsidR="001E6964">
        <w:t xml:space="preserve">f moving to a </w:t>
      </w:r>
      <w:r w:rsidR="00A420CC">
        <w:t>ten-</w:t>
      </w:r>
      <w:r w:rsidR="001E6964">
        <w:t xml:space="preserve">year passport so that the security difference between the default option and a </w:t>
      </w:r>
      <w:r w:rsidR="00A420CC">
        <w:t>ten-</w:t>
      </w:r>
      <w:r w:rsidR="001E6964">
        <w:t xml:space="preserve">year passport would be marginal. </w:t>
      </w:r>
      <w:r w:rsidR="009D70C4">
        <w:t>These security mitigations will of course</w:t>
      </w:r>
      <w:r w:rsidR="00643490">
        <w:t xml:space="preserve"> require </w:t>
      </w:r>
      <w:r w:rsidR="007E65B8">
        <w:t>additional</w:t>
      </w:r>
      <w:r w:rsidR="00643490">
        <w:t xml:space="preserve"> </w:t>
      </w:r>
      <w:r w:rsidR="00A420CC">
        <w:t>investment</w:t>
      </w:r>
      <w:r w:rsidR="00643490">
        <w:t>, leading to higher production costs</w:t>
      </w:r>
      <w:r w:rsidR="009D70C4">
        <w:t>.</w:t>
      </w:r>
    </w:p>
    <w:p w14:paraId="6AE9CE7E" w14:textId="26A3A52C" w:rsidR="00BA6A9C" w:rsidRDefault="00BA6A9C" w:rsidP="00BA6A9C">
      <w:pPr>
        <w:pStyle w:val="Heading3"/>
      </w:pPr>
      <w:r>
        <w:t>Convenience</w:t>
      </w:r>
    </w:p>
    <w:p w14:paraId="6416F985" w14:textId="2A20E58C" w:rsidR="00DA414F" w:rsidRDefault="0081191B" w:rsidP="0081191B">
      <w:pPr>
        <w:pStyle w:val="Numberedpara3level1"/>
      </w:pPr>
      <w:r>
        <w:t xml:space="preserve">A </w:t>
      </w:r>
      <w:r w:rsidR="00A14275">
        <w:t>ten</w:t>
      </w:r>
      <w:r>
        <w:t xml:space="preserve"> year validity period will be more convenient for frequent travellers, and passport holders who choose to maintain a valid passport over time</w:t>
      </w:r>
      <w:r w:rsidR="007E65B8">
        <w:t xml:space="preserve"> in the sense that they would generally only have to apply to renew their passport once every </w:t>
      </w:r>
      <w:r w:rsidR="00693073">
        <w:t>ten</w:t>
      </w:r>
      <w:r w:rsidR="007E65B8">
        <w:t xml:space="preserve"> years (as opposed to twice under the default option)</w:t>
      </w:r>
      <w:r>
        <w:t>.</w:t>
      </w:r>
      <w:r w:rsidR="00E83B44">
        <w:t xml:space="preserve"> </w:t>
      </w:r>
      <w:r w:rsidR="00DA414F">
        <w:t>Over 60 per cent of New Zealanders use their passport two times or more during its validity period and these regular travellers seem likely to benefit from the longer validity period.</w:t>
      </w:r>
    </w:p>
    <w:p w14:paraId="721B9A8E" w14:textId="7A3F7D10" w:rsidR="00E83B44" w:rsidRDefault="00E83B44" w:rsidP="0081191B">
      <w:pPr>
        <w:pStyle w:val="Numberedpara3level1"/>
      </w:pPr>
      <w:r>
        <w:t xml:space="preserve">We cannot be sure that a </w:t>
      </w:r>
      <w:r w:rsidR="00693073">
        <w:t>ten-</w:t>
      </w:r>
      <w:r>
        <w:t>year validity period will be more desirable for all citizens</w:t>
      </w:r>
      <w:r w:rsidR="004C68DB">
        <w:t xml:space="preserve"> due to its higher upfront cost</w:t>
      </w:r>
      <w:r>
        <w:t>. However, it wou</w:t>
      </w:r>
      <w:r w:rsidR="000F7D08">
        <w:t>l</w:t>
      </w:r>
      <w:r>
        <w:t xml:space="preserve">d be more convenient for </w:t>
      </w:r>
      <w:r w:rsidRPr="000F7D08">
        <w:t>more</w:t>
      </w:r>
      <w:r>
        <w:t xml:space="preserve"> citizens than the default option.</w:t>
      </w:r>
    </w:p>
    <w:p w14:paraId="2BEBFA1C" w14:textId="16E6DE3D" w:rsidR="001921DD" w:rsidRPr="00BA6A9C" w:rsidRDefault="001921DD" w:rsidP="00BA6A9C">
      <w:pPr>
        <w:pStyle w:val="Heading3"/>
      </w:pPr>
      <w:r w:rsidRPr="00BA6A9C">
        <w:lastRenderedPageBreak/>
        <w:t>Risk</w:t>
      </w:r>
    </w:p>
    <w:p w14:paraId="462B3626" w14:textId="2832FBD1" w:rsidR="00AB2CC9" w:rsidRDefault="002D4257" w:rsidP="001B69C8">
      <w:pPr>
        <w:pStyle w:val="Numberedpara3level1"/>
      </w:pPr>
      <w:r>
        <w:t xml:space="preserve">Moving to a </w:t>
      </w:r>
      <w:r w:rsidR="00693073">
        <w:t>ten-</w:t>
      </w:r>
      <w:r>
        <w:t xml:space="preserve">year passport validity period has a number of financial risks. However, these will be considered </w:t>
      </w:r>
      <w:r w:rsidR="00AB2CC9">
        <w:t xml:space="preserve">in </w:t>
      </w:r>
      <w:r w:rsidR="007E65B8" w:rsidRPr="007E65B8">
        <w:rPr>
          <w:b/>
        </w:rPr>
        <w:t>P</w:t>
      </w:r>
      <w:r w:rsidR="00AB2CC9" w:rsidRPr="007E65B8">
        <w:rPr>
          <w:b/>
        </w:rPr>
        <w:t>art</w:t>
      </w:r>
      <w:r w:rsidR="007C5835" w:rsidRPr="007E65B8">
        <w:rPr>
          <w:b/>
        </w:rPr>
        <w:t xml:space="preserve"> </w:t>
      </w:r>
      <w:r w:rsidR="007E65B8" w:rsidRPr="007E65B8">
        <w:rPr>
          <w:b/>
        </w:rPr>
        <w:t>T</w:t>
      </w:r>
      <w:r w:rsidR="007C5835" w:rsidRPr="007E65B8">
        <w:rPr>
          <w:b/>
        </w:rPr>
        <w:t>wo</w:t>
      </w:r>
      <w:r w:rsidR="007E65B8" w:rsidRPr="007E65B8">
        <w:t xml:space="preserve"> of this regulatory impact statement</w:t>
      </w:r>
      <w:r w:rsidR="007C5835">
        <w:t xml:space="preserve">. </w:t>
      </w:r>
      <w:r w:rsidR="001E6964">
        <w:t xml:space="preserve">The primary risks of </w:t>
      </w:r>
      <w:r w:rsidR="004D66A7">
        <w:t xml:space="preserve">moving to a </w:t>
      </w:r>
      <w:r w:rsidR="00693073">
        <w:t>ten-</w:t>
      </w:r>
      <w:r w:rsidR="004D66A7">
        <w:t>year validity period relate to the passport book itself and international acceptance.</w:t>
      </w:r>
    </w:p>
    <w:p w14:paraId="14260D82" w14:textId="1F0C75DB" w:rsidR="009D70C4" w:rsidRDefault="009D70C4" w:rsidP="001B69C8">
      <w:pPr>
        <w:pStyle w:val="Numberedpara3level1"/>
      </w:pPr>
      <w:r w:rsidRPr="004D66A7">
        <w:t xml:space="preserve">It is unclear </w:t>
      </w:r>
      <w:r w:rsidR="004C68DB" w:rsidRPr="004D66A7">
        <w:t xml:space="preserve">whether </w:t>
      </w:r>
      <w:r w:rsidR="004C68DB">
        <w:t xml:space="preserve">the </w:t>
      </w:r>
      <w:r w:rsidR="004C68DB" w:rsidRPr="004D66A7">
        <w:t>passport book</w:t>
      </w:r>
      <w:r w:rsidR="004C68DB">
        <w:t xml:space="preserve"> and security chip can be guaranteed for the full ten years</w:t>
      </w:r>
      <w:r w:rsidR="004C68DB" w:rsidRPr="004D66A7">
        <w:t>. If not the Department would have to absorb risk and costs associated with passport replacement due to book degradation</w:t>
      </w:r>
      <w:r w:rsidR="004C68DB">
        <w:t xml:space="preserve"> or chip malfunction.</w:t>
      </w:r>
    </w:p>
    <w:p w14:paraId="391BFC78" w14:textId="420B2541" w:rsidR="00CB464D" w:rsidRDefault="00CB464D" w:rsidP="00CB464D">
      <w:pPr>
        <w:pStyle w:val="Numberedpara3level1"/>
      </w:pPr>
      <w:r>
        <w:t>Previously there have been concerns that moving away from international best practice (</w:t>
      </w:r>
      <w:r w:rsidR="00A420CC">
        <w:t>five</w:t>
      </w:r>
      <w:r>
        <w:t xml:space="preserve"> years) within the International Civil Aviation Organisation’</w:t>
      </w:r>
      <w:r w:rsidR="008C0F8A">
        <w:t>s</w:t>
      </w:r>
      <w:r>
        <w:t xml:space="preserve"> guidance for passport validity could </w:t>
      </w:r>
      <w:r w:rsidR="004D66A7">
        <w:t>present a risk by undermining</w:t>
      </w:r>
      <w:r>
        <w:t xml:space="preserve"> the international standing of the New Zealand passport</w:t>
      </w:r>
      <w:r w:rsidR="001E6964">
        <w:t xml:space="preserve"> and lead to reputational loss.</w:t>
      </w:r>
    </w:p>
    <w:p w14:paraId="7085E2CC" w14:textId="3CF4FDD8" w:rsidR="00AF04D9" w:rsidRDefault="00693073" w:rsidP="004C375D">
      <w:pPr>
        <w:pStyle w:val="Numberedpara3level1"/>
      </w:pPr>
      <w:r>
        <w:t>However, ten</w:t>
      </w:r>
      <w:r w:rsidR="00CB464D">
        <w:t xml:space="preserve"> years has passed since </w:t>
      </w:r>
      <w:r w:rsidR="00E93955">
        <w:t xml:space="preserve">New Zealand </w:t>
      </w:r>
      <w:r w:rsidR="00CB464D">
        <w:t xml:space="preserve">moved to </w:t>
      </w:r>
      <w:r w:rsidR="00A420CC">
        <w:t>five-</w:t>
      </w:r>
      <w:r w:rsidR="0011339B">
        <w:t>year</w:t>
      </w:r>
      <w:r w:rsidR="00CB464D">
        <w:t xml:space="preserve"> validity passports. The international security environment has changed and there has not been a widespread move from </w:t>
      </w:r>
      <w:r w:rsidR="00295FCF">
        <w:t xml:space="preserve">other </w:t>
      </w:r>
      <w:r w:rsidR="00CB464D">
        <w:t xml:space="preserve">nations to </w:t>
      </w:r>
      <w:r w:rsidR="00A420CC">
        <w:t>five-</w:t>
      </w:r>
      <w:r w:rsidR="00CB464D">
        <w:t>year passports as was anticipated at that time. We consider that</w:t>
      </w:r>
      <w:r w:rsidR="00B23FF7">
        <w:t>, contingent on appropriate security mitigations being put in place,</w:t>
      </w:r>
      <w:r w:rsidR="00CB464D">
        <w:t xml:space="preserve"> the reputation and ‘brand’ of New Zealand passports would not be</w:t>
      </w:r>
      <w:r w:rsidR="00E93955">
        <w:t xml:space="preserve"> significantly</w:t>
      </w:r>
      <w:r w:rsidR="00CB464D">
        <w:t xml:space="preserve"> affected by a move to </w:t>
      </w:r>
      <w:r>
        <w:t>ten</w:t>
      </w:r>
      <w:r w:rsidR="00CB464D">
        <w:t xml:space="preserve"> years</w:t>
      </w:r>
      <w:r w:rsidR="00B23FF7">
        <w:t>.</w:t>
      </w:r>
      <w:r w:rsidR="00CB464D">
        <w:t xml:space="preserve"> </w:t>
      </w:r>
      <w:r w:rsidR="00B23FF7">
        <w:t>N</w:t>
      </w:r>
      <w:r w:rsidR="00CB464D">
        <w:t xml:space="preserve">or are we aware of any evidence that indicated a move to </w:t>
      </w:r>
      <w:r>
        <w:t>ten</w:t>
      </w:r>
      <w:r w:rsidR="00CB464D">
        <w:t xml:space="preserve"> years would </w:t>
      </w:r>
      <w:r w:rsidR="00B23FF7">
        <w:t xml:space="preserve">directly </w:t>
      </w:r>
      <w:r w:rsidR="00CB464D">
        <w:t>jeopardise New Zealand passport holders’ visa-free entry status with other countries.</w:t>
      </w:r>
      <w:r w:rsidR="001E6964" w:rsidRPr="001E6964">
        <w:t xml:space="preserve"> </w:t>
      </w:r>
      <w:r w:rsidR="001E6964">
        <w:t>We consider that, on balance,</w:t>
      </w:r>
      <w:r w:rsidR="004D66A7">
        <w:t xml:space="preserve"> </w:t>
      </w:r>
      <w:r w:rsidR="001E6964">
        <w:t>international acceptance will not be impacted by validity periods but will instead be informed by the security and integrity of New Zealand passports.</w:t>
      </w:r>
    </w:p>
    <w:p w14:paraId="1B664D0A" w14:textId="6C55D99F" w:rsidR="00491D68" w:rsidRDefault="00EB70FB" w:rsidP="00491D68">
      <w:pPr>
        <w:pStyle w:val="Numberedpara3level1"/>
      </w:pPr>
      <w:r>
        <w:t xml:space="preserve">Other risks relating to </w:t>
      </w:r>
      <w:r w:rsidR="00491D68">
        <w:t xml:space="preserve">increased </w:t>
      </w:r>
      <w:r>
        <w:t>counterfeiting, impersonation at the border and misuse of New Zealand passports are hard to quantify. These risks often involve very low likelihoods with unclear</w:t>
      </w:r>
      <w:r w:rsidR="008C0F8A">
        <w:t>, but potentially high impact,</w:t>
      </w:r>
      <w:r>
        <w:t xml:space="preserve"> consequences. We consider that while a </w:t>
      </w:r>
      <w:r w:rsidR="00693073">
        <w:t>ten-</w:t>
      </w:r>
      <w:r>
        <w:t xml:space="preserve">year validity period may increase the level of </w:t>
      </w:r>
      <w:r w:rsidR="00491D68">
        <w:t>these forms of risk, they should be adequately mitigated by increased security measures. Further, we consider that given the very low likelihood of these risks, they should be kept in perspective alongside other risks and security matters.</w:t>
      </w:r>
    </w:p>
    <w:p w14:paraId="3D107329" w14:textId="7ADE8102" w:rsidR="00AF04D9" w:rsidRDefault="00AF04D9" w:rsidP="00AF04D9">
      <w:pPr>
        <w:pStyle w:val="Heading2"/>
      </w:pPr>
      <w:bookmarkStart w:id="19" w:name="_Toc413227679"/>
      <w:r>
        <w:t xml:space="preserve">Validity </w:t>
      </w:r>
      <w:r w:rsidR="001C5377">
        <w:t xml:space="preserve">period </w:t>
      </w:r>
      <w:r>
        <w:t>options analysis</w:t>
      </w:r>
      <w:bookmarkEnd w:id="19"/>
    </w:p>
    <w:p w14:paraId="779FA934" w14:textId="2C226618" w:rsidR="00AF04D9" w:rsidRDefault="00AF04D9" w:rsidP="00F210B6">
      <w:pPr>
        <w:pStyle w:val="Numberedpara3level1"/>
      </w:pPr>
      <w:r>
        <w:t>Which</w:t>
      </w:r>
      <w:r w:rsidR="001C5377">
        <w:t xml:space="preserve"> option (default </w:t>
      </w:r>
      <w:r>
        <w:t xml:space="preserve">or </w:t>
      </w:r>
      <w:r w:rsidR="00693073">
        <w:t>ten-</w:t>
      </w:r>
      <w:r>
        <w:t>year validity period</w:t>
      </w:r>
      <w:r w:rsidR="001C5377">
        <w:t>) better meets the requirements of security, convenience and risk</w:t>
      </w:r>
      <w:r>
        <w:t>?</w:t>
      </w:r>
    </w:p>
    <w:p w14:paraId="55A03599" w14:textId="75B1AFD0" w:rsidR="00491D68" w:rsidRDefault="00BA6A9C" w:rsidP="00F210B6">
      <w:pPr>
        <w:pStyle w:val="Numberedpara3level1"/>
      </w:pPr>
      <w:r>
        <w:t>Assuming that a security mitigation plan would be put in place and properly implemented, t</w:t>
      </w:r>
      <w:r w:rsidR="007C5835">
        <w:t>he</w:t>
      </w:r>
      <w:r w:rsidR="001E6964">
        <w:t xml:space="preserve"> security</w:t>
      </w:r>
      <w:r w:rsidR="007C5835">
        <w:t xml:space="preserve"> differences between the default</w:t>
      </w:r>
      <w:r w:rsidR="001E6964">
        <w:t xml:space="preserve"> option and a </w:t>
      </w:r>
      <w:r w:rsidR="00693073">
        <w:t>ten-</w:t>
      </w:r>
      <w:r w:rsidR="001E6964">
        <w:t>year validity period are likely to be marginal.</w:t>
      </w:r>
      <w:r w:rsidR="00491D68">
        <w:t xml:space="preserve"> </w:t>
      </w:r>
    </w:p>
    <w:p w14:paraId="03757550" w14:textId="269CFF4F" w:rsidR="009918C1" w:rsidRPr="001C5377" w:rsidRDefault="009918C1" w:rsidP="00BA6A9C">
      <w:pPr>
        <w:pStyle w:val="Numberedpara3level1"/>
        <w:rPr>
          <w:i/>
        </w:rPr>
      </w:pPr>
      <w:r>
        <w:t>W</w:t>
      </w:r>
      <w:r w:rsidR="00BA6A9C">
        <w:t xml:space="preserve">hile it </w:t>
      </w:r>
      <w:r>
        <w:t>would appear</w:t>
      </w:r>
      <w:r w:rsidR="00BA6A9C">
        <w:t xml:space="preserve"> that a </w:t>
      </w:r>
      <w:r w:rsidR="00A420CC">
        <w:t>ten</w:t>
      </w:r>
      <w:r w:rsidR="00D035E9">
        <w:t>-</w:t>
      </w:r>
      <w:r w:rsidR="00BA6A9C">
        <w:t xml:space="preserve">year passport would be more convenient </w:t>
      </w:r>
      <w:r w:rsidR="007747EE">
        <w:t>for man</w:t>
      </w:r>
      <w:r w:rsidR="00004103">
        <w:t>y</w:t>
      </w:r>
      <w:r w:rsidR="007747EE">
        <w:t xml:space="preserve"> individuals, </w:t>
      </w:r>
      <w:r w:rsidR="00A420CC">
        <w:t>five</w:t>
      </w:r>
      <w:r w:rsidR="007747EE">
        <w:t xml:space="preserve"> or </w:t>
      </w:r>
      <w:r w:rsidR="00A420CC">
        <w:t>ten</w:t>
      </w:r>
      <w:r w:rsidR="007747EE">
        <w:t xml:space="preserve"> year </w:t>
      </w:r>
      <w:r w:rsidR="00BA6A9C">
        <w:t xml:space="preserve">passport validity periods carry </w:t>
      </w:r>
      <w:r w:rsidR="007747EE">
        <w:t xml:space="preserve">different </w:t>
      </w:r>
      <w:r w:rsidR="00BA6A9C">
        <w:t xml:space="preserve">impacts and benefits for different groups. New Zealanders who live abroad believe they incur added costs from the five-year validity period because the country where they reside may also require them to renew their residency or working visa when they renew their passport. </w:t>
      </w:r>
      <w:r w:rsidR="001C5377">
        <w:t>However, a</w:t>
      </w:r>
      <w:r w:rsidR="00BA6A9C">
        <w:t xml:space="preserve">ny increase in an upfront fee associated with the longer validity period applies to all applicants no matter where they live or how often they use their passport. </w:t>
      </w:r>
    </w:p>
    <w:p w14:paraId="5957345B" w14:textId="0E0179DD" w:rsidR="00BA6A9C" w:rsidRDefault="001C5377" w:rsidP="00BA6A9C">
      <w:pPr>
        <w:pStyle w:val="Numberedpara3level1"/>
      </w:pPr>
      <w:r>
        <w:lastRenderedPageBreak/>
        <w:t xml:space="preserve">While </w:t>
      </w:r>
      <w:r w:rsidR="00BA6A9C" w:rsidRPr="003429A5">
        <w:t xml:space="preserve">many individuals maintain a valid passport in case they wish to travel, many </w:t>
      </w:r>
      <w:r w:rsidR="00BA6A9C">
        <w:t>other</w:t>
      </w:r>
      <w:r w:rsidR="00BA6A9C" w:rsidRPr="003429A5">
        <w:t xml:space="preserve">s travel internationally </w:t>
      </w:r>
      <w:r w:rsidR="00BA6A9C">
        <w:t xml:space="preserve">only </w:t>
      </w:r>
      <w:r w:rsidR="00BA6A9C" w:rsidRPr="003429A5">
        <w:t>on a very occasional basis</w:t>
      </w:r>
      <w:r w:rsidR="00BA6A9C">
        <w:t>. They may</w:t>
      </w:r>
      <w:r w:rsidR="00BA6A9C" w:rsidRPr="003429A5">
        <w:t xml:space="preserve"> not renew an expired passport until they need to travel again. </w:t>
      </w:r>
      <w:r w:rsidR="00BA6A9C">
        <w:t>The Department’s</w:t>
      </w:r>
      <w:r w:rsidR="00BA6A9C" w:rsidRPr="003429A5">
        <w:t xml:space="preserve"> fast issuance process means th</w:t>
      </w:r>
      <w:r w:rsidR="00BA6A9C">
        <w:t>at New Zealanders</w:t>
      </w:r>
      <w:r w:rsidR="00BA6A9C" w:rsidRPr="003429A5">
        <w:t xml:space="preserve"> do not need to apply a month </w:t>
      </w:r>
      <w:r w:rsidR="00BA6A9C">
        <w:t xml:space="preserve">or more </w:t>
      </w:r>
      <w:r w:rsidR="00BA6A9C" w:rsidRPr="003429A5">
        <w:t>in advance to be sure of getting their passport</w:t>
      </w:r>
      <w:r w:rsidR="00BA6A9C">
        <w:t xml:space="preserve"> before travel</w:t>
      </w:r>
      <w:r w:rsidR="00BA6A9C" w:rsidRPr="003429A5">
        <w:t>, as may be the case in other countries such a</w:t>
      </w:r>
      <w:r w:rsidR="00BA6A9C">
        <w:t>s</w:t>
      </w:r>
      <w:r w:rsidR="00BA6A9C" w:rsidRPr="003429A5">
        <w:t xml:space="preserve"> Can</w:t>
      </w:r>
      <w:r w:rsidR="00BA6A9C">
        <w:t>a</w:t>
      </w:r>
      <w:r w:rsidR="00BA6A9C" w:rsidRPr="003429A5">
        <w:t>da and the U</w:t>
      </w:r>
      <w:r w:rsidR="00BA6A9C">
        <w:t>nited States</w:t>
      </w:r>
      <w:r w:rsidR="007747EE">
        <w:t xml:space="preserve"> of America</w:t>
      </w:r>
      <w:r w:rsidR="00BA6A9C">
        <w:t>.</w:t>
      </w:r>
      <w:r w:rsidR="00BA6A9C" w:rsidRPr="003429A5">
        <w:t xml:space="preserve"> For th</w:t>
      </w:r>
      <w:r w:rsidR="00BA6A9C">
        <w:t>ose individuals</w:t>
      </w:r>
      <w:r w:rsidR="00BA6A9C" w:rsidRPr="003429A5">
        <w:t xml:space="preserve"> the five-year passport with the lower upfront fee </w:t>
      </w:r>
      <w:r w:rsidR="00BA6A9C">
        <w:t>may be</w:t>
      </w:r>
      <w:r w:rsidR="00BA6A9C" w:rsidRPr="003429A5">
        <w:t xml:space="preserve"> better value than a ten-year validity passport.</w:t>
      </w:r>
    </w:p>
    <w:p w14:paraId="7E92B5B2" w14:textId="3190A58D" w:rsidR="00BA6A9C" w:rsidRDefault="00387966" w:rsidP="007F36BA">
      <w:pPr>
        <w:pStyle w:val="Numberedpara3level1"/>
      </w:pPr>
      <w:r>
        <w:t>C</w:t>
      </w:r>
      <w:r w:rsidR="00491D68" w:rsidRPr="00491D68">
        <w:t>omparing risks is more diff</w:t>
      </w:r>
      <w:r w:rsidR="00491D68">
        <w:t>i</w:t>
      </w:r>
      <w:r w:rsidR="00491D68" w:rsidRPr="00491D68">
        <w:t>c</w:t>
      </w:r>
      <w:r w:rsidR="00491D68">
        <w:t>u</w:t>
      </w:r>
      <w:r>
        <w:t xml:space="preserve">lt and, ultimately, more subjective. The default option involves domestic political, communications and administrative risks relating to </w:t>
      </w:r>
      <w:r w:rsidR="000136BF">
        <w:t>maintaining a short passport validity period</w:t>
      </w:r>
      <w:r w:rsidR="007F36BA">
        <w:t xml:space="preserve">. Moving to a </w:t>
      </w:r>
      <w:r w:rsidR="00EA0E56">
        <w:t>ten-</w:t>
      </w:r>
      <w:r w:rsidR="007F36BA">
        <w:t>year passport involves a small number of low likelihood risks that would involve consequences that are difficult to quantify or predict.</w:t>
      </w:r>
    </w:p>
    <w:p w14:paraId="43081576" w14:textId="781523EA" w:rsidR="001923C8" w:rsidRDefault="001923C8" w:rsidP="007F36BA">
      <w:pPr>
        <w:pStyle w:val="Numberedpara3level1"/>
      </w:pPr>
      <w:r>
        <w:t xml:space="preserve">The arguments between each validity period are finely balanced. On the one hand, the </w:t>
      </w:r>
      <w:r w:rsidR="00EA0E56">
        <w:t>five-</w:t>
      </w:r>
      <w:r>
        <w:t xml:space="preserve">year validity period is likely to provide a security advantage. On the other hand, a </w:t>
      </w:r>
      <w:r w:rsidR="00EA0E56">
        <w:t>ten-</w:t>
      </w:r>
      <w:r>
        <w:t>year validity period</w:t>
      </w:r>
      <w:r w:rsidR="00964E45">
        <w:t xml:space="preserve"> is perceived to offer greater convenience.</w:t>
      </w:r>
    </w:p>
    <w:p w14:paraId="1C41D53C" w14:textId="77777777" w:rsidR="00004103" w:rsidRDefault="00004103" w:rsidP="008A5214">
      <w:pPr>
        <w:pStyle w:val="Spacer"/>
      </w:pPr>
      <w:bookmarkStart w:id="20" w:name="_Toc413227680"/>
    </w:p>
    <w:p w14:paraId="0748DC1E" w14:textId="4C7D12EB" w:rsidR="007B2954" w:rsidRPr="004C375D" w:rsidRDefault="007B2954" w:rsidP="004C375D">
      <w:pPr>
        <w:pStyle w:val="Heading1"/>
        <w:rPr>
          <w:bCs/>
          <w:sz w:val="32"/>
        </w:rPr>
      </w:pPr>
      <w:r w:rsidRPr="004C375D">
        <w:rPr>
          <w:bCs/>
          <w:sz w:val="32"/>
        </w:rPr>
        <w:t>Part Two</w:t>
      </w:r>
      <w:r w:rsidRPr="004C375D">
        <w:rPr>
          <w:bCs/>
          <w:sz w:val="32"/>
        </w:rPr>
        <w:tab/>
      </w:r>
      <w:r w:rsidR="00387B9E" w:rsidRPr="004C375D">
        <w:rPr>
          <w:bCs/>
          <w:sz w:val="32"/>
        </w:rPr>
        <w:tab/>
      </w:r>
      <w:r w:rsidRPr="004C375D">
        <w:rPr>
          <w:bCs/>
          <w:sz w:val="32"/>
        </w:rPr>
        <w:t xml:space="preserve">Cost </w:t>
      </w:r>
      <w:r w:rsidR="00EA0E56">
        <w:rPr>
          <w:bCs/>
          <w:sz w:val="32"/>
        </w:rPr>
        <w:t>implications of ten-</w:t>
      </w:r>
      <w:r w:rsidR="007F36BA">
        <w:rPr>
          <w:bCs/>
          <w:sz w:val="32"/>
        </w:rPr>
        <w:t>year validity passports</w:t>
      </w:r>
      <w:bookmarkEnd w:id="20"/>
    </w:p>
    <w:p w14:paraId="2D40A845" w14:textId="55B856CB" w:rsidR="00883B69" w:rsidRDefault="00883B69" w:rsidP="00883B69">
      <w:pPr>
        <w:pStyle w:val="Numberedpara3level1"/>
      </w:pPr>
      <w:r>
        <w:t xml:space="preserve">Currently passports are funded by fees set on a full cost recovery basis. Part 2 of this regulatory impact assessment sets out the financial and administrative implications of a return to ten-year passport validity. In particular, we examine how passport fees would rise, and then alternative funding models to help reduce fee rises. This section of the Regulatory Impact Statement does not present formal options for regulation. Instead, it </w:t>
      </w:r>
      <w:r w:rsidR="00004103">
        <w:t xml:space="preserve">seeks to inform decision-makers, and the public, about the cost </w:t>
      </w:r>
      <w:r w:rsidR="00CD270F">
        <w:t>implications</w:t>
      </w:r>
      <w:r w:rsidR="00004103">
        <w:t xml:space="preserve"> of returning to a ten-year passport validity.</w:t>
      </w:r>
    </w:p>
    <w:p w14:paraId="78258E29" w14:textId="1CFA893A" w:rsidR="007B2954" w:rsidRDefault="00396C42" w:rsidP="007B2954">
      <w:pPr>
        <w:pStyle w:val="Numberedpara3level1"/>
      </w:pPr>
      <w:r>
        <w:t>Using current modelling, passports would cost either $19</w:t>
      </w:r>
      <w:r w:rsidR="00F570D6">
        <w:t>9</w:t>
      </w:r>
      <w:r>
        <w:t xml:space="preserve"> for a </w:t>
      </w:r>
      <w:r w:rsidR="00EA0E56">
        <w:t>five-</w:t>
      </w:r>
      <w:r>
        <w:t>year passport, or $2</w:t>
      </w:r>
      <w:r w:rsidR="00387B9E">
        <w:t>7</w:t>
      </w:r>
      <w:r>
        <w:t xml:space="preserve">4 for a </w:t>
      </w:r>
      <w:r w:rsidR="00EA0E56">
        <w:t>ten-</w:t>
      </w:r>
      <w:r>
        <w:t xml:space="preserve">year passport. When considering </w:t>
      </w:r>
      <w:r w:rsidR="00AE67FB">
        <w:t>options</w:t>
      </w:r>
      <w:r w:rsidR="00421DA9">
        <w:t xml:space="preserve"> we need to also </w:t>
      </w:r>
      <w:r w:rsidR="001A1BB7">
        <w:t>be mindful of</w:t>
      </w:r>
      <w:r w:rsidR="00421DA9">
        <w:t xml:space="preserve"> New Zealanders</w:t>
      </w:r>
      <w:r w:rsidR="001A1BB7">
        <w:t xml:space="preserve">’ entitlement to a passport. Therefore, we </w:t>
      </w:r>
      <w:r>
        <w:t>should</w:t>
      </w:r>
      <w:r w:rsidR="001A1BB7">
        <w:t xml:space="preserve"> examine funding options, including a mix of cost recovery and Crown funding, to </w:t>
      </w:r>
      <w:r>
        <w:t xml:space="preserve">ensure that </w:t>
      </w:r>
      <w:r w:rsidR="001A1BB7">
        <w:t>passport price</w:t>
      </w:r>
      <w:r w:rsidR="00964E45">
        <w:t>s</w:t>
      </w:r>
      <w:r w:rsidR="001A1BB7">
        <w:t xml:space="preserve"> </w:t>
      </w:r>
      <w:r>
        <w:t xml:space="preserve">do not </w:t>
      </w:r>
      <w:r w:rsidR="001A1BB7">
        <w:t>become so high that they are unaffordable for some New Zealanders</w:t>
      </w:r>
      <w:r w:rsidR="00964E45">
        <w:t>.</w:t>
      </w:r>
    </w:p>
    <w:p w14:paraId="26BA2131" w14:textId="366D6FCF" w:rsidR="007712A6" w:rsidRDefault="00CD3D92" w:rsidP="007712A6">
      <w:pPr>
        <w:pStyle w:val="Heading2"/>
      </w:pPr>
      <w:bookmarkStart w:id="21" w:name="_Toc413227681"/>
      <w:r>
        <w:t>The financial i</w:t>
      </w:r>
      <w:r w:rsidR="007712A6">
        <w:t>mpact of moving to</w:t>
      </w:r>
      <w:r w:rsidR="00964E45">
        <w:t xml:space="preserve"> a</w:t>
      </w:r>
      <w:r w:rsidR="007712A6">
        <w:t xml:space="preserve"> </w:t>
      </w:r>
      <w:r w:rsidR="00EA0E56">
        <w:t>ten-</w:t>
      </w:r>
      <w:r w:rsidR="007712A6">
        <w:t>year validity</w:t>
      </w:r>
      <w:bookmarkEnd w:id="21"/>
      <w:r w:rsidR="00964E45">
        <w:t xml:space="preserve"> period</w:t>
      </w:r>
    </w:p>
    <w:p w14:paraId="3D147D41" w14:textId="7AA7ADA5" w:rsidR="007712A6" w:rsidRDefault="007712A6" w:rsidP="00F210B6">
      <w:pPr>
        <w:pStyle w:val="Numberedpara3level1"/>
      </w:pPr>
      <w:r>
        <w:t xml:space="preserve">One major administrative risk associated with moving to a </w:t>
      </w:r>
      <w:r w:rsidR="00EA0E56">
        <w:t>ten-</w:t>
      </w:r>
      <w:r>
        <w:t xml:space="preserve">year passport is the implications of significantly reduced </w:t>
      </w:r>
      <w:r w:rsidR="00DD7902">
        <w:t xml:space="preserve">number of passports issued </w:t>
      </w:r>
      <w:r w:rsidRPr="007F36BA">
        <w:rPr>
          <w:rFonts w:asciiTheme="minorHAnsi" w:hAnsiTheme="minorHAnsi" w:cs="Arial Mäori"/>
        </w:rPr>
        <w:t xml:space="preserve">after the first five years, as most current adult five-year passports will have been renewed and have a </w:t>
      </w:r>
      <w:r w:rsidR="00EA0E56">
        <w:t>ten</w:t>
      </w:r>
      <w:r w:rsidR="00EA0E56">
        <w:rPr>
          <w:rFonts w:asciiTheme="minorHAnsi" w:hAnsiTheme="minorHAnsi" w:cs="Arial Mäori"/>
        </w:rPr>
        <w:t>-</w:t>
      </w:r>
      <w:r w:rsidRPr="007F36BA">
        <w:rPr>
          <w:rFonts w:asciiTheme="minorHAnsi" w:hAnsiTheme="minorHAnsi" w:cs="Arial Mäori"/>
        </w:rPr>
        <w:t>year validity by that time. It is estimated the Department would issue 1.77 million (36 per cent) fewer adult passports over that ten-year period. The costs of maintaining the passport service and supporting the child subsidy will therefore be spread over a much smaller number of passports.</w:t>
      </w:r>
      <w:r w:rsidR="00DD7902" w:rsidRPr="007F36BA">
        <w:rPr>
          <w:rFonts w:asciiTheme="minorHAnsi" w:hAnsiTheme="minorHAnsi" w:cs="Arial Mäori"/>
        </w:rPr>
        <w:t xml:space="preserve"> </w:t>
      </w:r>
      <w:r w:rsidRPr="007F36BA">
        <w:rPr>
          <w:b/>
        </w:rPr>
        <w:t>Appendix B</w:t>
      </w:r>
      <w:r>
        <w:t xml:space="preserve"> sets out the cyclical nature of passport renewal, and the implication</w:t>
      </w:r>
      <w:r w:rsidR="00964E45">
        <w:t>s</w:t>
      </w:r>
      <w:r>
        <w:t xml:space="preserve"> for per-unit cost of a move to </w:t>
      </w:r>
      <w:r w:rsidR="00EA0E56">
        <w:t>ten-</w:t>
      </w:r>
      <w:r>
        <w:t>year passport validity.</w:t>
      </w:r>
    </w:p>
    <w:p w14:paraId="419CE742" w14:textId="77777777" w:rsidR="007712A6" w:rsidRPr="007712A6" w:rsidRDefault="007712A6" w:rsidP="007712A6">
      <w:pPr>
        <w:pStyle w:val="Numberedpara3level1"/>
        <w:rPr>
          <w:rFonts w:asciiTheme="minorHAnsi" w:hAnsiTheme="minorHAnsi" w:cs="Arial Mäori"/>
        </w:rPr>
      </w:pPr>
      <w:r>
        <w:rPr>
          <w:rFonts w:asciiTheme="minorHAnsi" w:hAnsiTheme="minorHAnsi" w:cs="Arial Mäori"/>
        </w:rPr>
        <w:t>Other factors that will affect costs for a ten-year validity period passport include:</w:t>
      </w:r>
    </w:p>
    <w:p w14:paraId="3B60AF8F" w14:textId="74B1C739" w:rsidR="007712A6" w:rsidRPr="007712A6" w:rsidRDefault="007712A6" w:rsidP="007712A6">
      <w:pPr>
        <w:pStyle w:val="Numberedpara3level1"/>
        <w:numPr>
          <w:ilvl w:val="1"/>
          <w:numId w:val="26"/>
        </w:numPr>
        <w:rPr>
          <w:rFonts w:asciiTheme="minorHAnsi" w:hAnsiTheme="minorHAnsi" w:cs="Arial Mäori"/>
        </w:rPr>
      </w:pPr>
      <w:r>
        <w:rPr>
          <w:rFonts w:asciiTheme="minorHAnsi" w:hAnsiTheme="minorHAnsi" w:cs="Arial Mäori"/>
        </w:rPr>
        <w:t>security mitigation cos</w:t>
      </w:r>
      <w:r w:rsidR="004678BC">
        <w:rPr>
          <w:rFonts w:asciiTheme="minorHAnsi" w:hAnsiTheme="minorHAnsi" w:cs="Arial Mäori"/>
        </w:rPr>
        <w:t xml:space="preserve">ts </w:t>
      </w:r>
      <w:r w:rsidR="00437D87">
        <w:rPr>
          <w:rFonts w:asciiTheme="minorHAnsi" w:hAnsiTheme="minorHAnsi" w:cs="Arial Mäori"/>
        </w:rPr>
        <w:t>(</w:t>
      </w:r>
      <w:r w:rsidR="004678BC">
        <w:rPr>
          <w:rFonts w:asciiTheme="minorHAnsi" w:hAnsiTheme="minorHAnsi" w:cs="Arial Mäori"/>
        </w:rPr>
        <w:t>approximately $4 million</w:t>
      </w:r>
      <w:r w:rsidR="00437D87">
        <w:rPr>
          <w:rFonts w:asciiTheme="minorHAnsi" w:hAnsiTheme="minorHAnsi" w:cs="Arial Mäori"/>
        </w:rPr>
        <w:t>)</w:t>
      </w:r>
      <w:r>
        <w:rPr>
          <w:rFonts w:asciiTheme="minorHAnsi" w:hAnsiTheme="minorHAnsi" w:cs="Arial Mäori"/>
        </w:rPr>
        <w:t>;</w:t>
      </w:r>
    </w:p>
    <w:p w14:paraId="073BDFF6" w14:textId="77777777" w:rsidR="007712A6" w:rsidRPr="007712A6" w:rsidRDefault="007712A6" w:rsidP="007712A6">
      <w:pPr>
        <w:pStyle w:val="Numberedpara3level1"/>
        <w:numPr>
          <w:ilvl w:val="1"/>
          <w:numId w:val="26"/>
        </w:numPr>
        <w:rPr>
          <w:rFonts w:asciiTheme="minorHAnsi" w:hAnsiTheme="minorHAnsi" w:cs="Arial Mäori"/>
        </w:rPr>
      </w:pPr>
      <w:r>
        <w:rPr>
          <w:rFonts w:asciiTheme="minorHAnsi" w:hAnsiTheme="minorHAnsi" w:cs="Arial Mäori"/>
        </w:rPr>
        <w:t>renegotiation of contracts with suppliers;</w:t>
      </w:r>
    </w:p>
    <w:p w14:paraId="1F0BA022" w14:textId="7D2AE57C" w:rsidR="007712A6" w:rsidRDefault="007712A6" w:rsidP="007712A6">
      <w:pPr>
        <w:pStyle w:val="Numberedpara3level1"/>
        <w:numPr>
          <w:ilvl w:val="1"/>
          <w:numId w:val="26"/>
        </w:numPr>
        <w:rPr>
          <w:rFonts w:asciiTheme="minorHAnsi" w:hAnsiTheme="minorHAnsi" w:cs="Arial Mäori"/>
        </w:rPr>
      </w:pPr>
      <w:r>
        <w:rPr>
          <w:rFonts w:asciiTheme="minorHAnsi" w:hAnsiTheme="minorHAnsi" w:cs="Arial Mäori"/>
        </w:rPr>
        <w:t xml:space="preserve">staff redundancy costs at Year </w:t>
      </w:r>
      <w:r w:rsidR="00EA0E56">
        <w:rPr>
          <w:rFonts w:asciiTheme="minorHAnsi" w:hAnsiTheme="minorHAnsi" w:cs="Arial Mäori"/>
        </w:rPr>
        <w:t>five</w:t>
      </w:r>
      <w:r w:rsidR="00964E45">
        <w:rPr>
          <w:rFonts w:asciiTheme="minorHAnsi" w:hAnsiTheme="minorHAnsi" w:cs="Arial Mäori"/>
        </w:rPr>
        <w:t xml:space="preserve"> (and subsequently Year 15</w:t>
      </w:r>
      <w:r>
        <w:rPr>
          <w:rFonts w:asciiTheme="minorHAnsi" w:hAnsiTheme="minorHAnsi" w:cs="Arial Mäori"/>
        </w:rPr>
        <w:t>);</w:t>
      </w:r>
    </w:p>
    <w:p w14:paraId="1C0B01EF" w14:textId="73DE5BD5" w:rsidR="007712A6" w:rsidRDefault="007712A6" w:rsidP="007712A6">
      <w:pPr>
        <w:pStyle w:val="Numberedpara3level1"/>
        <w:numPr>
          <w:ilvl w:val="1"/>
          <w:numId w:val="26"/>
        </w:numPr>
        <w:rPr>
          <w:rFonts w:asciiTheme="minorHAnsi" w:hAnsiTheme="minorHAnsi" w:cs="Arial Mäori"/>
        </w:rPr>
      </w:pPr>
      <w:r>
        <w:rPr>
          <w:rFonts w:asciiTheme="minorHAnsi" w:hAnsiTheme="minorHAnsi" w:cs="Arial Mäori"/>
        </w:rPr>
        <w:lastRenderedPageBreak/>
        <w:t xml:space="preserve">staff recruitment and training costs at </w:t>
      </w:r>
      <w:r w:rsidR="00EA0E56">
        <w:rPr>
          <w:rFonts w:asciiTheme="minorHAnsi" w:hAnsiTheme="minorHAnsi" w:cs="Arial Mäori"/>
        </w:rPr>
        <w:t>Y</w:t>
      </w:r>
      <w:r>
        <w:rPr>
          <w:rFonts w:asciiTheme="minorHAnsi" w:hAnsiTheme="minorHAnsi" w:cs="Arial Mäori"/>
        </w:rPr>
        <w:t xml:space="preserve">ear </w:t>
      </w:r>
      <w:r w:rsidR="00EA0E56">
        <w:rPr>
          <w:rFonts w:asciiTheme="minorHAnsi" w:hAnsiTheme="minorHAnsi" w:cs="Arial Mäori"/>
        </w:rPr>
        <w:t>nine</w:t>
      </w:r>
      <w:r w:rsidR="00964E45">
        <w:rPr>
          <w:rFonts w:asciiTheme="minorHAnsi" w:hAnsiTheme="minorHAnsi" w:cs="Arial Mäori"/>
        </w:rPr>
        <w:t xml:space="preserve"> (and subsequently Year 19</w:t>
      </w:r>
      <w:r>
        <w:rPr>
          <w:rFonts w:asciiTheme="minorHAnsi" w:hAnsiTheme="minorHAnsi" w:cs="Arial Mäori"/>
        </w:rPr>
        <w:t xml:space="preserve">); </w:t>
      </w:r>
    </w:p>
    <w:p w14:paraId="67FF029F" w14:textId="6D55EF89" w:rsidR="007712A6" w:rsidRPr="007712A6" w:rsidRDefault="007712A6" w:rsidP="007712A6">
      <w:pPr>
        <w:pStyle w:val="Numberedpara3level1"/>
        <w:numPr>
          <w:ilvl w:val="1"/>
          <w:numId w:val="26"/>
        </w:numPr>
      </w:pPr>
      <w:r>
        <w:rPr>
          <w:rFonts w:asciiTheme="minorHAnsi" w:hAnsiTheme="minorHAnsi" w:cs="Arial Mäori"/>
        </w:rPr>
        <w:t>business risks associated with forecasting for changed customer behaviour and constant business change.</w:t>
      </w:r>
    </w:p>
    <w:p w14:paraId="128DBD84" w14:textId="4BA8A8A6" w:rsidR="007712A6" w:rsidRDefault="00D90C46" w:rsidP="007712A6">
      <w:pPr>
        <w:pStyle w:val="Numberedpara3level1"/>
      </w:pPr>
      <w:r>
        <w:t>Co</w:t>
      </w:r>
      <w:r w:rsidR="00437D87">
        <w:t>mbined, those costs and risks would</w:t>
      </w:r>
      <w:r>
        <w:t xml:space="preserve"> drive up the cost of administering the passport service</w:t>
      </w:r>
      <w:r w:rsidR="00437D87">
        <w:t>.</w:t>
      </w:r>
    </w:p>
    <w:p w14:paraId="5E734B74" w14:textId="36AAAA90" w:rsidR="00421DA9" w:rsidRDefault="00C85251" w:rsidP="00421DA9">
      <w:pPr>
        <w:pStyle w:val="Heading2"/>
      </w:pPr>
      <w:bookmarkStart w:id="22" w:name="_Toc413227682"/>
      <w:r>
        <w:t xml:space="preserve">Maintaining full </w:t>
      </w:r>
      <w:r w:rsidR="00AF04D9">
        <w:t>cost recover</w:t>
      </w:r>
      <w:r>
        <w:t>y</w:t>
      </w:r>
      <w:bookmarkEnd w:id="22"/>
    </w:p>
    <w:p w14:paraId="69CD37CF" w14:textId="0D5A7461" w:rsidR="00BB4B7F" w:rsidRDefault="00964E45" w:rsidP="00DD7902">
      <w:pPr>
        <w:pStyle w:val="Numberedpara3level1"/>
      </w:pPr>
      <w:r>
        <w:t>If t</w:t>
      </w:r>
      <w:r w:rsidR="00DD7902">
        <w:t>he current full cost recovery model</w:t>
      </w:r>
      <w:r>
        <w:t xml:space="preserve"> was to be retained the fee for </w:t>
      </w:r>
      <w:r w:rsidR="00EA0E56">
        <w:t>ten-</w:t>
      </w:r>
      <w:r>
        <w:t>year</w:t>
      </w:r>
      <w:r w:rsidR="00DD7902">
        <w:t xml:space="preserve"> adult passports would cost citizens </w:t>
      </w:r>
      <w:r w:rsidR="00351393">
        <w:t xml:space="preserve">an estimated </w:t>
      </w:r>
      <w:r w:rsidR="00DD7902">
        <w:t>$274</w:t>
      </w:r>
      <w:r w:rsidR="00004103">
        <w:t xml:space="preserve"> (</w:t>
      </w:r>
      <w:r w:rsidR="00F570D6">
        <w:t>3</w:t>
      </w:r>
      <w:r w:rsidR="00004103">
        <w:t>8 per cent higher than the default option)</w:t>
      </w:r>
      <w:r w:rsidR="00437D87">
        <w:t>.</w:t>
      </w:r>
    </w:p>
    <w:p w14:paraId="7E3826B9" w14:textId="7BFECE7D" w:rsidR="004D35CA" w:rsidRDefault="00437D87" w:rsidP="004D35CA">
      <w:pPr>
        <w:pStyle w:val="Numberedpara3level1"/>
      </w:pPr>
      <w:r w:rsidRPr="00CD3D92">
        <w:rPr>
          <w:rFonts w:asciiTheme="minorHAnsi" w:hAnsiTheme="minorHAnsi" w:cs="Arial Mäori"/>
        </w:rPr>
        <w:t xml:space="preserve">A full cost recovery model for </w:t>
      </w:r>
      <w:r w:rsidR="00EA0E56">
        <w:t>ten-</w:t>
      </w:r>
      <w:r w:rsidRPr="00CD3D92">
        <w:rPr>
          <w:rFonts w:asciiTheme="minorHAnsi" w:hAnsiTheme="minorHAnsi" w:cs="Arial Mäori"/>
        </w:rPr>
        <w:t xml:space="preserve">year passports would </w:t>
      </w:r>
      <w:r w:rsidR="007712A6" w:rsidRPr="00CD3D92">
        <w:rPr>
          <w:rFonts w:asciiTheme="minorHAnsi" w:hAnsiTheme="minorHAnsi" w:cs="Arial Mäori"/>
        </w:rPr>
        <w:t xml:space="preserve">also mean that the Department </w:t>
      </w:r>
      <w:r w:rsidR="007712A6" w:rsidRPr="00CD3D92">
        <w:rPr>
          <w:rFonts w:asciiTheme="minorHAnsi" w:hAnsiTheme="minorHAnsi"/>
        </w:rPr>
        <w:t xml:space="preserve">would need to accumulate a large cash surplus in the </w:t>
      </w:r>
      <w:r w:rsidRPr="00CD3D92">
        <w:rPr>
          <w:rFonts w:asciiTheme="minorHAnsi" w:hAnsiTheme="minorHAnsi"/>
        </w:rPr>
        <w:t>Account</w:t>
      </w:r>
      <w:r w:rsidR="007712A6" w:rsidRPr="00CD3D92">
        <w:rPr>
          <w:rFonts w:asciiTheme="minorHAnsi" w:hAnsiTheme="minorHAnsi"/>
        </w:rPr>
        <w:t xml:space="preserve"> over the first five years to sustain the provision of passport services over the second five years, when there </w:t>
      </w:r>
      <w:r w:rsidRPr="00CD3D92">
        <w:rPr>
          <w:rFonts w:asciiTheme="minorHAnsi" w:hAnsiTheme="minorHAnsi"/>
        </w:rPr>
        <w:t xml:space="preserve">would be </w:t>
      </w:r>
      <w:r w:rsidR="007712A6" w:rsidRPr="00CD3D92">
        <w:rPr>
          <w:rFonts w:asciiTheme="minorHAnsi" w:hAnsiTheme="minorHAnsi"/>
        </w:rPr>
        <w:t>few adult passport renewals</w:t>
      </w:r>
      <w:r w:rsidR="00CD3D92" w:rsidRPr="00CD3D92">
        <w:rPr>
          <w:rFonts w:asciiTheme="minorHAnsi" w:hAnsiTheme="minorHAnsi"/>
        </w:rPr>
        <w:t>.</w:t>
      </w:r>
      <w:r w:rsidR="00A31D67">
        <w:t xml:space="preserve"> As renewal rates drop </w:t>
      </w:r>
      <w:r w:rsidR="00386DBD">
        <w:t>significantly</w:t>
      </w:r>
      <w:r w:rsidR="00A31D67">
        <w:t xml:space="preserve">, the costs of the passport service </w:t>
      </w:r>
      <w:r>
        <w:t>need</w:t>
      </w:r>
      <w:r w:rsidR="00A31D67">
        <w:t xml:space="preserve"> to </w:t>
      </w:r>
      <w:r w:rsidR="00FC16F1">
        <w:t xml:space="preserve">be </w:t>
      </w:r>
      <w:r w:rsidR="00A31D67">
        <w:t>spread across a very small number of passports, driving up per-unit administrative cost</w:t>
      </w:r>
      <w:r w:rsidR="00DE58BC">
        <w:t>s</w:t>
      </w:r>
      <w:r w:rsidR="00A31D67">
        <w:t>.</w:t>
      </w:r>
    </w:p>
    <w:p w14:paraId="7D56F388" w14:textId="3F9F319C" w:rsidR="0050624D" w:rsidRDefault="0050624D" w:rsidP="0050624D">
      <w:pPr>
        <w:pStyle w:val="Numberedpara3level1"/>
      </w:pPr>
      <w:bookmarkStart w:id="23" w:name="_Ref412016331"/>
      <w:r>
        <w:t xml:space="preserve">As shown in </w:t>
      </w:r>
      <w:r w:rsidR="00BB4B7F" w:rsidRPr="00F4500C">
        <w:rPr>
          <w:b/>
        </w:rPr>
        <w:t>figure 2</w:t>
      </w:r>
      <w:r>
        <w:t xml:space="preserve"> (below), </w:t>
      </w:r>
      <w:r w:rsidR="00351393">
        <w:t>the Department</w:t>
      </w:r>
      <w:r w:rsidR="00CD3D92">
        <w:t xml:space="preserve"> would need to build up a </w:t>
      </w:r>
      <w:r>
        <w:t xml:space="preserve">large surplus </w:t>
      </w:r>
      <w:r w:rsidR="00A31D67">
        <w:t>(</w:t>
      </w:r>
      <w:r w:rsidR="00040B52">
        <w:t xml:space="preserve">nearly </w:t>
      </w:r>
      <w:r w:rsidR="00A31D67">
        <w:t>$1</w:t>
      </w:r>
      <w:r w:rsidR="00040B52">
        <w:t>7</w:t>
      </w:r>
      <w:r w:rsidR="00A31D67">
        <w:t>0</w:t>
      </w:r>
      <w:r w:rsidR="00437D87">
        <w:t xml:space="preserve"> </w:t>
      </w:r>
      <w:r w:rsidR="00A31D67">
        <w:t>m</w:t>
      </w:r>
      <w:r w:rsidR="00437D87">
        <w:t>illion</w:t>
      </w:r>
      <w:r w:rsidR="00A31D67">
        <w:t xml:space="preserve"> at its highest value) </w:t>
      </w:r>
      <w:r w:rsidR="00CD3D92">
        <w:t>over</w:t>
      </w:r>
      <w:r>
        <w:t xml:space="preserve"> the first five years in order to sustain the large fall in revenue over the second five years when there are few passport renewals</w:t>
      </w:r>
      <w:r w:rsidR="00437D87">
        <w:t>. This large surplus would be necessary</w:t>
      </w:r>
      <w:r w:rsidR="00B23FF7">
        <w:t xml:space="preserve"> to ensure the Account does not go into deficit in 2026</w:t>
      </w:r>
      <w:r>
        <w:t xml:space="preserve">. This cyclical building of a surplus to spend over the following </w:t>
      </w:r>
      <w:r w:rsidR="00A14275">
        <w:t xml:space="preserve">five </w:t>
      </w:r>
      <w:r>
        <w:t>years would continue to happen</w:t>
      </w:r>
      <w:r w:rsidR="00351393">
        <w:t xml:space="preserve"> over decades, but at a decreasing rate</w:t>
      </w:r>
      <w:r>
        <w:t>.</w:t>
      </w:r>
    </w:p>
    <w:p w14:paraId="7E3826BA" w14:textId="205E380F" w:rsidR="004D35CA" w:rsidRPr="002D47C6" w:rsidRDefault="004D35CA" w:rsidP="00004103">
      <w:pPr>
        <w:pStyle w:val="Tablesource"/>
        <w:keepNext/>
        <w:rPr>
          <w:b/>
        </w:rPr>
      </w:pPr>
      <w:bookmarkStart w:id="24" w:name="_Ref412032061"/>
      <w:r w:rsidRPr="002D47C6">
        <w:rPr>
          <w:b/>
        </w:rPr>
        <w:t xml:space="preserve">Figure </w:t>
      </w:r>
      <w:r w:rsidRPr="002D47C6">
        <w:rPr>
          <w:b/>
        </w:rPr>
        <w:fldChar w:fldCharType="begin"/>
      </w:r>
      <w:r w:rsidRPr="002D47C6">
        <w:rPr>
          <w:b/>
        </w:rPr>
        <w:instrText xml:space="preserve"> SEQ Figure \* ARABIC </w:instrText>
      </w:r>
      <w:r w:rsidRPr="002D47C6">
        <w:rPr>
          <w:b/>
        </w:rPr>
        <w:fldChar w:fldCharType="separate"/>
      </w:r>
      <w:r w:rsidR="008204CF">
        <w:rPr>
          <w:b/>
          <w:noProof/>
        </w:rPr>
        <w:t>2</w:t>
      </w:r>
      <w:r w:rsidRPr="002D47C6">
        <w:rPr>
          <w:b/>
        </w:rPr>
        <w:fldChar w:fldCharType="end"/>
      </w:r>
      <w:bookmarkEnd w:id="23"/>
      <w:bookmarkEnd w:id="24"/>
      <w:r w:rsidRPr="002D47C6">
        <w:rPr>
          <w:b/>
        </w:rPr>
        <w:t xml:space="preserve">: forecast balance of </w:t>
      </w:r>
      <w:r w:rsidR="00620099" w:rsidRPr="002D47C6">
        <w:rPr>
          <w:b/>
        </w:rPr>
        <w:t>the A</w:t>
      </w:r>
      <w:r w:rsidRPr="002D47C6">
        <w:rPr>
          <w:b/>
        </w:rPr>
        <w:t>ccount</w:t>
      </w:r>
      <w:r w:rsidR="00184824">
        <w:rPr>
          <w:b/>
        </w:rPr>
        <w:t xml:space="preserve"> for </w:t>
      </w:r>
      <w:r w:rsidR="00EA0E56">
        <w:rPr>
          <w:b/>
        </w:rPr>
        <w:t>ten-</w:t>
      </w:r>
      <w:r w:rsidR="00184824">
        <w:rPr>
          <w:b/>
        </w:rPr>
        <w:t>year passports</w:t>
      </w:r>
      <w:r w:rsidR="00964E45">
        <w:rPr>
          <w:b/>
        </w:rPr>
        <w:t xml:space="preserve"> with full cost recovery fees</w:t>
      </w:r>
    </w:p>
    <w:tbl>
      <w:tblPr>
        <w:tblStyle w:val="Blanktable"/>
        <w:tblW w:w="8732" w:type="dxa"/>
        <w:tblInd w:w="567" w:type="dxa"/>
        <w:tblLook w:val="0480" w:firstRow="0" w:lastRow="0" w:firstColumn="1" w:lastColumn="0" w:noHBand="0" w:noVBand="1"/>
      </w:tblPr>
      <w:tblGrid>
        <w:gridCol w:w="8796"/>
      </w:tblGrid>
      <w:tr w:rsidR="004D35CA" w14:paraId="7E3826BC" w14:textId="77777777" w:rsidTr="00040B52">
        <w:trPr>
          <w:trHeight w:val="3692"/>
        </w:trPr>
        <w:tc>
          <w:tcPr>
            <w:tcW w:w="8732" w:type="dxa"/>
          </w:tcPr>
          <w:p w14:paraId="7E3826BB" w14:textId="67551A10" w:rsidR="004D35CA" w:rsidRDefault="00040B52">
            <w:r>
              <w:rPr>
                <w:noProof/>
                <w:lang w:eastAsia="en-NZ"/>
              </w:rPr>
              <w:drawing>
                <wp:inline distT="0" distB="0" distL="0" distR="0" wp14:anchorId="46D5C715" wp14:editId="051FD4E5">
                  <wp:extent cx="5420564" cy="3196743"/>
                  <wp:effectExtent l="0" t="0" r="2794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E3826BF" w14:textId="12A2902F" w:rsidR="004D35CA" w:rsidRDefault="004D35CA" w:rsidP="00AF04D9">
      <w:pPr>
        <w:pStyle w:val="Numberedpara3level1"/>
      </w:pPr>
      <w:r>
        <w:lastRenderedPageBreak/>
        <w:t>Maintaining this large surplus w</w:t>
      </w:r>
      <w:r w:rsidR="00A31D67">
        <w:t>ould</w:t>
      </w:r>
      <w:r>
        <w:t xml:space="preserve"> be critical to ensuring the medium and long-term viability of the passport service</w:t>
      </w:r>
      <w:r w:rsidR="0063541B">
        <w:t>,</w:t>
      </w:r>
      <w:r>
        <w:t xml:space="preserve"> the integrity of the New Zealand passport</w:t>
      </w:r>
      <w:r w:rsidR="00F102FD">
        <w:t xml:space="preserve"> and</w:t>
      </w:r>
      <w:r w:rsidR="00437D87">
        <w:t xml:space="preserve"> </w:t>
      </w:r>
      <w:r w:rsidR="00F102FD">
        <w:t>ensur</w:t>
      </w:r>
      <w:r w:rsidR="00437D87">
        <w:t>ing</w:t>
      </w:r>
      <w:r w:rsidR="00F102FD">
        <w:t xml:space="preserve"> price consistency for </w:t>
      </w:r>
      <w:r w:rsidR="00EA0E56">
        <w:t>ten-</w:t>
      </w:r>
      <w:r w:rsidR="00F102FD">
        <w:t xml:space="preserve">year passports over the first </w:t>
      </w:r>
      <w:r w:rsidR="00EA0E56">
        <w:t xml:space="preserve">ten </w:t>
      </w:r>
      <w:r w:rsidR="00F102FD">
        <w:t>years (2016 – 2026)</w:t>
      </w:r>
      <w:r>
        <w:t>.</w:t>
      </w:r>
      <w:r w:rsidR="00040B52">
        <w:t xml:space="preserve"> </w:t>
      </w:r>
      <w:r w:rsidRPr="00B00B3D">
        <w:t>However, maintaining such a large surplus w</w:t>
      </w:r>
      <w:r w:rsidR="00A31D67">
        <w:t>ould</w:t>
      </w:r>
      <w:r w:rsidRPr="00B00B3D">
        <w:t xml:space="preserve"> require </w:t>
      </w:r>
      <w:r w:rsidR="00DD26EE" w:rsidRPr="00B00B3D">
        <w:t>ongoing</w:t>
      </w:r>
      <w:r w:rsidR="00B00B3D" w:rsidRPr="00B00B3D">
        <w:t xml:space="preserve"> </w:t>
      </w:r>
      <w:r w:rsidRPr="00B00B3D">
        <w:t>organisation</w:t>
      </w:r>
      <w:r w:rsidR="00DD26EE" w:rsidRPr="00B00B3D">
        <w:t>al</w:t>
      </w:r>
      <w:r w:rsidR="00C9760B" w:rsidRPr="00C9760B">
        <w:t xml:space="preserve"> </w:t>
      </w:r>
      <w:r w:rsidR="00C9760B" w:rsidRPr="00B00B3D">
        <w:t>discipline</w:t>
      </w:r>
      <w:r w:rsidR="00C9760B">
        <w:t xml:space="preserve"> and</w:t>
      </w:r>
      <w:r w:rsidRPr="00B00B3D">
        <w:t xml:space="preserve"> political and public </w:t>
      </w:r>
      <w:r w:rsidR="00DD26EE" w:rsidRPr="00B00B3D">
        <w:t xml:space="preserve">recognition of </w:t>
      </w:r>
      <w:r w:rsidR="00946AFA" w:rsidRPr="00B00B3D">
        <w:t xml:space="preserve">the </w:t>
      </w:r>
      <w:r w:rsidR="00B00B3D" w:rsidRPr="00B00B3D">
        <w:t>necessity</w:t>
      </w:r>
      <w:r w:rsidR="00946AFA" w:rsidRPr="00B00B3D">
        <w:t xml:space="preserve"> for </w:t>
      </w:r>
      <w:r w:rsidR="00B10E6E" w:rsidRPr="00B00B3D">
        <w:t>the surplus</w:t>
      </w:r>
      <w:r w:rsidR="00B00B3D" w:rsidRPr="00B00B3D">
        <w:t xml:space="preserve"> to fund future activity</w:t>
      </w:r>
      <w:r w:rsidRPr="00B00B3D">
        <w:t>.</w:t>
      </w:r>
      <w:r w:rsidR="00713184">
        <w:t xml:space="preserve"> </w:t>
      </w:r>
      <w:r w:rsidR="00901771">
        <w:t xml:space="preserve">This surplus would be </w:t>
      </w:r>
      <w:r w:rsidR="00713184">
        <w:t xml:space="preserve">more than </w:t>
      </w:r>
      <w:r w:rsidR="00A14275">
        <w:t>six</w:t>
      </w:r>
      <w:r w:rsidR="00713184">
        <w:t xml:space="preserve"> times larger than the $27</w:t>
      </w:r>
      <w:r w:rsidR="004002D7">
        <w:t xml:space="preserve"> </w:t>
      </w:r>
      <w:r w:rsidR="00713184">
        <w:t>m</w:t>
      </w:r>
      <w:r w:rsidR="004002D7">
        <w:t>illion</w:t>
      </w:r>
      <w:r w:rsidR="00713184">
        <w:t xml:space="preserve"> surplus that </w:t>
      </w:r>
      <w:r w:rsidR="00901771">
        <w:t xml:space="preserve">was </w:t>
      </w:r>
      <w:r w:rsidR="00713184">
        <w:t>previously reduce</w:t>
      </w:r>
      <w:r w:rsidR="00964E45">
        <w:t>d</w:t>
      </w:r>
      <w:r w:rsidR="00713184">
        <w:t xml:space="preserve"> and equivalent to more than one quarter of 2014/15 Departmental Appropriations</w:t>
      </w:r>
      <w:r w:rsidR="009B664D">
        <w:t xml:space="preserve"> under Vote Internal Affairs</w:t>
      </w:r>
      <w:r w:rsidR="00713184">
        <w:t>.</w:t>
      </w:r>
    </w:p>
    <w:p w14:paraId="05C92A33" w14:textId="5D035068" w:rsidR="00FE12DF" w:rsidRDefault="00FE12DF" w:rsidP="00AF04D9">
      <w:pPr>
        <w:pStyle w:val="Numberedpara3level1"/>
      </w:pPr>
      <w:r>
        <w:t xml:space="preserve">The </w:t>
      </w:r>
      <w:r w:rsidR="00C46747">
        <w:t xml:space="preserve">key </w:t>
      </w:r>
      <w:r w:rsidR="007827DC">
        <w:t xml:space="preserve">financial and administrative </w:t>
      </w:r>
      <w:r>
        <w:t>risks associated with this approach would be:</w:t>
      </w:r>
    </w:p>
    <w:p w14:paraId="2613EE70" w14:textId="1C683EAB" w:rsidR="007712A6" w:rsidRDefault="00437D87" w:rsidP="00FE12DF">
      <w:pPr>
        <w:pStyle w:val="Numberedpara3level1"/>
        <w:numPr>
          <w:ilvl w:val="1"/>
          <w:numId w:val="26"/>
        </w:numPr>
      </w:pPr>
      <w:r>
        <w:t xml:space="preserve">the </w:t>
      </w:r>
      <w:r w:rsidR="007712A6">
        <w:t xml:space="preserve">high price ($274) </w:t>
      </w:r>
      <w:r>
        <w:t>could be viewed as</w:t>
      </w:r>
      <w:r w:rsidR="00C46747">
        <w:t xml:space="preserve"> nullifying the additional convenience</w:t>
      </w:r>
      <w:r w:rsidR="00D43CD9">
        <w:t xml:space="preserve"> (of a longer validity period)</w:t>
      </w:r>
      <w:r w:rsidR="00C46747">
        <w:t xml:space="preserve"> and</w:t>
      </w:r>
      <w:r w:rsidR="00D43CD9">
        <w:t>/or</w:t>
      </w:r>
      <w:r>
        <w:t xml:space="preserve"> inconsistent with the </w:t>
      </w:r>
      <w:r w:rsidR="00964E45">
        <w:t>entitlement</w:t>
      </w:r>
      <w:r>
        <w:t xml:space="preserve"> of citizens to a passport</w:t>
      </w:r>
      <w:r w:rsidR="007712A6">
        <w:t>;</w:t>
      </w:r>
    </w:p>
    <w:p w14:paraId="5B48C7B9" w14:textId="70C12648" w:rsidR="00FE12DF" w:rsidRDefault="00FE12DF" w:rsidP="00C46747">
      <w:pPr>
        <w:pStyle w:val="Numberedpara3level1"/>
        <w:numPr>
          <w:ilvl w:val="1"/>
          <w:numId w:val="26"/>
        </w:numPr>
      </w:pPr>
      <w:r>
        <w:t>maintaining a very large surplus in the Account (</w:t>
      </w:r>
      <w:r w:rsidR="00A14275">
        <w:t xml:space="preserve">nearly </w:t>
      </w:r>
      <w:r>
        <w:t>$1</w:t>
      </w:r>
      <w:r w:rsidR="00A14275">
        <w:t>7</w:t>
      </w:r>
      <w:r>
        <w:t>0 million)</w:t>
      </w:r>
      <w:r w:rsidR="00C46747">
        <w:t xml:space="preserve"> would require </w:t>
      </w:r>
      <w:r w:rsidR="00CD270F">
        <w:t>careful</w:t>
      </w:r>
      <w:r w:rsidR="00C46747">
        <w:t xml:space="preserve"> </w:t>
      </w:r>
      <w:r>
        <w:t>manag</w:t>
      </w:r>
      <w:r w:rsidR="00C46747">
        <w:t xml:space="preserve">ement of </w:t>
      </w:r>
      <w:r>
        <w:t>perceptions of the Ac</w:t>
      </w:r>
      <w:r w:rsidR="00964E45">
        <w:t>count surplus</w:t>
      </w:r>
      <w:r w:rsidR="00C46747">
        <w:t>,</w:t>
      </w:r>
      <w:r w:rsidR="00964E45">
        <w:t xml:space="preserve"> and the</w:t>
      </w:r>
      <w:r w:rsidR="00184824">
        <w:t xml:space="preserve"> necessity</w:t>
      </w:r>
      <w:r w:rsidR="00964E45">
        <w:t xml:space="preserve"> to manage it in this way</w:t>
      </w:r>
      <w:r w:rsidR="00184824">
        <w:t>.</w:t>
      </w:r>
    </w:p>
    <w:p w14:paraId="7E3826DC" w14:textId="5ACF7B64" w:rsidR="00096B9B" w:rsidRDefault="00964E45" w:rsidP="005B68B9">
      <w:pPr>
        <w:pStyle w:val="Heading2"/>
        <w:ind w:left="1701" w:hanging="1701"/>
      </w:pPr>
      <w:bookmarkStart w:id="25" w:name="_Toc412452123"/>
      <w:bookmarkStart w:id="26" w:name="_Toc413227683"/>
      <w:r>
        <w:t>Reducing fees for</w:t>
      </w:r>
      <w:r w:rsidR="001A1BB7">
        <w:t xml:space="preserve"> </w:t>
      </w:r>
      <w:r w:rsidR="00EA0E56">
        <w:t>ten-</w:t>
      </w:r>
      <w:r w:rsidR="0011339B">
        <w:t>year</w:t>
      </w:r>
      <w:r w:rsidR="00096B9B">
        <w:t xml:space="preserve"> passport</w:t>
      </w:r>
      <w:bookmarkEnd w:id="25"/>
      <w:r>
        <w:t>s</w:t>
      </w:r>
      <w:r w:rsidR="00184824">
        <w:t xml:space="preserve"> through Crown revenue</w:t>
      </w:r>
      <w:bookmarkEnd w:id="26"/>
    </w:p>
    <w:p w14:paraId="2171463B" w14:textId="38115909" w:rsidR="00184824" w:rsidRPr="00184824" w:rsidRDefault="00184824" w:rsidP="00DD7902">
      <w:pPr>
        <w:pStyle w:val="Numberedpara3level1"/>
        <w:rPr>
          <w:rFonts w:asciiTheme="minorHAnsi" w:hAnsiTheme="minorHAnsi" w:cs="Arial Mäori"/>
          <w:b/>
        </w:rPr>
      </w:pPr>
      <w:r>
        <w:t>Should full cost recovery</w:t>
      </w:r>
      <w:r w:rsidR="00964E45">
        <w:t xml:space="preserve"> fees</w:t>
      </w:r>
      <w:r>
        <w:t xml:space="preserve"> be considered too expensive for citizens and/or too administratively risk</w:t>
      </w:r>
      <w:r w:rsidR="00964E45">
        <w:t>y</w:t>
      </w:r>
      <w:r>
        <w:t xml:space="preserve">, an alternative would be </w:t>
      </w:r>
      <w:r w:rsidR="00F33544">
        <w:t>to provide</w:t>
      </w:r>
      <w:r w:rsidR="00096B9B">
        <w:t xml:space="preserve"> Crown</w:t>
      </w:r>
      <w:r w:rsidR="00F33544">
        <w:t xml:space="preserve"> revenue for the production of passports and other travel documents</w:t>
      </w:r>
      <w:r w:rsidR="00C46747">
        <w:t>.</w:t>
      </w:r>
      <w:r>
        <w:t xml:space="preserve"> </w:t>
      </w:r>
      <w:r w:rsidR="00F33544">
        <w:t>Partial</w:t>
      </w:r>
      <w:r w:rsidR="00096B9B">
        <w:t xml:space="preserve"> Crown </w:t>
      </w:r>
      <w:r w:rsidR="00F33544">
        <w:t xml:space="preserve">funding, and some reduction in </w:t>
      </w:r>
      <w:r w:rsidR="00964E45">
        <w:t>d</w:t>
      </w:r>
      <w:r w:rsidR="00F33544">
        <w:t>epartmental expenditure</w:t>
      </w:r>
      <w:r w:rsidR="00C46747">
        <w:t>,</w:t>
      </w:r>
      <w:r w:rsidR="00F33544">
        <w:t xml:space="preserve"> </w:t>
      </w:r>
      <w:r w:rsidR="00964E45">
        <w:t>c</w:t>
      </w:r>
      <w:r w:rsidR="00096B9B">
        <w:t xml:space="preserve">ould help make a </w:t>
      </w:r>
      <w:r w:rsidR="00EA0E56">
        <w:t>ten-</w:t>
      </w:r>
      <w:r w:rsidR="0011339B">
        <w:t>year</w:t>
      </w:r>
      <w:r w:rsidR="00096B9B">
        <w:t xml:space="preserve"> passport more affordable for passport holders</w:t>
      </w:r>
      <w:r w:rsidR="00C46747">
        <w:t>, and bring down the surplus needed in the Account</w:t>
      </w:r>
      <w:r w:rsidR="00096B9B">
        <w:t xml:space="preserve">. </w:t>
      </w:r>
    </w:p>
    <w:p w14:paraId="12F74AC3" w14:textId="1909FEFB" w:rsidR="00DD7902" w:rsidRPr="00964E45" w:rsidRDefault="00184824" w:rsidP="00DD7902">
      <w:pPr>
        <w:pStyle w:val="Numberedpara3level1"/>
        <w:rPr>
          <w:rFonts w:asciiTheme="minorHAnsi" w:hAnsiTheme="minorHAnsi" w:cs="Arial Mäori"/>
          <w:b/>
        </w:rPr>
      </w:pPr>
      <w:r>
        <w:t xml:space="preserve">However, any meaningful reduction in price would require a significant amount of Crown funding to offset the lost revenue. </w:t>
      </w:r>
      <w:r w:rsidRPr="00964E45">
        <w:rPr>
          <w:rFonts w:asciiTheme="minorHAnsi" w:hAnsiTheme="minorHAnsi" w:cs="Arial Mäori"/>
        </w:rPr>
        <w:t xml:space="preserve">Crown funding </w:t>
      </w:r>
      <w:r w:rsidR="00DD7902" w:rsidRPr="00964E45">
        <w:rPr>
          <w:rFonts w:asciiTheme="minorHAnsi" w:hAnsiTheme="minorHAnsi" w:cs="Arial Mäori"/>
        </w:rPr>
        <w:t xml:space="preserve">would be </w:t>
      </w:r>
      <w:r w:rsidR="00351393">
        <w:rPr>
          <w:rFonts w:asciiTheme="minorHAnsi" w:hAnsiTheme="minorHAnsi" w:cs="Arial Mäori"/>
        </w:rPr>
        <w:t>needed</w:t>
      </w:r>
      <w:r w:rsidR="00DD7902" w:rsidRPr="00964E45">
        <w:rPr>
          <w:rFonts w:asciiTheme="minorHAnsi" w:hAnsiTheme="minorHAnsi" w:cs="Arial Mäori"/>
        </w:rPr>
        <w:t xml:space="preserve"> after 2022 when the number of passport renewals drops dramatically, </w:t>
      </w:r>
      <w:r w:rsidRPr="00964E45">
        <w:rPr>
          <w:rFonts w:asciiTheme="minorHAnsi" w:hAnsiTheme="minorHAnsi" w:cs="Arial Mäori"/>
        </w:rPr>
        <w:t>to offset reduced</w:t>
      </w:r>
      <w:r w:rsidR="00DD7902" w:rsidRPr="00964E45">
        <w:rPr>
          <w:rFonts w:asciiTheme="minorHAnsi" w:hAnsiTheme="minorHAnsi" w:cs="Arial Mäori"/>
        </w:rPr>
        <w:t xml:space="preserve"> revenue. </w:t>
      </w:r>
      <w:r w:rsidR="00DD7902" w:rsidRPr="00964E45">
        <w:rPr>
          <w:rFonts w:asciiTheme="minorHAnsi" w:hAnsiTheme="minorHAnsi" w:cs="Arial Mäori"/>
          <w:b/>
        </w:rPr>
        <w:t xml:space="preserve">Table </w:t>
      </w:r>
      <w:r w:rsidR="00F909FB">
        <w:rPr>
          <w:rFonts w:asciiTheme="minorHAnsi" w:hAnsiTheme="minorHAnsi" w:cs="Arial Mäori"/>
          <w:b/>
        </w:rPr>
        <w:t>2</w:t>
      </w:r>
      <w:r w:rsidRPr="00964E45">
        <w:rPr>
          <w:rFonts w:asciiTheme="minorHAnsi" w:hAnsiTheme="minorHAnsi" w:cs="Arial Mäori"/>
        </w:rPr>
        <w:t>,</w:t>
      </w:r>
      <w:r w:rsidR="00DD7902" w:rsidRPr="00964E45">
        <w:rPr>
          <w:rFonts w:asciiTheme="minorHAnsi" w:hAnsiTheme="minorHAnsi" w:cs="Arial Mäori"/>
        </w:rPr>
        <w:t xml:space="preserve"> below</w:t>
      </w:r>
      <w:r w:rsidRPr="00964E45">
        <w:rPr>
          <w:rFonts w:asciiTheme="minorHAnsi" w:hAnsiTheme="minorHAnsi" w:cs="Arial Mäori"/>
        </w:rPr>
        <w:t>,</w:t>
      </w:r>
      <w:r w:rsidR="00DD7902" w:rsidRPr="00964E45">
        <w:rPr>
          <w:rFonts w:asciiTheme="minorHAnsi" w:hAnsiTheme="minorHAnsi" w:cs="Arial Mäori"/>
        </w:rPr>
        <w:t xml:space="preserve"> sets out an indicative timeline for Crown revenue injections</w:t>
      </w:r>
      <w:r w:rsidR="00DC0B6C" w:rsidRPr="00964E45">
        <w:rPr>
          <w:rFonts w:asciiTheme="minorHAnsi" w:hAnsiTheme="minorHAnsi" w:cs="Arial Mäori"/>
        </w:rPr>
        <w:t xml:space="preserve"> (final costings and revenue requirements would</w:t>
      </w:r>
      <w:r w:rsidR="002E4A0E" w:rsidRPr="00964E45">
        <w:rPr>
          <w:rFonts w:asciiTheme="minorHAnsi" w:hAnsiTheme="minorHAnsi" w:cs="Arial Mäori"/>
        </w:rPr>
        <w:t xml:space="preserve"> be finalised should Cabinet agree to this option).</w:t>
      </w:r>
    </w:p>
    <w:p w14:paraId="33FBCBEB" w14:textId="46C17D5E" w:rsidR="00DD7902" w:rsidRPr="00B1418A" w:rsidRDefault="00DD7902" w:rsidP="008A5214">
      <w:pPr>
        <w:keepNext/>
        <w:spacing w:after="120"/>
        <w:ind w:left="425"/>
        <w:jc w:val="both"/>
        <w:rPr>
          <w:rFonts w:asciiTheme="minorHAnsi" w:hAnsiTheme="minorHAnsi" w:cs="Arial Mäori"/>
          <w:b/>
          <w:sz w:val="22"/>
          <w:szCs w:val="22"/>
        </w:rPr>
      </w:pPr>
      <w:r w:rsidRPr="00B1418A">
        <w:rPr>
          <w:rFonts w:asciiTheme="minorHAnsi" w:hAnsiTheme="minorHAnsi" w:cs="Arial Mäori"/>
          <w:b/>
          <w:sz w:val="22"/>
          <w:szCs w:val="22"/>
        </w:rPr>
        <w:t xml:space="preserve">Table </w:t>
      </w:r>
      <w:r w:rsidR="00F909FB">
        <w:rPr>
          <w:rFonts w:asciiTheme="minorHAnsi" w:hAnsiTheme="minorHAnsi" w:cs="Arial Mäori"/>
          <w:b/>
          <w:sz w:val="22"/>
          <w:szCs w:val="22"/>
        </w:rPr>
        <w:t>2</w:t>
      </w:r>
      <w:r w:rsidRPr="00B1418A">
        <w:rPr>
          <w:rFonts w:asciiTheme="minorHAnsi" w:hAnsiTheme="minorHAnsi" w:cs="Arial Mäori"/>
          <w:b/>
          <w:sz w:val="22"/>
          <w:szCs w:val="22"/>
        </w:rPr>
        <w:t xml:space="preserve">: Potential </w:t>
      </w:r>
      <w:r>
        <w:rPr>
          <w:rFonts w:asciiTheme="minorHAnsi" w:hAnsiTheme="minorHAnsi" w:cs="Arial Mäori"/>
          <w:b/>
          <w:sz w:val="22"/>
          <w:szCs w:val="22"/>
        </w:rPr>
        <w:t xml:space="preserve">Crown revenue requirements </w:t>
      </w:r>
      <w:r w:rsidRPr="00B1418A">
        <w:rPr>
          <w:rFonts w:asciiTheme="minorHAnsi" w:hAnsiTheme="minorHAnsi" w:cs="Arial Mäori"/>
          <w:b/>
          <w:sz w:val="22"/>
          <w:szCs w:val="22"/>
        </w:rPr>
        <w:t>Ju</w:t>
      </w:r>
      <w:r>
        <w:rPr>
          <w:rFonts w:asciiTheme="minorHAnsi" w:hAnsiTheme="minorHAnsi" w:cs="Arial Mäori"/>
          <w:b/>
          <w:sz w:val="22"/>
          <w:szCs w:val="22"/>
        </w:rPr>
        <w:t>ne</w:t>
      </w:r>
      <w:r w:rsidRPr="00B1418A">
        <w:rPr>
          <w:rFonts w:asciiTheme="minorHAnsi" w:hAnsiTheme="minorHAnsi" w:cs="Arial Mäori"/>
          <w:b/>
          <w:sz w:val="22"/>
          <w:szCs w:val="22"/>
        </w:rPr>
        <w:t xml:space="preserve"> 2016</w:t>
      </w:r>
      <w:r>
        <w:rPr>
          <w:rFonts w:asciiTheme="minorHAnsi" w:hAnsiTheme="minorHAnsi" w:cs="Arial Mäori"/>
          <w:b/>
          <w:sz w:val="22"/>
          <w:szCs w:val="22"/>
        </w:rPr>
        <w:t xml:space="preserve"> – June 2026</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99"/>
        <w:gridCol w:w="1098"/>
        <w:gridCol w:w="1241"/>
        <w:gridCol w:w="1098"/>
        <w:gridCol w:w="1099"/>
        <w:gridCol w:w="1098"/>
        <w:gridCol w:w="1099"/>
      </w:tblGrid>
      <w:tr w:rsidR="002D5304" w:rsidRPr="00962950" w14:paraId="607D6477" w14:textId="77777777" w:rsidTr="002D5304">
        <w:trPr>
          <w:trHeight w:val="466"/>
        </w:trPr>
        <w:tc>
          <w:tcPr>
            <w:tcW w:w="1098" w:type="dxa"/>
            <w:shd w:val="clear" w:color="auto" w:fill="000000" w:themeFill="text1"/>
            <w:noWrap/>
            <w:vAlign w:val="center"/>
            <w:hideMark/>
          </w:tcPr>
          <w:p w14:paraId="5DCACF3C" w14:textId="05C3A023" w:rsidR="002D5304" w:rsidRPr="00297E88" w:rsidRDefault="002D5304" w:rsidP="008A5214">
            <w:pPr>
              <w:pStyle w:val="Tableheading"/>
              <w:keepNext/>
              <w:rPr>
                <w:sz w:val="20"/>
                <w:lang w:eastAsia="en-NZ"/>
              </w:rPr>
            </w:pPr>
            <w:r w:rsidRPr="00297E88">
              <w:rPr>
                <w:lang w:eastAsia="en-NZ"/>
              </w:rPr>
              <w:t>Crown Revenue</w:t>
            </w:r>
          </w:p>
        </w:tc>
        <w:tc>
          <w:tcPr>
            <w:tcW w:w="1099" w:type="dxa"/>
            <w:shd w:val="clear" w:color="auto" w:fill="000000" w:themeFill="text1"/>
            <w:noWrap/>
            <w:hideMark/>
          </w:tcPr>
          <w:p w14:paraId="487D1AF8" w14:textId="77777777" w:rsidR="002D5304" w:rsidRPr="00297E88" w:rsidRDefault="002D5304" w:rsidP="008A5214">
            <w:pPr>
              <w:pStyle w:val="Tableheading"/>
              <w:keepNext/>
              <w:jc w:val="center"/>
              <w:rPr>
                <w:color w:val="FFFFFF"/>
                <w:sz w:val="20"/>
                <w:lang w:eastAsia="en-NZ"/>
              </w:rPr>
            </w:pPr>
            <w:r w:rsidRPr="00297E88">
              <w:rPr>
                <w:color w:val="FFFFFF"/>
                <w:sz w:val="20"/>
                <w:lang w:eastAsia="en-NZ"/>
              </w:rPr>
              <w:t>June   2016</w:t>
            </w:r>
          </w:p>
        </w:tc>
        <w:tc>
          <w:tcPr>
            <w:tcW w:w="1098" w:type="dxa"/>
            <w:shd w:val="clear" w:color="auto" w:fill="000000" w:themeFill="text1"/>
            <w:noWrap/>
            <w:hideMark/>
          </w:tcPr>
          <w:p w14:paraId="028084B3" w14:textId="77777777" w:rsidR="002D5304" w:rsidRPr="00297E88" w:rsidRDefault="002D5304" w:rsidP="008A5214">
            <w:pPr>
              <w:pStyle w:val="Tableheading"/>
              <w:keepNext/>
              <w:jc w:val="center"/>
              <w:rPr>
                <w:color w:val="FFFFFF"/>
                <w:sz w:val="20"/>
                <w:lang w:eastAsia="en-NZ"/>
              </w:rPr>
            </w:pPr>
            <w:r w:rsidRPr="00297E88">
              <w:rPr>
                <w:color w:val="FFFFFF"/>
                <w:sz w:val="20"/>
                <w:lang w:eastAsia="en-NZ"/>
              </w:rPr>
              <w:t>June  2017</w:t>
            </w:r>
          </w:p>
        </w:tc>
        <w:tc>
          <w:tcPr>
            <w:tcW w:w="1241" w:type="dxa"/>
            <w:shd w:val="clear" w:color="auto" w:fill="000000" w:themeFill="text1"/>
            <w:noWrap/>
            <w:hideMark/>
          </w:tcPr>
          <w:p w14:paraId="176F6A06" w14:textId="58D76AC9" w:rsidR="002D5304" w:rsidRPr="00297E88" w:rsidRDefault="002D5304" w:rsidP="008A5214">
            <w:pPr>
              <w:pStyle w:val="Tableheading"/>
              <w:keepNext/>
              <w:jc w:val="center"/>
              <w:rPr>
                <w:color w:val="FFFFFF"/>
                <w:sz w:val="20"/>
                <w:lang w:eastAsia="en-NZ"/>
              </w:rPr>
            </w:pPr>
            <w:r w:rsidRPr="00297E88">
              <w:rPr>
                <w:color w:val="FFFFFF"/>
                <w:sz w:val="20"/>
                <w:lang w:eastAsia="en-NZ"/>
              </w:rPr>
              <w:t>June  2018</w:t>
            </w:r>
            <w:r>
              <w:rPr>
                <w:color w:val="FFFFFF"/>
                <w:sz w:val="20"/>
                <w:lang w:eastAsia="en-NZ"/>
              </w:rPr>
              <w:t xml:space="preserve"> – June 2022</w:t>
            </w:r>
          </w:p>
        </w:tc>
        <w:tc>
          <w:tcPr>
            <w:tcW w:w="1098" w:type="dxa"/>
            <w:shd w:val="clear" w:color="auto" w:fill="000000" w:themeFill="text1"/>
            <w:noWrap/>
            <w:hideMark/>
          </w:tcPr>
          <w:p w14:paraId="2ED7C944" w14:textId="77777777" w:rsidR="002D5304" w:rsidRPr="00297E88" w:rsidRDefault="002D5304" w:rsidP="008A5214">
            <w:pPr>
              <w:pStyle w:val="Tableheading"/>
              <w:keepNext/>
              <w:jc w:val="center"/>
              <w:rPr>
                <w:color w:val="FFFFFF"/>
                <w:sz w:val="20"/>
                <w:lang w:eastAsia="en-NZ"/>
              </w:rPr>
            </w:pPr>
            <w:r w:rsidRPr="00297E88">
              <w:rPr>
                <w:color w:val="FFFFFF"/>
                <w:sz w:val="20"/>
                <w:lang w:eastAsia="en-NZ"/>
              </w:rPr>
              <w:t>June 2023</w:t>
            </w:r>
          </w:p>
        </w:tc>
        <w:tc>
          <w:tcPr>
            <w:tcW w:w="1099" w:type="dxa"/>
            <w:shd w:val="clear" w:color="auto" w:fill="000000" w:themeFill="text1"/>
            <w:noWrap/>
            <w:hideMark/>
          </w:tcPr>
          <w:p w14:paraId="2750F325" w14:textId="77777777" w:rsidR="002D5304" w:rsidRPr="00297E88" w:rsidRDefault="002D5304" w:rsidP="008A5214">
            <w:pPr>
              <w:pStyle w:val="Tableheading"/>
              <w:keepNext/>
              <w:jc w:val="center"/>
              <w:rPr>
                <w:color w:val="FFFFFF"/>
                <w:sz w:val="20"/>
                <w:lang w:eastAsia="en-NZ"/>
              </w:rPr>
            </w:pPr>
            <w:r w:rsidRPr="00297E88">
              <w:rPr>
                <w:color w:val="FFFFFF"/>
                <w:sz w:val="20"/>
                <w:lang w:eastAsia="en-NZ"/>
              </w:rPr>
              <w:t>June 2024</w:t>
            </w:r>
          </w:p>
        </w:tc>
        <w:tc>
          <w:tcPr>
            <w:tcW w:w="1098" w:type="dxa"/>
            <w:shd w:val="clear" w:color="auto" w:fill="000000" w:themeFill="text1"/>
            <w:noWrap/>
            <w:hideMark/>
          </w:tcPr>
          <w:p w14:paraId="678CAA2E" w14:textId="77777777" w:rsidR="002D5304" w:rsidRPr="00297E88" w:rsidRDefault="002D5304" w:rsidP="008A5214">
            <w:pPr>
              <w:pStyle w:val="Tableheading"/>
              <w:keepNext/>
              <w:jc w:val="center"/>
              <w:rPr>
                <w:color w:val="FFFFFF"/>
                <w:sz w:val="20"/>
                <w:lang w:eastAsia="en-NZ"/>
              </w:rPr>
            </w:pPr>
            <w:r w:rsidRPr="00297E88">
              <w:rPr>
                <w:color w:val="FFFFFF"/>
                <w:sz w:val="20"/>
                <w:lang w:eastAsia="en-NZ"/>
              </w:rPr>
              <w:t>June 2025</w:t>
            </w:r>
          </w:p>
        </w:tc>
        <w:tc>
          <w:tcPr>
            <w:tcW w:w="1099" w:type="dxa"/>
            <w:shd w:val="clear" w:color="auto" w:fill="000000" w:themeFill="text1"/>
          </w:tcPr>
          <w:p w14:paraId="1A699B74" w14:textId="77777777" w:rsidR="002D5304" w:rsidRPr="00297E88" w:rsidRDefault="002D5304" w:rsidP="008A5214">
            <w:pPr>
              <w:pStyle w:val="Tableheading"/>
              <w:keepNext/>
              <w:jc w:val="center"/>
              <w:rPr>
                <w:color w:val="FFFFFF"/>
                <w:sz w:val="20"/>
                <w:lang w:eastAsia="en-NZ"/>
              </w:rPr>
            </w:pPr>
            <w:r w:rsidRPr="00297E88">
              <w:rPr>
                <w:color w:val="FFFFFF"/>
                <w:sz w:val="20"/>
                <w:lang w:eastAsia="en-NZ"/>
              </w:rPr>
              <w:t>June 2026</w:t>
            </w:r>
          </w:p>
        </w:tc>
      </w:tr>
      <w:tr w:rsidR="002D5304" w:rsidRPr="00CA4081" w14:paraId="0521F798" w14:textId="77777777" w:rsidTr="002D5304">
        <w:trPr>
          <w:trHeight w:val="466"/>
        </w:trPr>
        <w:tc>
          <w:tcPr>
            <w:tcW w:w="1098" w:type="dxa"/>
            <w:shd w:val="clear" w:color="auto" w:fill="auto"/>
            <w:noWrap/>
            <w:vAlign w:val="center"/>
            <w:hideMark/>
          </w:tcPr>
          <w:p w14:paraId="45841354" w14:textId="6FB785B0" w:rsidR="002D5304" w:rsidRPr="002D5304" w:rsidRDefault="002D5304" w:rsidP="002D5304">
            <w:pPr>
              <w:pStyle w:val="Tablenormal0"/>
              <w:rPr>
                <w:sz w:val="20"/>
                <w:lang w:eastAsia="en-NZ"/>
              </w:rPr>
            </w:pPr>
            <w:r w:rsidRPr="002D5304">
              <w:rPr>
                <w:sz w:val="20"/>
                <w:lang w:eastAsia="en-NZ"/>
              </w:rPr>
              <w:t>$</w:t>
            </w:r>
            <w:r w:rsidR="00964E45">
              <w:rPr>
                <w:sz w:val="20"/>
                <w:lang w:eastAsia="en-NZ"/>
              </w:rPr>
              <w:t>million</w:t>
            </w:r>
          </w:p>
        </w:tc>
        <w:tc>
          <w:tcPr>
            <w:tcW w:w="1099" w:type="dxa"/>
            <w:shd w:val="clear" w:color="auto" w:fill="auto"/>
            <w:noWrap/>
            <w:vAlign w:val="center"/>
          </w:tcPr>
          <w:p w14:paraId="76E65F25" w14:textId="77777777" w:rsidR="002D5304" w:rsidRPr="002D5304" w:rsidRDefault="002D5304" w:rsidP="002D5304">
            <w:pPr>
              <w:pStyle w:val="Tablenormal0"/>
              <w:jc w:val="center"/>
              <w:rPr>
                <w:sz w:val="20"/>
                <w:lang w:eastAsia="en-NZ"/>
              </w:rPr>
            </w:pPr>
            <w:r w:rsidRPr="002D5304">
              <w:rPr>
                <w:sz w:val="20"/>
                <w:lang w:eastAsia="en-NZ"/>
              </w:rPr>
              <w:t>-</w:t>
            </w:r>
          </w:p>
        </w:tc>
        <w:tc>
          <w:tcPr>
            <w:tcW w:w="1098" w:type="dxa"/>
            <w:shd w:val="clear" w:color="auto" w:fill="auto"/>
            <w:noWrap/>
            <w:vAlign w:val="center"/>
          </w:tcPr>
          <w:p w14:paraId="7EDD0247" w14:textId="77777777" w:rsidR="002D5304" w:rsidRPr="002D5304" w:rsidRDefault="002D5304" w:rsidP="002D5304">
            <w:pPr>
              <w:pStyle w:val="Tablenormal0"/>
              <w:jc w:val="center"/>
              <w:rPr>
                <w:sz w:val="20"/>
                <w:lang w:eastAsia="en-NZ"/>
              </w:rPr>
            </w:pPr>
            <w:r w:rsidRPr="002D5304">
              <w:rPr>
                <w:sz w:val="20"/>
                <w:lang w:eastAsia="en-NZ"/>
              </w:rPr>
              <w:t>13.642</w:t>
            </w:r>
          </w:p>
        </w:tc>
        <w:tc>
          <w:tcPr>
            <w:tcW w:w="1241" w:type="dxa"/>
            <w:shd w:val="clear" w:color="auto" w:fill="auto"/>
            <w:noWrap/>
            <w:vAlign w:val="center"/>
          </w:tcPr>
          <w:p w14:paraId="7FAD56F3" w14:textId="77777777" w:rsidR="002D5304" w:rsidRPr="002D5304" w:rsidRDefault="002D5304" w:rsidP="002D5304">
            <w:pPr>
              <w:pStyle w:val="Tablenormal0"/>
              <w:jc w:val="center"/>
              <w:rPr>
                <w:sz w:val="20"/>
                <w:lang w:eastAsia="en-NZ"/>
              </w:rPr>
            </w:pPr>
            <w:r w:rsidRPr="002D5304">
              <w:rPr>
                <w:sz w:val="20"/>
                <w:lang w:eastAsia="en-NZ"/>
              </w:rPr>
              <w:t>-</w:t>
            </w:r>
          </w:p>
        </w:tc>
        <w:tc>
          <w:tcPr>
            <w:tcW w:w="1098" w:type="dxa"/>
            <w:shd w:val="clear" w:color="auto" w:fill="auto"/>
            <w:noWrap/>
            <w:vAlign w:val="center"/>
          </w:tcPr>
          <w:p w14:paraId="7895D484" w14:textId="77777777" w:rsidR="002D5304" w:rsidRPr="002D5304" w:rsidRDefault="002D5304" w:rsidP="002D5304">
            <w:pPr>
              <w:pStyle w:val="Tablenormal0"/>
              <w:jc w:val="center"/>
              <w:rPr>
                <w:sz w:val="20"/>
                <w:lang w:eastAsia="en-NZ"/>
              </w:rPr>
            </w:pPr>
            <w:r w:rsidRPr="002D5304">
              <w:rPr>
                <w:sz w:val="20"/>
                <w:lang w:eastAsia="en-NZ"/>
              </w:rPr>
              <w:t>32.899</w:t>
            </w:r>
          </w:p>
        </w:tc>
        <w:tc>
          <w:tcPr>
            <w:tcW w:w="1099" w:type="dxa"/>
            <w:shd w:val="clear" w:color="auto" w:fill="auto"/>
            <w:noWrap/>
            <w:vAlign w:val="center"/>
          </w:tcPr>
          <w:p w14:paraId="2706D1C7" w14:textId="77777777" w:rsidR="002D5304" w:rsidRPr="002D5304" w:rsidRDefault="002D5304" w:rsidP="002D5304">
            <w:pPr>
              <w:pStyle w:val="Tablenormal0"/>
              <w:jc w:val="center"/>
              <w:rPr>
                <w:sz w:val="20"/>
                <w:lang w:eastAsia="en-NZ"/>
              </w:rPr>
            </w:pPr>
            <w:r w:rsidRPr="002D5304">
              <w:rPr>
                <w:sz w:val="20"/>
                <w:lang w:eastAsia="en-NZ"/>
              </w:rPr>
              <w:t>43.044</w:t>
            </w:r>
          </w:p>
        </w:tc>
        <w:tc>
          <w:tcPr>
            <w:tcW w:w="1098" w:type="dxa"/>
            <w:shd w:val="clear" w:color="auto" w:fill="auto"/>
            <w:noWrap/>
            <w:vAlign w:val="center"/>
          </w:tcPr>
          <w:p w14:paraId="4BAA8281" w14:textId="77777777" w:rsidR="002D5304" w:rsidRPr="002D5304" w:rsidRDefault="002D5304" w:rsidP="002D5304">
            <w:pPr>
              <w:pStyle w:val="Tablenormal0"/>
              <w:jc w:val="center"/>
              <w:rPr>
                <w:sz w:val="20"/>
                <w:lang w:eastAsia="en-NZ"/>
              </w:rPr>
            </w:pPr>
            <w:r w:rsidRPr="002D5304">
              <w:rPr>
                <w:sz w:val="20"/>
                <w:lang w:eastAsia="en-NZ"/>
              </w:rPr>
              <w:t>46.637</w:t>
            </w:r>
          </w:p>
        </w:tc>
        <w:tc>
          <w:tcPr>
            <w:tcW w:w="1099" w:type="dxa"/>
            <w:vAlign w:val="center"/>
          </w:tcPr>
          <w:p w14:paraId="675D6614" w14:textId="77777777" w:rsidR="002D5304" w:rsidRPr="002D5304" w:rsidRDefault="002D5304" w:rsidP="002D5304">
            <w:pPr>
              <w:pStyle w:val="Tablenormal0"/>
              <w:jc w:val="center"/>
              <w:rPr>
                <w:sz w:val="20"/>
                <w:lang w:eastAsia="en-NZ"/>
              </w:rPr>
            </w:pPr>
            <w:r w:rsidRPr="002D5304">
              <w:rPr>
                <w:sz w:val="20"/>
                <w:lang w:eastAsia="en-NZ"/>
              </w:rPr>
              <w:t>41.382</w:t>
            </w:r>
          </w:p>
        </w:tc>
      </w:tr>
    </w:tbl>
    <w:p w14:paraId="51518504" w14:textId="774F538D" w:rsidR="00A57DD4" w:rsidRDefault="00DD7902" w:rsidP="00096B9B">
      <w:pPr>
        <w:pStyle w:val="Numberedpara3level1"/>
      </w:pPr>
      <w:r>
        <w:t xml:space="preserve">This new Crown funding would have an opportunity cost in terms of the other new Crown initiatives that could have been funded with the money. </w:t>
      </w:r>
      <w:r w:rsidR="00C46747">
        <w:t>For</w:t>
      </w:r>
      <w:r w:rsidR="00D90C46">
        <w:t xml:space="preserve"> example</w:t>
      </w:r>
      <w:r w:rsidR="00C46747">
        <w:t>,</w:t>
      </w:r>
      <w:r w:rsidR="00D90C46">
        <w:t xml:space="preserve"> </w:t>
      </w:r>
      <w:r w:rsidR="00C46747">
        <w:t>setting</w:t>
      </w:r>
      <w:r w:rsidR="00964E45">
        <w:t xml:space="preserve"> a</w:t>
      </w:r>
      <w:r w:rsidR="00D90C46">
        <w:t xml:space="preserve"> $200 </w:t>
      </w:r>
      <w:r w:rsidR="00964E45">
        <w:t>fee</w:t>
      </w:r>
      <w:r w:rsidR="00D90C46">
        <w:t xml:space="preserve"> </w:t>
      </w:r>
      <w:r w:rsidR="00A14275">
        <w:t>c</w:t>
      </w:r>
      <w:r w:rsidR="00D90C46">
        <w:t xml:space="preserve">ould require </w:t>
      </w:r>
      <w:r w:rsidR="00487D2D">
        <w:t xml:space="preserve">between </w:t>
      </w:r>
      <w:r w:rsidR="00D90C46">
        <w:t>$17</w:t>
      </w:r>
      <w:r w:rsidR="00F570D6">
        <w:t xml:space="preserve">5 </w:t>
      </w:r>
      <w:r w:rsidR="00487D2D">
        <w:t xml:space="preserve">– </w:t>
      </w:r>
      <w:r w:rsidR="00D90C46">
        <w:t>$200</w:t>
      </w:r>
      <w:r w:rsidR="00487D2D">
        <w:t xml:space="preserve"> </w:t>
      </w:r>
      <w:r w:rsidR="00D90C46">
        <w:t xml:space="preserve">million in extra funding </w:t>
      </w:r>
      <w:r w:rsidR="00487D2D">
        <w:t>through to 2026</w:t>
      </w:r>
      <w:r w:rsidR="002E4A0E">
        <w:t xml:space="preserve"> </w:t>
      </w:r>
      <w:r>
        <w:t xml:space="preserve">(exact </w:t>
      </w:r>
      <w:r w:rsidR="00C46747">
        <w:t xml:space="preserve">passport fees and </w:t>
      </w:r>
      <w:r>
        <w:t>levels of Crown funding would be subject to further analysis if this option were agreed</w:t>
      </w:r>
      <w:r w:rsidR="002E4A0E">
        <w:t xml:space="preserve"> </w:t>
      </w:r>
      <w:r w:rsidR="008D6EEF">
        <w:t xml:space="preserve">to by </w:t>
      </w:r>
      <w:r w:rsidR="00FE64CE">
        <w:t>Cabinet)</w:t>
      </w:r>
      <w:r w:rsidR="008D6EEF">
        <w:t>.</w:t>
      </w:r>
    </w:p>
    <w:p w14:paraId="532A86DF" w14:textId="498A33CC" w:rsidR="007D2C19" w:rsidRDefault="002E4A0E" w:rsidP="007D2C19">
      <w:pPr>
        <w:pStyle w:val="Numberedpara3level1"/>
      </w:pPr>
      <w:r>
        <w:t xml:space="preserve">We note that this option would not eliminate the need for the Account to build up a surplus over the first five years of operation. Instead, the provision of Crown revenue from 2023 </w:t>
      </w:r>
      <w:r w:rsidR="000C738E">
        <w:t xml:space="preserve">– </w:t>
      </w:r>
      <w:r>
        <w:t xml:space="preserve">2026 would reduce the necessary surplus down to an estimated </w:t>
      </w:r>
      <w:r w:rsidR="00A14275">
        <w:br/>
      </w:r>
      <w:r>
        <w:t>$</w:t>
      </w:r>
      <w:r w:rsidR="00A14275">
        <w:t>43</w:t>
      </w:r>
      <w:r>
        <w:t xml:space="preserve"> million. While one </w:t>
      </w:r>
      <w:r w:rsidR="00A14275">
        <w:t>quarter</w:t>
      </w:r>
      <w:r>
        <w:t xml:space="preserve"> the size of the surplus required</w:t>
      </w:r>
      <w:r w:rsidR="008A5214">
        <w:t xml:space="preserve"> under</w:t>
      </w:r>
      <w:r>
        <w:t xml:space="preserve"> </w:t>
      </w:r>
      <w:r w:rsidR="00C46747">
        <w:t>full cost recover</w:t>
      </w:r>
      <w:r w:rsidR="008A5214">
        <w:t>y</w:t>
      </w:r>
      <w:r>
        <w:t>, this surplus would still be a large amount of money, with the potential to create communications and perception challenges.</w:t>
      </w:r>
    </w:p>
    <w:p w14:paraId="3945528B" w14:textId="77777777" w:rsidR="00A14275" w:rsidRDefault="00A14275" w:rsidP="00A14275">
      <w:pPr>
        <w:pStyle w:val="Numberedpara3level1"/>
        <w:numPr>
          <w:ilvl w:val="0"/>
          <w:numId w:val="0"/>
        </w:numPr>
        <w:ind w:left="567" w:hanging="567"/>
      </w:pPr>
    </w:p>
    <w:p w14:paraId="1B410FA2" w14:textId="53790AB5" w:rsidR="00DD7902" w:rsidRDefault="002E4A0E" w:rsidP="007D2C19">
      <w:pPr>
        <w:pStyle w:val="Numberedpara3level1"/>
      </w:pPr>
      <w:r>
        <w:lastRenderedPageBreak/>
        <w:t>Th</w:t>
      </w:r>
      <w:r w:rsidR="007D2C19">
        <w:t>e main risks of this option are:</w:t>
      </w:r>
    </w:p>
    <w:p w14:paraId="3793CB9A" w14:textId="5EB245EB" w:rsidR="006E3E9B" w:rsidRDefault="007D2C19" w:rsidP="00437D87">
      <w:pPr>
        <w:pStyle w:val="Numberedpara3level1"/>
        <w:numPr>
          <w:ilvl w:val="1"/>
          <w:numId w:val="26"/>
        </w:numPr>
      </w:pPr>
      <w:r>
        <w:t>requiring a surplus of almost $</w:t>
      </w:r>
      <w:r w:rsidR="00F570D6">
        <w:t>43</w:t>
      </w:r>
      <w:r>
        <w:t xml:space="preserve"> million still brings with it administrative and perception risks </w:t>
      </w:r>
      <w:r w:rsidR="000C738E">
        <w:t>similar to those under full cost recovery</w:t>
      </w:r>
      <w:r>
        <w:t xml:space="preserve"> (but less pronounced);</w:t>
      </w:r>
      <w:r w:rsidR="006A441B">
        <w:t xml:space="preserve"> and</w:t>
      </w:r>
    </w:p>
    <w:p w14:paraId="1324A4CA" w14:textId="07CC9D6F" w:rsidR="00437D87" w:rsidRDefault="00437D87" w:rsidP="00437D87">
      <w:pPr>
        <w:pStyle w:val="Numberedpara3level1"/>
        <w:numPr>
          <w:ilvl w:val="1"/>
          <w:numId w:val="26"/>
        </w:numPr>
      </w:pPr>
      <w:r>
        <w:t xml:space="preserve">maintaining political commitment to providing funding from 2023 in what is likely to continue to be </w:t>
      </w:r>
      <w:r w:rsidR="006E3E9B">
        <w:t xml:space="preserve">an environment of </w:t>
      </w:r>
      <w:r>
        <w:t>fiscally constrained</w:t>
      </w:r>
      <w:r w:rsidR="006E3E9B">
        <w:t xml:space="preserve"> government spending</w:t>
      </w:r>
      <w:r w:rsidR="007D2C19">
        <w:t xml:space="preserve"> could be challenging for the Department</w:t>
      </w:r>
      <w:r>
        <w:t>.</w:t>
      </w:r>
    </w:p>
    <w:p w14:paraId="34A86B95" w14:textId="1D86495D" w:rsidR="000C738E" w:rsidRDefault="000C738E" w:rsidP="000C738E">
      <w:pPr>
        <w:pStyle w:val="Heading2"/>
      </w:pPr>
      <w:bookmarkStart w:id="27" w:name="_Toc413227684"/>
      <w:r>
        <w:t>Capital injection</w:t>
      </w:r>
      <w:r w:rsidR="007731A0">
        <w:t xml:space="preserve"> to reduce deficit</w:t>
      </w:r>
      <w:bookmarkEnd w:id="27"/>
    </w:p>
    <w:p w14:paraId="2B54EF5E" w14:textId="412FA15A" w:rsidR="000C738E" w:rsidRDefault="00D035E9" w:rsidP="00D00149">
      <w:pPr>
        <w:pStyle w:val="Numberedpara3level1"/>
      </w:pPr>
      <w:r>
        <w:t xml:space="preserve">One </w:t>
      </w:r>
      <w:r w:rsidR="000C738E">
        <w:t>alternative option</w:t>
      </w:r>
      <w:r w:rsidR="00EC6893">
        <w:t xml:space="preserve"> </w:t>
      </w:r>
      <w:r w:rsidR="000C738E">
        <w:t xml:space="preserve">could be to secure a capital injection to eliminate the </w:t>
      </w:r>
      <w:r w:rsidR="00EC6893">
        <w:t xml:space="preserve">current </w:t>
      </w:r>
      <w:r w:rsidR="000C738E">
        <w:t>deficit in the Account</w:t>
      </w:r>
      <w:r>
        <w:t>. This would reduce passport fees while maintaining a full cost recovery approach</w:t>
      </w:r>
      <w:r w:rsidR="000C738E">
        <w:t xml:space="preserve">. This option would </w:t>
      </w:r>
      <w:r w:rsidR="007731A0">
        <w:t xml:space="preserve">mean that, if changes were implemented in July 2016, </w:t>
      </w:r>
      <w:r w:rsidR="00C46747">
        <w:t xml:space="preserve">fees </w:t>
      </w:r>
      <w:r w:rsidR="007731A0">
        <w:t xml:space="preserve">for </w:t>
      </w:r>
      <w:r w:rsidR="00EA0E56">
        <w:t>ten-</w:t>
      </w:r>
      <w:r w:rsidR="007731A0">
        <w:t xml:space="preserve">year passports would not need to account for the </w:t>
      </w:r>
      <w:r w:rsidR="00EC6893">
        <w:t>estimated</w:t>
      </w:r>
      <w:r w:rsidR="00A14275">
        <w:br/>
      </w:r>
      <w:r w:rsidR="007731A0">
        <w:t xml:space="preserve">$30 million deficit </w:t>
      </w:r>
      <w:r w:rsidR="00EC6893">
        <w:t xml:space="preserve">in </w:t>
      </w:r>
      <w:r w:rsidR="007731A0">
        <w:t>the Account</w:t>
      </w:r>
      <w:r w:rsidR="00EC6893">
        <w:t xml:space="preserve"> at that time.</w:t>
      </w:r>
      <w:r w:rsidR="007731A0">
        <w:t xml:space="preserve"> Our initial estimates indicate that</w:t>
      </w:r>
      <w:r w:rsidR="00C46747">
        <w:t>, with a capital injection to remove the deficit,</w:t>
      </w:r>
      <w:r w:rsidR="007731A0">
        <w:t xml:space="preserve"> passport </w:t>
      </w:r>
      <w:r w:rsidR="00964E45">
        <w:t xml:space="preserve">fees </w:t>
      </w:r>
      <w:r w:rsidR="00C46747">
        <w:t>w</w:t>
      </w:r>
      <w:r w:rsidR="00964E45">
        <w:t>ould be</w:t>
      </w:r>
      <w:r w:rsidR="00D00149">
        <w:t xml:space="preserve"> </w:t>
      </w:r>
      <w:r w:rsidR="007731A0" w:rsidRPr="00D00149">
        <w:t>$2</w:t>
      </w:r>
      <w:r w:rsidR="00D00149">
        <w:t>65</w:t>
      </w:r>
      <w:r w:rsidR="007731A0">
        <w:t>.</w:t>
      </w:r>
      <w:r w:rsidR="00EC6893">
        <w:t xml:space="preserve"> However, </w:t>
      </w:r>
      <w:r w:rsidR="00C46747">
        <w:t xml:space="preserve">we note that </w:t>
      </w:r>
      <w:r w:rsidR="00EC6893">
        <w:t>this is not significantly different from fees under the full cost recovery approach.</w:t>
      </w:r>
    </w:p>
    <w:p w14:paraId="579555B3" w14:textId="3EAA32BB" w:rsidR="00C90077" w:rsidRDefault="000C738E" w:rsidP="00AF04D9">
      <w:pPr>
        <w:pStyle w:val="Heading2"/>
      </w:pPr>
      <w:bookmarkStart w:id="28" w:name="_Toc413227685"/>
      <w:r>
        <w:t>Funding options are a trade-off</w:t>
      </w:r>
      <w:bookmarkEnd w:id="28"/>
    </w:p>
    <w:p w14:paraId="4504FFB4" w14:textId="77777777" w:rsidR="007F36BA" w:rsidRDefault="007F36BA" w:rsidP="007F36BA">
      <w:pPr>
        <w:pStyle w:val="Numberedpara3level1"/>
      </w:pPr>
      <w:r>
        <w:t>Analysis of the costs and funding models for passports will involve:</w:t>
      </w:r>
    </w:p>
    <w:p w14:paraId="6BD27CAC" w14:textId="275CC1BA" w:rsidR="007F36BA" w:rsidRPr="001B69C8" w:rsidRDefault="007F36BA" w:rsidP="007F36BA">
      <w:pPr>
        <w:pStyle w:val="Numberedpara3level1"/>
        <w:numPr>
          <w:ilvl w:val="1"/>
          <w:numId w:val="26"/>
        </w:numPr>
      </w:pPr>
      <w:r w:rsidRPr="001B69C8">
        <w:t>trade-off between cost to citizens and fiscal cost to Government;</w:t>
      </w:r>
      <w:r w:rsidR="00FC2BC5">
        <w:t xml:space="preserve"> and</w:t>
      </w:r>
    </w:p>
    <w:p w14:paraId="0505BBFD" w14:textId="77777777" w:rsidR="007F36BA" w:rsidRPr="001B69C8" w:rsidRDefault="007F36BA" w:rsidP="007F36BA">
      <w:pPr>
        <w:pStyle w:val="Numberedpara3level1"/>
        <w:numPr>
          <w:ilvl w:val="1"/>
          <w:numId w:val="26"/>
        </w:numPr>
      </w:pPr>
      <w:r w:rsidRPr="001B69C8">
        <w:t xml:space="preserve">balancing of </w:t>
      </w:r>
      <w:r>
        <w:t xml:space="preserve">financial and administrative </w:t>
      </w:r>
      <w:r w:rsidRPr="001B69C8">
        <w:t>risks</w:t>
      </w:r>
      <w:r>
        <w:t xml:space="preserve"> associated with each option.</w:t>
      </w:r>
    </w:p>
    <w:p w14:paraId="514F15FD" w14:textId="2011BB97" w:rsidR="00590218" w:rsidRDefault="00FC2BC5" w:rsidP="00BC4F60">
      <w:pPr>
        <w:pStyle w:val="Numberedpara3level1"/>
      </w:pPr>
      <w:r>
        <w:t xml:space="preserve">Preference for full cost recovery or Crown subsidies </w:t>
      </w:r>
      <w:r w:rsidR="00590218">
        <w:t xml:space="preserve">will depend on individual preferences and interests. </w:t>
      </w:r>
      <w:r>
        <w:t>C</w:t>
      </w:r>
      <w:r w:rsidR="00590218">
        <w:t>ontinu</w:t>
      </w:r>
      <w:r>
        <w:t>ing</w:t>
      </w:r>
      <w:r w:rsidR="00590218">
        <w:t xml:space="preserve"> the existing cost-recovery model does not require any Crown revenue. However, the high prices of this option could be politically unpalatable, and the required surplus to properly manage the drop in revenue from 2022 would be difficult to manage and justify. Meanwhile, lower prices for passport holders are likely to be welcomed by many members of the public</w:t>
      </w:r>
      <w:r w:rsidR="00B5683C">
        <w:t>, but</w:t>
      </w:r>
      <w:r w:rsidR="00590218">
        <w:t xml:space="preserve"> will come with an opportunity cost for Government.</w:t>
      </w:r>
    </w:p>
    <w:p w14:paraId="2162868A" w14:textId="3F3881BB" w:rsidR="00471AD4" w:rsidRDefault="00590218" w:rsidP="00BC4F60">
      <w:pPr>
        <w:pStyle w:val="Numberedpara3level1"/>
      </w:pPr>
      <w:r>
        <w:t xml:space="preserve">We consider that, on balance, the funding </w:t>
      </w:r>
      <w:r w:rsidR="00B5683C">
        <w:t xml:space="preserve">methods for </w:t>
      </w:r>
      <w:r w:rsidR="00EA0E56">
        <w:t>ten-</w:t>
      </w:r>
      <w:r w:rsidR="00B5683C">
        <w:t xml:space="preserve">year passports </w:t>
      </w:r>
      <w:r w:rsidR="004C375D">
        <w:t xml:space="preserve">are </w:t>
      </w:r>
      <w:r w:rsidR="00B5683C">
        <w:t>both</w:t>
      </w:r>
      <w:r w:rsidR="004C375D">
        <w:t xml:space="preserve"> risky.</w:t>
      </w:r>
      <w:r w:rsidR="00331706">
        <w:t xml:space="preserve"> One involves price rises that could potentially be unpalatable to the public, while the other requires considerable injection of Crown revenue to offset price rises.  </w:t>
      </w:r>
    </w:p>
    <w:p w14:paraId="544381CC" w14:textId="77777777" w:rsidR="001B69C8" w:rsidRPr="00D670F9" w:rsidRDefault="00264E9B" w:rsidP="00D670F9">
      <w:pPr>
        <w:pStyle w:val="Heading1"/>
        <w:rPr>
          <w:bCs/>
          <w:sz w:val="32"/>
        </w:rPr>
      </w:pPr>
      <w:bookmarkStart w:id="29" w:name="_Toc413227686"/>
      <w:r w:rsidRPr="00D670F9">
        <w:rPr>
          <w:bCs/>
          <w:sz w:val="32"/>
        </w:rPr>
        <w:t>Consultation</w:t>
      </w:r>
      <w:bookmarkEnd w:id="29"/>
    </w:p>
    <w:p w14:paraId="37F89610" w14:textId="38C1AD06" w:rsidR="00945BE5" w:rsidRDefault="008B24CC" w:rsidP="001B69C8">
      <w:pPr>
        <w:pStyle w:val="Numberedpara3level1"/>
      </w:pPr>
      <w:r>
        <w:t xml:space="preserve">The Cabinet paper that this </w:t>
      </w:r>
      <w:r w:rsidR="00F24D58">
        <w:t>regulatory i</w:t>
      </w:r>
      <w:r w:rsidR="00CC327E">
        <w:t xml:space="preserve">mpact </w:t>
      </w:r>
      <w:r w:rsidR="00F24D58">
        <w:t>s</w:t>
      </w:r>
      <w:r w:rsidR="00CC327E">
        <w:t>tatement</w:t>
      </w:r>
      <w:r>
        <w:t xml:space="preserve"> accompanies has been </w:t>
      </w:r>
      <w:r w:rsidR="00945BE5">
        <w:t xml:space="preserve">subject to consultation with </w:t>
      </w:r>
      <w:r w:rsidR="00945BE5" w:rsidRPr="002365EE">
        <w:t>the Ministry of Justice; the Ministry of Foreign Affairs and Trade; the Ministry of Business, Innovation and Employment</w:t>
      </w:r>
      <w:r w:rsidR="009A71FD">
        <w:t xml:space="preserve"> (Immigration)</w:t>
      </w:r>
      <w:r w:rsidR="00945BE5" w:rsidRPr="002365EE">
        <w:t>; the Treasury; New Zealand Customs; New Zealand Police</w:t>
      </w:r>
      <w:r w:rsidR="00945BE5">
        <w:t>;</w:t>
      </w:r>
      <w:r w:rsidR="00945BE5" w:rsidRPr="002365EE">
        <w:t xml:space="preserve"> and the New Zealand Security Intelligence Service. The Department of the Prime Minister and Cabinet has been informed</w:t>
      </w:r>
      <w:r w:rsidR="00945BE5">
        <w:t xml:space="preserve"> of the Cabinet paper</w:t>
      </w:r>
      <w:r w:rsidR="00945BE5" w:rsidRPr="002365EE">
        <w:t xml:space="preserve">. </w:t>
      </w:r>
      <w:r w:rsidR="00DC1D99">
        <w:t>This consultation has encompassed matters relating to the criteria selected in this regulatory impact assessment.</w:t>
      </w:r>
    </w:p>
    <w:p w14:paraId="5C76944C" w14:textId="47D5EFBE" w:rsidR="00471AD4" w:rsidRPr="001B69C8" w:rsidRDefault="00634E9F" w:rsidP="001B69C8">
      <w:pPr>
        <w:pStyle w:val="Numberedpara3level1"/>
        <w:rPr>
          <w:rFonts w:asciiTheme="minorHAnsi" w:hAnsiTheme="minorHAnsi"/>
        </w:rPr>
      </w:pPr>
      <w:r w:rsidRPr="001B69C8">
        <w:rPr>
          <w:rFonts w:asciiTheme="minorHAnsi" w:hAnsiTheme="minorHAnsi"/>
        </w:rPr>
        <w:lastRenderedPageBreak/>
        <w:t>There has not been any public consultation on the options to date</w:t>
      </w:r>
      <w:r w:rsidR="00A90880" w:rsidRPr="001B69C8">
        <w:rPr>
          <w:rFonts w:asciiTheme="minorHAnsi" w:hAnsiTheme="minorHAnsi"/>
        </w:rPr>
        <w:t>. However, over 15,000 New Zealanders signed Petition 2011/97 which sought a return to</w:t>
      </w:r>
      <w:r w:rsidR="00EC6893">
        <w:rPr>
          <w:rFonts w:asciiTheme="minorHAnsi" w:hAnsiTheme="minorHAnsi"/>
        </w:rPr>
        <w:t xml:space="preserve"> a</w:t>
      </w:r>
      <w:r w:rsidR="00A90880" w:rsidRPr="001B69C8">
        <w:rPr>
          <w:rFonts w:asciiTheme="minorHAnsi" w:hAnsiTheme="minorHAnsi"/>
        </w:rPr>
        <w:t xml:space="preserve"> </w:t>
      </w:r>
      <w:r w:rsidR="00EA0E56">
        <w:t>ten-year</w:t>
      </w:r>
      <w:r w:rsidR="00A90880" w:rsidRPr="001B69C8">
        <w:rPr>
          <w:rFonts w:asciiTheme="minorHAnsi" w:hAnsiTheme="minorHAnsi"/>
        </w:rPr>
        <w:t xml:space="preserve"> passport validity</w:t>
      </w:r>
      <w:r w:rsidRPr="001B69C8">
        <w:rPr>
          <w:rFonts w:asciiTheme="minorHAnsi" w:hAnsiTheme="minorHAnsi"/>
        </w:rPr>
        <w:t>. Members of the public and interested parties will have the opportunity to comment on the validity period of passports during consideration of a Passports Amendment Bill.</w:t>
      </w:r>
      <w:r w:rsidR="00015416" w:rsidRPr="001B69C8">
        <w:rPr>
          <w:rFonts w:asciiTheme="minorHAnsi" w:hAnsiTheme="minorHAnsi"/>
        </w:rPr>
        <w:t xml:space="preserve"> </w:t>
      </w:r>
    </w:p>
    <w:p w14:paraId="7E382755" w14:textId="452A982D" w:rsidR="00264E9B" w:rsidRPr="00D670F9" w:rsidRDefault="00264E9B" w:rsidP="00D670F9">
      <w:pPr>
        <w:pStyle w:val="Heading1"/>
        <w:rPr>
          <w:bCs/>
          <w:sz w:val="32"/>
        </w:rPr>
      </w:pPr>
      <w:bookmarkStart w:id="30" w:name="_Toc413227687"/>
      <w:r w:rsidRPr="00D670F9">
        <w:rPr>
          <w:bCs/>
          <w:sz w:val="32"/>
        </w:rPr>
        <w:t>Conclusions and recommendations</w:t>
      </w:r>
      <w:bookmarkEnd w:id="30"/>
    </w:p>
    <w:p w14:paraId="28FA5B42" w14:textId="25687A5A" w:rsidR="00EB3775" w:rsidRDefault="00EC6893" w:rsidP="00D670F9">
      <w:pPr>
        <w:pStyle w:val="Numberedpara3level1"/>
      </w:pPr>
      <w:r>
        <w:t xml:space="preserve">We conclude that </w:t>
      </w:r>
      <w:r w:rsidR="00D670F9">
        <w:t xml:space="preserve">the </w:t>
      </w:r>
      <w:r>
        <w:t xml:space="preserve">arguments </w:t>
      </w:r>
      <w:r w:rsidR="00D670F9">
        <w:t>on whether to</w:t>
      </w:r>
      <w:r>
        <w:t xml:space="preserve"> implement</w:t>
      </w:r>
      <w:r w:rsidR="00B5683C">
        <w:t xml:space="preserve"> </w:t>
      </w:r>
      <w:r>
        <w:t xml:space="preserve">a </w:t>
      </w:r>
      <w:r w:rsidR="00B5683C">
        <w:t>passport validity period of</w:t>
      </w:r>
      <w:r>
        <w:t xml:space="preserve"> </w:t>
      </w:r>
      <w:r w:rsidR="00EA0E56">
        <w:t>ten</w:t>
      </w:r>
      <w:r w:rsidR="00B11565">
        <w:t xml:space="preserve"> </w:t>
      </w:r>
      <w:r w:rsidR="00EA0E56">
        <w:t>year</w:t>
      </w:r>
      <w:r>
        <w:t xml:space="preserve">s </w:t>
      </w:r>
      <w:r w:rsidR="00D670F9">
        <w:t xml:space="preserve">(versus implementing the default option) </w:t>
      </w:r>
      <w:r>
        <w:t xml:space="preserve">are finely balanced. </w:t>
      </w:r>
      <w:r w:rsidR="00D670F9">
        <w:t>In addition, r</w:t>
      </w:r>
      <w:r w:rsidR="00B5683C">
        <w:t xml:space="preserve">eturning to a </w:t>
      </w:r>
      <w:r w:rsidR="00A14275">
        <w:t>ten-</w:t>
      </w:r>
      <w:r w:rsidR="00B5683C">
        <w:t>year passport validity period comes with significant additional costs –</w:t>
      </w:r>
      <w:r w:rsidR="00D670F9">
        <w:t xml:space="preserve"> </w:t>
      </w:r>
      <w:r w:rsidR="00B5683C">
        <w:t xml:space="preserve">either to passport holders (under full cost recovery) or to both passport holders and the Crown. </w:t>
      </w:r>
      <w:r w:rsidR="00EB3775">
        <w:t xml:space="preserve">A return to </w:t>
      </w:r>
      <w:r w:rsidR="00EA0E56">
        <w:t>ten-year</w:t>
      </w:r>
      <w:r w:rsidR="00EB3775">
        <w:t xml:space="preserve"> passports would require the Department to build up a considerable surplus in the Account to ensure that the Account does not go into deficit again when, from 2021, the number of passports produced each year would drop dramatically.</w:t>
      </w:r>
    </w:p>
    <w:p w14:paraId="3C589743" w14:textId="47A17B6A" w:rsidR="00B5683C" w:rsidRDefault="00B5683C" w:rsidP="00B5683C">
      <w:pPr>
        <w:pStyle w:val="Numberedpara3level1"/>
      </w:pPr>
      <w:r>
        <w:t>The trade-off involved in</w:t>
      </w:r>
      <w:r w:rsidR="00D670F9">
        <w:t xml:space="preserve"> moving to, and </w:t>
      </w:r>
      <w:r>
        <w:t>funding</w:t>
      </w:r>
      <w:r w:rsidR="00D670F9">
        <w:t>,</w:t>
      </w:r>
      <w:r>
        <w:t xml:space="preserve"> </w:t>
      </w:r>
      <w:r w:rsidR="00D670F9">
        <w:t xml:space="preserve">a </w:t>
      </w:r>
      <w:r w:rsidR="00EA0E56">
        <w:t>ten-year</w:t>
      </w:r>
      <w:r>
        <w:t xml:space="preserve"> passport</w:t>
      </w:r>
      <w:r w:rsidR="00D670F9">
        <w:t xml:space="preserve"> validity period</w:t>
      </w:r>
      <w:r>
        <w:t xml:space="preserve"> is a political decision for Cabinet to make. As such</w:t>
      </w:r>
      <w:r w:rsidR="00EC6893">
        <w:t>,</w:t>
      </w:r>
      <w:r>
        <w:t xml:space="preserve"> the Department does not have a preferred option</w:t>
      </w:r>
      <w:r w:rsidR="00D670F9">
        <w:t xml:space="preserve"> </w:t>
      </w:r>
      <w:r w:rsidR="005C5242">
        <w:t>on passport validity, nor how to fund a validity increase should Cabinet decide to return to ten-year passports</w:t>
      </w:r>
      <w:r>
        <w:t>.</w:t>
      </w:r>
    </w:p>
    <w:p w14:paraId="7E382757" w14:textId="2648C8F1" w:rsidR="00264E9B" w:rsidRPr="00D670F9" w:rsidRDefault="00A57DD4" w:rsidP="00D670F9">
      <w:pPr>
        <w:pStyle w:val="Heading1"/>
        <w:rPr>
          <w:bCs/>
          <w:sz w:val="32"/>
        </w:rPr>
      </w:pPr>
      <w:bookmarkStart w:id="31" w:name="_Toc413227688"/>
      <w:r w:rsidRPr="00D670F9">
        <w:rPr>
          <w:bCs/>
          <w:sz w:val="32"/>
        </w:rPr>
        <w:t>Imp</w:t>
      </w:r>
      <w:r w:rsidR="00264E9B" w:rsidRPr="00D670F9">
        <w:rPr>
          <w:bCs/>
          <w:sz w:val="32"/>
        </w:rPr>
        <w:t>lementation plan</w:t>
      </w:r>
      <w:bookmarkEnd w:id="31"/>
    </w:p>
    <w:p w14:paraId="4905C91A" w14:textId="531C8F94" w:rsidR="00FE5599" w:rsidRDefault="00FE5599" w:rsidP="001906A5">
      <w:pPr>
        <w:pStyle w:val="Numberedpara3level1"/>
      </w:pPr>
      <w:r>
        <w:t xml:space="preserve">Implementation of this </w:t>
      </w:r>
      <w:r w:rsidR="00F24D58">
        <w:t xml:space="preserve">regulatory impact assessment </w:t>
      </w:r>
      <w:r>
        <w:t>would be in two phases</w:t>
      </w:r>
      <w:r w:rsidR="009D7A51">
        <w:t>:</w:t>
      </w:r>
      <w:r>
        <w:t xml:space="preserve"> legislative change and further analysis on fee setting.</w:t>
      </w:r>
    </w:p>
    <w:p w14:paraId="439DE091" w14:textId="272FC62D" w:rsidR="00FE5599" w:rsidRDefault="00FE5599" w:rsidP="00FE5599">
      <w:pPr>
        <w:pStyle w:val="Heading2"/>
      </w:pPr>
      <w:bookmarkStart w:id="32" w:name="_Toc412452128"/>
      <w:bookmarkStart w:id="33" w:name="_Toc413227689"/>
      <w:r>
        <w:t>Legislative change</w:t>
      </w:r>
      <w:bookmarkEnd w:id="32"/>
      <w:bookmarkEnd w:id="33"/>
    </w:p>
    <w:p w14:paraId="76558225" w14:textId="3889714A" w:rsidR="00634E9F" w:rsidRDefault="00FE5599" w:rsidP="00FE5599">
      <w:pPr>
        <w:pStyle w:val="Numberedpara3level1"/>
      </w:pPr>
      <w:r>
        <w:t xml:space="preserve">Following Cabinet decisions on passport validity, we would seek agreement to introduce a </w:t>
      </w:r>
      <w:r w:rsidR="0020784E">
        <w:t xml:space="preserve">Passports Amendment Bill, </w:t>
      </w:r>
      <w:r>
        <w:t xml:space="preserve">implementing Ministers </w:t>
      </w:r>
      <w:r w:rsidR="007A5A5C">
        <w:t>decision on validity period</w:t>
      </w:r>
      <w:r>
        <w:t xml:space="preserve"> and the </w:t>
      </w:r>
      <w:r w:rsidR="007A5A5C">
        <w:t>previous</w:t>
      </w:r>
      <w:r>
        <w:t>, non-validity period, changes agreed to in August 2013.</w:t>
      </w:r>
    </w:p>
    <w:p w14:paraId="22F4AF76" w14:textId="15E70E2D" w:rsidR="0020784E" w:rsidRDefault="009119EF" w:rsidP="009119EF">
      <w:pPr>
        <w:pStyle w:val="Heading2"/>
      </w:pPr>
      <w:bookmarkStart w:id="34" w:name="_Toc412452129"/>
      <w:bookmarkStart w:id="35" w:name="_Toc413227690"/>
      <w:r>
        <w:t>Further analysis on fee setting</w:t>
      </w:r>
      <w:bookmarkEnd w:id="34"/>
      <w:bookmarkEnd w:id="35"/>
    </w:p>
    <w:p w14:paraId="52CCECD6" w14:textId="124D0266" w:rsidR="00553B6F" w:rsidRDefault="00645F34" w:rsidP="001906A5">
      <w:pPr>
        <w:pStyle w:val="Numberedpara3level1"/>
      </w:pPr>
      <w:r>
        <w:t xml:space="preserve">The implementation of </w:t>
      </w:r>
      <w:r w:rsidR="00197EB2">
        <w:t xml:space="preserve">Cabinet’s </w:t>
      </w:r>
      <w:r>
        <w:t>decisions relating to passport validity and fee setting will require further consideration and analysis once</w:t>
      </w:r>
      <w:r w:rsidR="009119EF">
        <w:t xml:space="preserve"> </w:t>
      </w:r>
      <w:r>
        <w:t>in-principle decision</w:t>
      </w:r>
      <w:r w:rsidR="00197EB2">
        <w:t>s</w:t>
      </w:r>
      <w:r>
        <w:t xml:space="preserve"> on validity and whether to </w:t>
      </w:r>
      <w:r w:rsidR="00EB7E2A">
        <w:t>provide</w:t>
      </w:r>
      <w:r>
        <w:t xml:space="preserve"> Crown </w:t>
      </w:r>
      <w:r w:rsidR="00197EB2">
        <w:t xml:space="preserve">revenue </w:t>
      </w:r>
      <w:r>
        <w:t>have been made.</w:t>
      </w:r>
    </w:p>
    <w:p w14:paraId="3AF821AA" w14:textId="2B19AB0D" w:rsidR="009119EF" w:rsidRDefault="009119EF" w:rsidP="001906A5">
      <w:pPr>
        <w:pStyle w:val="Numberedpara3level1"/>
      </w:pPr>
      <w:r>
        <w:t>Following Cabinet consideration, we would undertake further financial analysis to advi</w:t>
      </w:r>
      <w:r w:rsidR="00197EB2">
        <w:t>s</w:t>
      </w:r>
      <w:r>
        <w:t>e Ministers of options for setting fees and structuring of Crown funding (if any).</w:t>
      </w:r>
    </w:p>
    <w:p w14:paraId="6873380B" w14:textId="4394DCB2" w:rsidR="00634E9F" w:rsidRDefault="009119EF" w:rsidP="009119EF">
      <w:pPr>
        <w:pStyle w:val="Numberedpara3level1"/>
      </w:pPr>
      <w:r>
        <w:t>Fee setting for passports is undertaken by Order-in-Council and would therefore not require further amendment to the Passports Act.</w:t>
      </w:r>
    </w:p>
    <w:p w14:paraId="7E382759" w14:textId="15BDDCD6" w:rsidR="00264E9B" w:rsidRDefault="00645F34" w:rsidP="00B302E6">
      <w:pPr>
        <w:pStyle w:val="Heading1"/>
      </w:pPr>
      <w:bookmarkStart w:id="36" w:name="_Toc413227691"/>
      <w:r>
        <w:t>Mo</w:t>
      </w:r>
      <w:r w:rsidR="00264E9B">
        <w:t>nitoring, evaluation, and review</w:t>
      </w:r>
      <w:bookmarkEnd w:id="36"/>
    </w:p>
    <w:p w14:paraId="45697CAA" w14:textId="50F08D1A" w:rsidR="00BE4B19" w:rsidRDefault="007324AB" w:rsidP="007324AB">
      <w:pPr>
        <w:pStyle w:val="Numberedpara3level1"/>
      </w:pPr>
      <w:r w:rsidRPr="00626766">
        <w:t xml:space="preserve">The Department monitors and regularly reviews </w:t>
      </w:r>
      <w:r w:rsidR="00AB357F">
        <w:t>the passports</w:t>
      </w:r>
      <w:r w:rsidRPr="00626766">
        <w:t xml:space="preserve"> service both in terms of financial monitoring and other levels of efficiency performance. </w:t>
      </w:r>
    </w:p>
    <w:p w14:paraId="413489ED" w14:textId="4FFF9155" w:rsidR="00AB357F" w:rsidRDefault="00AB357F" w:rsidP="007324AB">
      <w:pPr>
        <w:pStyle w:val="Numberedpara3level1"/>
      </w:pPr>
      <w:r>
        <w:t>Rather than a formal policy evaluation or review after two o</w:t>
      </w:r>
      <w:r w:rsidR="00D22CAE">
        <w:t>r three years, we consider that</w:t>
      </w:r>
      <w:r w:rsidR="007A5A5C">
        <w:t xml:space="preserve"> if New Zealand moves to a </w:t>
      </w:r>
      <w:r w:rsidR="00EA0E56">
        <w:t>ten-year</w:t>
      </w:r>
      <w:r w:rsidR="007A5A5C">
        <w:t xml:space="preserve"> validity period</w:t>
      </w:r>
      <w:r w:rsidR="00D22CAE">
        <w:t xml:space="preserve"> ongoing monitoring and </w:t>
      </w:r>
      <w:r w:rsidR="008F54B8">
        <w:t>maintenance would include:</w:t>
      </w:r>
    </w:p>
    <w:p w14:paraId="254D6608" w14:textId="020980C2" w:rsidR="00BE4B19" w:rsidRDefault="008F54B8" w:rsidP="008F54B8">
      <w:pPr>
        <w:pStyle w:val="Numberedpara3level1"/>
        <w:numPr>
          <w:ilvl w:val="1"/>
          <w:numId w:val="26"/>
        </w:numPr>
      </w:pPr>
      <w:r>
        <w:lastRenderedPageBreak/>
        <w:t>routine</w:t>
      </w:r>
      <w:r w:rsidR="00AB357F">
        <w:t xml:space="preserve"> check</w:t>
      </w:r>
      <w:r>
        <w:t>ing and assessment of security mitigations</w:t>
      </w:r>
      <w:r w:rsidR="00AB357F">
        <w:t xml:space="preserve"> as a part of the Department’s ongoing</w:t>
      </w:r>
      <w:r>
        <w:t xml:space="preserve"> and planned security processes, including </w:t>
      </w:r>
      <w:r w:rsidRPr="001B69C8">
        <w:t>maintaining security levels and assessing needs for further security enhancements over time</w:t>
      </w:r>
      <w:r>
        <w:t>;</w:t>
      </w:r>
    </w:p>
    <w:p w14:paraId="018B3137" w14:textId="0C43B8CF" w:rsidR="00D22CAE" w:rsidRDefault="007324AB" w:rsidP="001B69C8">
      <w:pPr>
        <w:pStyle w:val="Numberedpara3level1"/>
        <w:numPr>
          <w:ilvl w:val="1"/>
          <w:numId w:val="26"/>
        </w:numPr>
      </w:pPr>
      <w:r w:rsidRPr="001B69C8">
        <w:t>assessing the effects of the change to the passport validity period on individuals’ perceptions of convenience and on the cost implications of the change</w:t>
      </w:r>
      <w:r w:rsidR="008F54B8">
        <w:t xml:space="preserve">; </w:t>
      </w:r>
    </w:p>
    <w:p w14:paraId="562C239A" w14:textId="6C485D32" w:rsidR="007A5A5C" w:rsidRDefault="00D22CAE" w:rsidP="007A5A5C">
      <w:pPr>
        <w:pStyle w:val="Numberedpara3level1"/>
        <w:numPr>
          <w:ilvl w:val="1"/>
          <w:numId w:val="26"/>
        </w:numPr>
      </w:pPr>
      <w:r>
        <w:t xml:space="preserve">whether moving to a </w:t>
      </w:r>
      <w:r w:rsidR="00EA0E56">
        <w:t>ten-year</w:t>
      </w:r>
      <w:r>
        <w:t xml:space="preserve"> passport validity period has negatively impacted on how other countries regard New Zealand passports</w:t>
      </w:r>
      <w:r w:rsidR="00EB7E2A">
        <w:t>; and</w:t>
      </w:r>
    </w:p>
    <w:p w14:paraId="428AC5EC" w14:textId="78312B93" w:rsidR="008F54B8" w:rsidRDefault="007A5A5C" w:rsidP="007A5A5C">
      <w:pPr>
        <w:pStyle w:val="Numberedpara3level1"/>
        <w:numPr>
          <w:ilvl w:val="1"/>
          <w:numId w:val="26"/>
        </w:numPr>
      </w:pPr>
      <w:r>
        <w:t>routine testing of f</w:t>
      </w:r>
      <w:r w:rsidR="008F54B8">
        <w:t xml:space="preserve">unding models and assumptions between 2016  and 2021 to ensure that the </w:t>
      </w:r>
      <w:r w:rsidR="00EB7E2A">
        <w:t>A</w:t>
      </w:r>
      <w:r w:rsidR="008F54B8">
        <w:t>ccount is building up the necessary surplus to cover costs from 2022 – 2026</w:t>
      </w:r>
      <w:r w:rsidR="00F570D6">
        <w:t xml:space="preserve"> </w:t>
      </w:r>
      <w:r w:rsidR="008F54B8">
        <w:t xml:space="preserve"> as revenue drops significantly. </w:t>
      </w:r>
    </w:p>
    <w:p w14:paraId="5C3AAB6B" w14:textId="77777777" w:rsidR="00A57BDB" w:rsidRDefault="00A57BDB" w:rsidP="00A57BDB">
      <w:pPr>
        <w:pStyle w:val="Numberedpara3level1"/>
        <w:numPr>
          <w:ilvl w:val="0"/>
          <w:numId w:val="0"/>
        </w:numPr>
        <w:ind w:left="567" w:hanging="567"/>
      </w:pPr>
    </w:p>
    <w:p w14:paraId="51CF0B00" w14:textId="0EE5E4C2" w:rsidR="00A57BDB" w:rsidRDefault="00A57BDB">
      <w:pPr>
        <w:keepLines w:val="0"/>
      </w:pPr>
      <w:r>
        <w:br w:type="page"/>
      </w:r>
    </w:p>
    <w:p w14:paraId="24858D37" w14:textId="1FBCCFD5" w:rsidR="00A57BDB" w:rsidRDefault="00A57BDB" w:rsidP="00A57BDB">
      <w:pPr>
        <w:pStyle w:val="Headingappendix"/>
      </w:pPr>
      <w:r>
        <w:lastRenderedPageBreak/>
        <w:t>Findings of the passport security review</w:t>
      </w:r>
    </w:p>
    <w:p w14:paraId="32874D4D" w14:textId="77777777" w:rsidR="00A57BDB" w:rsidRDefault="00A57BDB" w:rsidP="00A57BDB">
      <w:pPr>
        <w:pStyle w:val="Numberedpara3level1"/>
        <w:numPr>
          <w:ilvl w:val="0"/>
          <w:numId w:val="0"/>
        </w:numPr>
        <w:ind w:left="567" w:hanging="567"/>
      </w:pPr>
    </w:p>
    <w:p w14:paraId="6409262B" w14:textId="77777777" w:rsidR="00A57BDB" w:rsidRPr="00A57BDB" w:rsidRDefault="00A57BDB" w:rsidP="008D1DC2">
      <w:pPr>
        <w:pStyle w:val="Numberedpara3level1"/>
        <w:numPr>
          <w:ilvl w:val="0"/>
          <w:numId w:val="29"/>
        </w:numPr>
        <w:rPr>
          <w:lang w:val="en-GB"/>
        </w:rPr>
      </w:pPr>
      <w:r w:rsidRPr="00A57BDB">
        <w:rPr>
          <w:lang w:val="en-GB"/>
        </w:rPr>
        <w:t>On 9 October 2014, the Minister of Internal Affairs appointed Simon Murdoch CNZM, to carry out an independent review of passport security. This review considered the security settings of passports in the context of current international civil aviation security and border control issues, and the materiality of the differences in security risks between five-year and ten-year validity periods.</w:t>
      </w:r>
    </w:p>
    <w:p w14:paraId="4E0A3DCD" w14:textId="77777777" w:rsidR="00A57BDB" w:rsidRPr="004B23E1" w:rsidRDefault="00A57BDB" w:rsidP="008D1DC2">
      <w:pPr>
        <w:pStyle w:val="Numberedpara3level1"/>
        <w:numPr>
          <w:ilvl w:val="0"/>
          <w:numId w:val="29"/>
        </w:numPr>
        <w:rPr>
          <w:rFonts w:asciiTheme="minorHAnsi" w:eastAsia="Times New Roman" w:hAnsiTheme="minorHAnsi"/>
          <w:szCs w:val="20"/>
          <w:lang w:val="en-GB"/>
        </w:rPr>
      </w:pPr>
      <w:r w:rsidRPr="004B23E1">
        <w:rPr>
          <w:rFonts w:asciiTheme="minorHAnsi" w:eastAsia="Times New Roman" w:hAnsiTheme="minorHAnsi"/>
          <w:szCs w:val="20"/>
          <w:lang w:val="en-GB"/>
        </w:rPr>
        <w:t xml:space="preserve">During his review Mr Murdoch: interviewed senior Departmental officials, passport fraud investigators; met with relevant external stakeholders and analysed information received from international experts and organisations on travel document security, and the current travel security environment. </w:t>
      </w:r>
    </w:p>
    <w:p w14:paraId="39A77929" w14:textId="77777777" w:rsidR="00A57BDB" w:rsidRDefault="00A57BDB" w:rsidP="008D1DC2">
      <w:pPr>
        <w:pStyle w:val="Numberedpara3level1"/>
        <w:numPr>
          <w:ilvl w:val="0"/>
          <w:numId w:val="29"/>
        </w:numPr>
        <w:rPr>
          <w:rFonts w:asciiTheme="minorHAnsi" w:eastAsia="Times New Roman" w:hAnsiTheme="minorHAnsi"/>
          <w:szCs w:val="20"/>
          <w:lang w:val="en-GB"/>
        </w:rPr>
      </w:pPr>
      <w:r w:rsidRPr="004B23E1">
        <w:rPr>
          <w:rFonts w:asciiTheme="minorHAnsi" w:eastAsia="Times New Roman" w:hAnsiTheme="minorHAnsi"/>
          <w:szCs w:val="20"/>
          <w:lang w:val="en-GB"/>
        </w:rPr>
        <w:t xml:space="preserve">Mr Murdoch’s main finding </w:t>
      </w:r>
      <w:r>
        <w:rPr>
          <w:rFonts w:asciiTheme="minorHAnsi" w:eastAsia="Times New Roman" w:hAnsiTheme="minorHAnsi"/>
          <w:szCs w:val="20"/>
          <w:lang w:val="en-GB"/>
        </w:rPr>
        <w:t>was</w:t>
      </w:r>
      <w:r w:rsidRPr="004B23E1">
        <w:rPr>
          <w:rFonts w:asciiTheme="minorHAnsi" w:eastAsia="Times New Roman" w:hAnsiTheme="minorHAnsi"/>
          <w:szCs w:val="20"/>
          <w:lang w:val="en-GB"/>
        </w:rPr>
        <w:t xml:space="preserve"> that in the current international security environment, it is better to retain a validity period closer to five years. </w:t>
      </w:r>
    </w:p>
    <w:p w14:paraId="79F1B6D0" w14:textId="6F322C06" w:rsidR="00A57BDB" w:rsidRPr="004B23E1" w:rsidRDefault="00A57BDB" w:rsidP="008D1DC2">
      <w:pPr>
        <w:pStyle w:val="Numberedpara3level1"/>
        <w:numPr>
          <w:ilvl w:val="0"/>
          <w:numId w:val="29"/>
        </w:numPr>
        <w:rPr>
          <w:rFonts w:asciiTheme="minorHAnsi" w:eastAsia="Times New Roman" w:hAnsiTheme="minorHAnsi"/>
          <w:szCs w:val="20"/>
          <w:lang w:val="en-GB"/>
        </w:rPr>
      </w:pPr>
      <w:r w:rsidRPr="004B23E1">
        <w:rPr>
          <w:rFonts w:asciiTheme="minorHAnsi" w:eastAsia="Times New Roman" w:hAnsiTheme="minorHAnsi"/>
          <w:szCs w:val="20"/>
          <w:lang w:val="en-GB"/>
        </w:rPr>
        <w:t xml:space="preserve">His main conclusions </w:t>
      </w:r>
      <w:r>
        <w:rPr>
          <w:rFonts w:asciiTheme="minorHAnsi" w:eastAsia="Times New Roman" w:hAnsiTheme="minorHAnsi"/>
          <w:szCs w:val="20"/>
          <w:lang w:val="en-GB"/>
        </w:rPr>
        <w:t>were</w:t>
      </w:r>
      <w:r w:rsidRPr="004B23E1">
        <w:rPr>
          <w:rFonts w:asciiTheme="minorHAnsi" w:eastAsia="Times New Roman" w:hAnsiTheme="minorHAnsi"/>
          <w:szCs w:val="20"/>
          <w:lang w:val="en-GB"/>
        </w:rPr>
        <w:t>:</w:t>
      </w:r>
    </w:p>
    <w:p w14:paraId="48FF457E" w14:textId="77777777" w:rsidR="00A57BDB" w:rsidRPr="00A57BDB" w:rsidRDefault="00A57BDB" w:rsidP="008D1DC2">
      <w:pPr>
        <w:pStyle w:val="Numberedpara3level1"/>
        <w:numPr>
          <w:ilvl w:val="1"/>
          <w:numId w:val="29"/>
        </w:numPr>
        <w:rPr>
          <w:rFonts w:asciiTheme="minorHAnsi" w:eastAsia="Times New Roman" w:hAnsiTheme="minorHAnsi"/>
          <w:szCs w:val="20"/>
          <w:lang w:val="en-GB"/>
        </w:rPr>
      </w:pPr>
      <w:r w:rsidRPr="004B23E1">
        <w:rPr>
          <w:rFonts w:asciiTheme="minorHAnsi" w:eastAsia="Times New Roman" w:hAnsiTheme="minorHAnsi"/>
          <w:lang w:val="en-GB"/>
        </w:rPr>
        <w:t xml:space="preserve">it was </w:t>
      </w:r>
      <w:r w:rsidRPr="00A57BDB">
        <w:rPr>
          <w:rFonts w:asciiTheme="minorHAnsi" w:eastAsia="Times New Roman" w:hAnsiTheme="minorHAnsi"/>
          <w:szCs w:val="20"/>
          <w:lang w:val="en-GB"/>
        </w:rPr>
        <w:t>appropriate for New Zealand to move to a five-year passport in 2005 to help improve the security of its passport;</w:t>
      </w:r>
    </w:p>
    <w:p w14:paraId="0419DD40" w14:textId="77777777" w:rsidR="00A57BDB" w:rsidRPr="00A57BDB" w:rsidRDefault="00A57BDB" w:rsidP="008D1DC2">
      <w:pPr>
        <w:pStyle w:val="Numberedpara3level1"/>
        <w:numPr>
          <w:ilvl w:val="1"/>
          <w:numId w:val="29"/>
        </w:numPr>
        <w:rPr>
          <w:rFonts w:asciiTheme="minorHAnsi" w:eastAsia="Times New Roman" w:hAnsiTheme="minorHAnsi"/>
          <w:szCs w:val="20"/>
          <w:lang w:val="en-GB"/>
        </w:rPr>
      </w:pPr>
      <w:r w:rsidRPr="00A57BDB">
        <w:rPr>
          <w:rFonts w:asciiTheme="minorHAnsi" w:eastAsia="Times New Roman" w:hAnsiTheme="minorHAnsi"/>
          <w:szCs w:val="20"/>
          <w:lang w:val="en-GB"/>
        </w:rPr>
        <w:t>international and border security risks have changed since 2005 but have not improved, and global security remains complex;</w:t>
      </w:r>
    </w:p>
    <w:p w14:paraId="6F4997FE" w14:textId="77777777" w:rsidR="00A57BDB" w:rsidRPr="00A57BDB" w:rsidRDefault="00A57BDB" w:rsidP="008D1DC2">
      <w:pPr>
        <w:pStyle w:val="Numberedpara3level1"/>
        <w:numPr>
          <w:ilvl w:val="1"/>
          <w:numId w:val="29"/>
        </w:numPr>
        <w:rPr>
          <w:rFonts w:asciiTheme="minorHAnsi" w:eastAsia="Times New Roman" w:hAnsiTheme="minorHAnsi"/>
          <w:szCs w:val="20"/>
          <w:lang w:val="en-GB"/>
        </w:rPr>
      </w:pPr>
      <w:r w:rsidRPr="00A57BDB">
        <w:rPr>
          <w:rFonts w:asciiTheme="minorHAnsi" w:eastAsia="Times New Roman" w:hAnsiTheme="minorHAnsi"/>
          <w:szCs w:val="20"/>
          <w:lang w:val="en-GB"/>
        </w:rPr>
        <w:t>the physical security of the New Zealand passport has improved significantly;</w:t>
      </w:r>
    </w:p>
    <w:p w14:paraId="7558F0DE" w14:textId="77777777" w:rsidR="00A57BDB" w:rsidRPr="00A57BDB" w:rsidRDefault="00A57BDB" w:rsidP="008D1DC2">
      <w:pPr>
        <w:pStyle w:val="Numberedpara3level1"/>
        <w:numPr>
          <w:ilvl w:val="1"/>
          <w:numId w:val="29"/>
        </w:numPr>
        <w:rPr>
          <w:rFonts w:asciiTheme="minorHAnsi" w:eastAsia="Times New Roman" w:hAnsiTheme="minorHAnsi"/>
          <w:szCs w:val="20"/>
          <w:lang w:val="en-GB"/>
        </w:rPr>
      </w:pPr>
      <w:r w:rsidRPr="00A57BDB">
        <w:rPr>
          <w:rFonts w:asciiTheme="minorHAnsi" w:eastAsia="Times New Roman" w:hAnsiTheme="minorHAnsi"/>
          <w:szCs w:val="20"/>
          <w:lang w:val="en-GB"/>
        </w:rPr>
        <w:t>five years (including the nine month extension) remains at the most secure end of a validity period;</w:t>
      </w:r>
    </w:p>
    <w:p w14:paraId="701D6FC1" w14:textId="77777777" w:rsidR="00A57BDB" w:rsidRPr="00A57BDB" w:rsidRDefault="00A57BDB" w:rsidP="008D1DC2">
      <w:pPr>
        <w:pStyle w:val="Numberedpara3level1"/>
        <w:numPr>
          <w:ilvl w:val="1"/>
          <w:numId w:val="29"/>
        </w:numPr>
        <w:rPr>
          <w:rFonts w:asciiTheme="minorHAnsi" w:eastAsia="Times New Roman" w:hAnsiTheme="minorHAnsi"/>
          <w:szCs w:val="20"/>
          <w:lang w:val="en-GB"/>
        </w:rPr>
      </w:pPr>
      <w:r w:rsidRPr="00A57BDB">
        <w:rPr>
          <w:rFonts w:asciiTheme="minorHAnsi" w:eastAsia="Times New Roman" w:hAnsiTheme="minorHAnsi"/>
          <w:szCs w:val="20"/>
          <w:lang w:val="en-GB"/>
        </w:rPr>
        <w:t xml:space="preserve">there is no security benefit from moving to a ten year-validity period. It increases the risk of counterfeiting and a security mitigation plan and investment would be necessary to reduce these risks; and </w:t>
      </w:r>
    </w:p>
    <w:p w14:paraId="345529BD" w14:textId="77777777" w:rsidR="00A57BDB" w:rsidRPr="004B23E1" w:rsidRDefault="00A57BDB" w:rsidP="008D1DC2">
      <w:pPr>
        <w:pStyle w:val="Numberedpara3level1"/>
        <w:numPr>
          <w:ilvl w:val="1"/>
          <w:numId w:val="29"/>
        </w:numPr>
        <w:rPr>
          <w:rFonts w:asciiTheme="minorHAnsi" w:eastAsia="Times New Roman" w:hAnsiTheme="minorHAnsi"/>
          <w:szCs w:val="20"/>
          <w:lang w:val="en-GB"/>
        </w:rPr>
      </w:pPr>
      <w:r w:rsidRPr="00A57BDB">
        <w:rPr>
          <w:rFonts w:asciiTheme="minorHAnsi" w:eastAsia="Times New Roman" w:hAnsiTheme="minorHAnsi"/>
          <w:szCs w:val="20"/>
          <w:lang w:val="en-GB"/>
        </w:rPr>
        <w:t>a risk of reduced revenue from the longer validity period may mean there would be less income for future security enhancements.</w:t>
      </w:r>
    </w:p>
    <w:p w14:paraId="089ED4C4" w14:textId="1199B8D4" w:rsidR="007E0D4A" w:rsidRDefault="0050624D" w:rsidP="007E0D4A">
      <w:pPr>
        <w:pStyle w:val="Headingappendix"/>
      </w:pPr>
      <w:r>
        <w:lastRenderedPageBreak/>
        <w:t>Fl</w:t>
      </w:r>
      <w:r w:rsidR="007E0D4A">
        <w:t>uctuations on passport numbers and per unit costs</w:t>
      </w:r>
      <w:r w:rsidR="00197EB2">
        <w:t xml:space="preserve"> for </w:t>
      </w:r>
      <w:r w:rsidR="00C05471">
        <w:t>ten-year</w:t>
      </w:r>
      <w:r w:rsidR="00197EB2">
        <w:t xml:space="preserve"> passports</w:t>
      </w:r>
    </w:p>
    <w:p w14:paraId="0FAC1F45" w14:textId="5AD2FEBA" w:rsidR="007E0D4A" w:rsidRDefault="00F909FB" w:rsidP="00FE2B4F">
      <w:pPr>
        <w:pStyle w:val="Numberedpara3level1"/>
        <w:numPr>
          <w:ilvl w:val="0"/>
          <w:numId w:val="28"/>
        </w:numPr>
      </w:pPr>
      <w:r>
        <w:rPr>
          <w:rFonts w:asciiTheme="minorHAnsi" w:hAnsiTheme="minorHAnsi" w:cs="Arial Mäori"/>
        </w:rPr>
        <w:t>Figure 3</w:t>
      </w:r>
      <w:r w:rsidR="006A441B">
        <w:rPr>
          <w:rFonts w:asciiTheme="minorHAnsi" w:hAnsiTheme="minorHAnsi" w:cs="Arial Mäori"/>
        </w:rPr>
        <w:t>,</w:t>
      </w:r>
      <w:r w:rsidR="00276C3D" w:rsidRPr="00500730">
        <w:rPr>
          <w:rFonts w:asciiTheme="minorHAnsi" w:hAnsiTheme="minorHAnsi" w:cs="Arial Mäori"/>
        </w:rPr>
        <w:t xml:space="preserve"> </w:t>
      </w:r>
      <w:r w:rsidR="00276C3D">
        <w:rPr>
          <w:rFonts w:asciiTheme="minorHAnsi" w:hAnsiTheme="minorHAnsi" w:cs="Arial Mäori"/>
        </w:rPr>
        <w:t>below</w:t>
      </w:r>
      <w:r w:rsidR="006A441B">
        <w:rPr>
          <w:rFonts w:asciiTheme="minorHAnsi" w:hAnsiTheme="minorHAnsi" w:cs="Arial Mäori"/>
        </w:rPr>
        <w:t>,</w:t>
      </w:r>
      <w:r w:rsidR="00276C3D">
        <w:rPr>
          <w:rFonts w:asciiTheme="minorHAnsi" w:hAnsiTheme="minorHAnsi" w:cs="Arial Mäori"/>
        </w:rPr>
        <w:t xml:space="preserve"> illustrates how passport issuance </w:t>
      </w:r>
      <w:r w:rsidR="00276C3D" w:rsidRPr="002365EE">
        <w:rPr>
          <w:rFonts w:asciiTheme="minorHAnsi" w:hAnsiTheme="minorHAnsi" w:cs="Arial Mäori"/>
        </w:rPr>
        <w:t xml:space="preserve">and </w:t>
      </w:r>
      <w:r w:rsidR="00276C3D">
        <w:rPr>
          <w:rFonts w:asciiTheme="minorHAnsi" w:hAnsiTheme="minorHAnsi" w:cs="Arial Mäori"/>
        </w:rPr>
        <w:t xml:space="preserve">the </w:t>
      </w:r>
      <w:r w:rsidR="00276C3D" w:rsidRPr="002365EE">
        <w:rPr>
          <w:rFonts w:asciiTheme="minorHAnsi" w:hAnsiTheme="minorHAnsi" w:cs="Arial Mäori"/>
        </w:rPr>
        <w:t xml:space="preserve">production cost for each passport </w:t>
      </w:r>
      <w:r w:rsidR="00276C3D">
        <w:rPr>
          <w:rFonts w:asciiTheme="minorHAnsi" w:hAnsiTheme="minorHAnsi" w:cs="Arial Mäori"/>
        </w:rPr>
        <w:t xml:space="preserve">would </w:t>
      </w:r>
      <w:r w:rsidR="00276C3D" w:rsidRPr="002365EE">
        <w:rPr>
          <w:rFonts w:asciiTheme="minorHAnsi" w:hAnsiTheme="minorHAnsi" w:cs="Arial Mäori"/>
        </w:rPr>
        <w:t xml:space="preserve">change over a </w:t>
      </w:r>
      <w:r w:rsidR="00276C3D">
        <w:rPr>
          <w:rFonts w:asciiTheme="minorHAnsi" w:hAnsiTheme="minorHAnsi" w:cs="Arial Mäori"/>
        </w:rPr>
        <w:t xml:space="preserve">twenty </w:t>
      </w:r>
      <w:r w:rsidR="00276C3D" w:rsidRPr="002365EE">
        <w:rPr>
          <w:rFonts w:asciiTheme="minorHAnsi" w:hAnsiTheme="minorHAnsi" w:cs="Arial Mäori"/>
        </w:rPr>
        <w:t>year cyc</w:t>
      </w:r>
      <w:r w:rsidR="00276C3D">
        <w:rPr>
          <w:rFonts w:asciiTheme="minorHAnsi" w:hAnsiTheme="minorHAnsi" w:cs="Arial Mäori"/>
        </w:rPr>
        <w:t>le</w:t>
      </w:r>
      <w:r w:rsidR="00197EB2">
        <w:rPr>
          <w:rFonts w:asciiTheme="minorHAnsi" w:hAnsiTheme="minorHAnsi" w:cs="Arial Mäori"/>
        </w:rPr>
        <w:t xml:space="preserve"> if the validity period were to increase to </w:t>
      </w:r>
      <w:r w:rsidR="00C05471">
        <w:t>ten-year</w:t>
      </w:r>
      <w:r w:rsidR="00276C3D">
        <w:rPr>
          <w:rFonts w:asciiTheme="minorHAnsi" w:hAnsiTheme="minorHAnsi" w:cs="Arial Mäori"/>
        </w:rPr>
        <w:t>. There is a steep decline in the number of passports is</w:t>
      </w:r>
      <w:r w:rsidR="00C05471">
        <w:rPr>
          <w:rFonts w:asciiTheme="minorHAnsi" w:hAnsiTheme="minorHAnsi" w:cs="Arial Mäori"/>
        </w:rPr>
        <w:t>sued after five-</w:t>
      </w:r>
      <w:r w:rsidR="00276C3D">
        <w:rPr>
          <w:rFonts w:asciiTheme="minorHAnsi" w:hAnsiTheme="minorHAnsi" w:cs="Arial Mäori"/>
        </w:rPr>
        <w:t>years, but then the number rises quickly again five years later as the first series of ten-year passports now need to be renewed. This fluctuation in passport demand will continue for several decades.</w:t>
      </w:r>
      <w:r w:rsidR="00276C3D" w:rsidRPr="00C754C8">
        <w:rPr>
          <w:rFonts w:asciiTheme="minorHAnsi" w:hAnsiTheme="minorHAnsi" w:cs="Arial Mäori"/>
        </w:rPr>
        <w:t xml:space="preserve"> </w:t>
      </w:r>
      <w:r w:rsidR="00276C3D" w:rsidRPr="002365EE">
        <w:rPr>
          <w:rFonts w:asciiTheme="minorHAnsi" w:hAnsiTheme="minorHAnsi" w:cs="Arial Mäori"/>
        </w:rPr>
        <w:t>As issuance levels fall</w:t>
      </w:r>
      <w:r w:rsidR="00276C3D">
        <w:rPr>
          <w:rFonts w:asciiTheme="minorHAnsi" w:hAnsiTheme="minorHAnsi" w:cs="Arial Mäori"/>
        </w:rPr>
        <w:t xml:space="preserve"> quickly</w:t>
      </w:r>
      <w:r w:rsidR="00276C3D" w:rsidRPr="002365EE">
        <w:rPr>
          <w:rFonts w:asciiTheme="minorHAnsi" w:hAnsiTheme="minorHAnsi" w:cs="Arial Mäori"/>
        </w:rPr>
        <w:t xml:space="preserve">, </w:t>
      </w:r>
      <w:r w:rsidR="00276C3D">
        <w:rPr>
          <w:rFonts w:asciiTheme="minorHAnsi" w:hAnsiTheme="minorHAnsi" w:cs="Arial Mäori"/>
        </w:rPr>
        <w:t xml:space="preserve">the </w:t>
      </w:r>
      <w:r w:rsidR="00276C3D" w:rsidRPr="002365EE">
        <w:rPr>
          <w:rFonts w:asciiTheme="minorHAnsi" w:hAnsiTheme="minorHAnsi" w:cs="Arial Mäori"/>
        </w:rPr>
        <w:t xml:space="preserve">production costs </w:t>
      </w:r>
      <w:r w:rsidR="00276C3D">
        <w:rPr>
          <w:rFonts w:asciiTheme="minorHAnsi" w:hAnsiTheme="minorHAnsi" w:cs="Arial Mäori"/>
        </w:rPr>
        <w:t xml:space="preserve">of each passport </w:t>
      </w:r>
      <w:r w:rsidR="00276C3D" w:rsidRPr="002365EE">
        <w:rPr>
          <w:rFonts w:asciiTheme="minorHAnsi" w:hAnsiTheme="minorHAnsi" w:cs="Arial Mäori"/>
        </w:rPr>
        <w:t>increase sharply</w:t>
      </w:r>
      <w:r w:rsidR="006A441B">
        <w:rPr>
          <w:rFonts w:asciiTheme="minorHAnsi" w:hAnsiTheme="minorHAnsi" w:cs="Arial Mäori"/>
        </w:rPr>
        <w:t>,</w:t>
      </w:r>
      <w:r w:rsidR="00276C3D">
        <w:rPr>
          <w:rFonts w:asciiTheme="minorHAnsi" w:hAnsiTheme="minorHAnsi" w:cs="Arial Mäori"/>
        </w:rPr>
        <w:t xml:space="preserve"> </w:t>
      </w:r>
      <w:r w:rsidR="006A441B">
        <w:rPr>
          <w:rFonts w:asciiTheme="minorHAnsi" w:hAnsiTheme="minorHAnsi" w:cs="Arial Mäori"/>
        </w:rPr>
        <w:t>w</w:t>
      </w:r>
      <w:r w:rsidR="00276C3D">
        <w:rPr>
          <w:rFonts w:asciiTheme="minorHAnsi" w:hAnsiTheme="minorHAnsi" w:cs="Arial Mäori"/>
        </w:rPr>
        <w:t>hile some costs reduce with lower volumes, there is a high portion of fixed costs which are recovered from reduced volumes. For fee purposes t</w:t>
      </w:r>
      <w:r w:rsidR="00276C3D" w:rsidRPr="002365EE">
        <w:rPr>
          <w:rFonts w:asciiTheme="minorHAnsi" w:hAnsiTheme="minorHAnsi" w:cs="Arial Mäori"/>
        </w:rPr>
        <w:t xml:space="preserve">his cost would be averaged out over </w:t>
      </w:r>
      <w:r w:rsidR="00276C3D">
        <w:rPr>
          <w:rFonts w:asciiTheme="minorHAnsi" w:hAnsiTheme="minorHAnsi" w:cs="Arial Mäori"/>
        </w:rPr>
        <w:t xml:space="preserve">the </w:t>
      </w:r>
      <w:r w:rsidR="00C05471">
        <w:t>ten-year</w:t>
      </w:r>
      <w:r w:rsidR="00276C3D" w:rsidRPr="002365EE">
        <w:rPr>
          <w:rFonts w:asciiTheme="minorHAnsi" w:hAnsiTheme="minorHAnsi" w:cs="Arial Mäori"/>
        </w:rPr>
        <w:t xml:space="preserve"> period</w:t>
      </w:r>
      <w:r w:rsidR="00276C3D">
        <w:rPr>
          <w:rFonts w:asciiTheme="minorHAnsi" w:hAnsiTheme="minorHAnsi" w:cs="Arial Mäori"/>
        </w:rPr>
        <w:t>.</w:t>
      </w:r>
    </w:p>
    <w:p w14:paraId="513345DD" w14:textId="7F595A31" w:rsidR="007E0D4A" w:rsidRPr="001B69C8" w:rsidRDefault="00276C3D" w:rsidP="007E0D4A">
      <w:pPr>
        <w:pStyle w:val="Numberedpara3level1"/>
      </w:pPr>
      <w:r>
        <w:rPr>
          <w:rFonts w:asciiTheme="minorHAnsi" w:hAnsiTheme="minorHAnsi" w:cs="Arial Mäori"/>
        </w:rPr>
        <w:t xml:space="preserve">This large fluctuation in passport demand has significant business impacts which will continue for a number of decades. Initially, it could lead to a decrease in some variable costs such as staff, but it is also likely to lead to an increase in other costs such as passports books (where price discounts will be lost as fewer books are being purchased by </w:t>
      </w:r>
      <w:r w:rsidR="00197EB2">
        <w:rPr>
          <w:rFonts w:asciiTheme="minorHAnsi" w:hAnsiTheme="minorHAnsi" w:cs="Arial Mäori"/>
        </w:rPr>
        <w:t>the Department</w:t>
      </w:r>
      <w:r>
        <w:rPr>
          <w:rFonts w:asciiTheme="minorHAnsi" w:hAnsiTheme="minorHAnsi" w:cs="Arial Mäori"/>
        </w:rPr>
        <w:t>).</w:t>
      </w:r>
    </w:p>
    <w:p w14:paraId="212A69FE" w14:textId="47604956" w:rsidR="001B69C8" w:rsidRDefault="001B69C8" w:rsidP="007B1249">
      <w:pPr>
        <w:pStyle w:val="Caption"/>
      </w:pPr>
      <w:r>
        <w:t xml:space="preserve">Figure </w:t>
      </w:r>
      <w:fldSimple w:instr=" SEQ Figure \* ARABIC ">
        <w:r w:rsidR="008204CF">
          <w:rPr>
            <w:noProof/>
          </w:rPr>
          <w:t>3</w:t>
        </w:r>
      </w:fldSimple>
      <w:r>
        <w:t>:</w:t>
      </w:r>
      <w:r w:rsidRPr="001B69C8">
        <w:t xml:space="preserve"> </w:t>
      </w:r>
      <w:r>
        <w:t xml:space="preserve">Fluctuations </w:t>
      </w:r>
      <w:r w:rsidRPr="002365EE">
        <w:t xml:space="preserve">in passport numbers and </w:t>
      </w:r>
      <w:r>
        <w:t xml:space="preserve">unit </w:t>
      </w:r>
      <w:r w:rsidRPr="002365EE">
        <w:t xml:space="preserve">costs </w:t>
      </w:r>
      <w:r>
        <w:t xml:space="preserve">resulting </w:t>
      </w:r>
      <w:r w:rsidRPr="002365EE">
        <w:t>from a ten-year validity period</w:t>
      </w:r>
      <w:r>
        <w:t xml:space="preserve"> 2014/15-2033/34</w:t>
      </w:r>
    </w:p>
    <w:tbl>
      <w:tblPr>
        <w:tblStyle w:val="Blanktable"/>
        <w:tblpPr w:leftFromText="180" w:rightFromText="180" w:vertAnchor="text" w:horzAnchor="margin" w:tblpX="675" w:tblpY="55"/>
        <w:tblW w:w="8613" w:type="dxa"/>
        <w:tblInd w:w="0" w:type="dxa"/>
        <w:tblLook w:val="04A0" w:firstRow="1" w:lastRow="0" w:firstColumn="1" w:lastColumn="0" w:noHBand="0" w:noVBand="1"/>
      </w:tblPr>
      <w:tblGrid>
        <w:gridCol w:w="9186"/>
      </w:tblGrid>
      <w:tr w:rsidR="001B69C8" w14:paraId="658B53C2" w14:textId="77777777" w:rsidTr="001B69C8">
        <w:tc>
          <w:tcPr>
            <w:tcW w:w="8613" w:type="dxa"/>
          </w:tcPr>
          <w:p w14:paraId="486F0122" w14:textId="1DE66A53" w:rsidR="006A441B" w:rsidRPr="001538D5" w:rsidRDefault="006A441B" w:rsidP="001538D5">
            <w:pPr>
              <w:pStyle w:val="Spacer"/>
            </w:pPr>
            <w:r w:rsidRPr="001538D5">
              <w:rPr>
                <w:noProof/>
                <w:lang w:eastAsia="en-NZ"/>
              </w:rPr>
              <w:drawing>
                <wp:inline distT="0" distB="0" distL="0" distR="0" wp14:anchorId="0CC68127" wp14:editId="36556666">
                  <wp:extent cx="5672137" cy="3186113"/>
                  <wp:effectExtent l="0" t="0" r="2413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78854257" w14:textId="77777777" w:rsidR="001B69C8" w:rsidRPr="00276C3D" w:rsidRDefault="001B69C8" w:rsidP="001B69C8"/>
    <w:p w14:paraId="59385782" w14:textId="580AB510" w:rsidR="007E0D4A" w:rsidRDefault="00276C3D" w:rsidP="00EE2C9F">
      <w:pPr>
        <w:pStyle w:val="Caption"/>
      </w:pPr>
      <w:bookmarkStart w:id="37" w:name="_Ref412032531"/>
      <w:r w:rsidRPr="00276C3D">
        <w:t xml:space="preserve">Figure </w:t>
      </w:r>
      <w:fldSimple w:instr=" SEQ Figure \* ARABIC ">
        <w:r w:rsidR="008204CF">
          <w:rPr>
            <w:noProof/>
          </w:rPr>
          <w:t>4</w:t>
        </w:r>
      </w:fldSimple>
      <w:bookmarkEnd w:id="37"/>
      <w:r w:rsidRPr="00276C3D">
        <w:t xml:space="preserve">: </w:t>
      </w:r>
    </w:p>
    <w:p w14:paraId="6181EDF7" w14:textId="67D63A62" w:rsidR="007E0D4A" w:rsidRPr="002365EE" w:rsidRDefault="007E0D4A" w:rsidP="001B69C8"/>
    <w:p w14:paraId="50931178" w14:textId="77777777" w:rsidR="007E0D4A" w:rsidRDefault="007E0D4A" w:rsidP="001B69C8"/>
    <w:p w14:paraId="7E38276D" w14:textId="16829DD7" w:rsidR="0088686D" w:rsidRPr="001C0C30" w:rsidRDefault="0088686D" w:rsidP="001B69C8"/>
    <w:sectPr w:rsidR="0088686D" w:rsidRPr="001C0C30" w:rsidSect="00DA3688">
      <w:headerReference w:type="default" r:id="rId16"/>
      <w:footerReference w:type="default" r:id="rId17"/>
      <w:footerReference w:type="first" r:id="rId18"/>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B6706" w14:textId="77777777" w:rsidR="00494410" w:rsidRDefault="00494410">
      <w:r>
        <w:separator/>
      </w:r>
    </w:p>
    <w:p w14:paraId="3F3C16F0" w14:textId="77777777" w:rsidR="00494410" w:rsidRDefault="00494410"/>
    <w:p w14:paraId="7F48D325" w14:textId="77777777" w:rsidR="00494410" w:rsidRDefault="00494410"/>
  </w:endnote>
  <w:endnote w:type="continuationSeparator" w:id="0">
    <w:p w14:paraId="5131046E" w14:textId="77777777" w:rsidR="00494410" w:rsidRDefault="00494410">
      <w:r>
        <w:continuationSeparator/>
      </w:r>
    </w:p>
    <w:p w14:paraId="6083D9C2" w14:textId="77777777" w:rsidR="00494410" w:rsidRDefault="00494410"/>
    <w:p w14:paraId="3D45D399" w14:textId="77777777" w:rsidR="00494410" w:rsidRDefault="0049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2781" w14:textId="77777777" w:rsidR="007E50A5" w:rsidRDefault="007E50A5" w:rsidP="00460B3F">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B765DD">
      <w:rPr>
        <w:noProof/>
      </w:rPr>
      <w:t>19</w:t>
    </w:r>
    <w:r>
      <w:fldChar w:fldCharType="end"/>
    </w:r>
    <w:r>
      <w:t xml:space="preserve"> of </w:t>
    </w:r>
    <w:fldSimple w:instr=" NUMPAGES   \* MERGEFORMAT ">
      <w:r w:rsidR="00B765DD">
        <w:rPr>
          <w:noProof/>
        </w:rPr>
        <w:t>19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2783" w14:textId="74599CCA" w:rsidR="007E50A5" w:rsidRDefault="007E50A5" w:rsidP="001D5EC0">
    <w:pPr>
      <w:pStyle w:val="Footersecurityclassification"/>
      <w:tabs>
        <w:tab w:val="center" w:pos="4536"/>
      </w:tabs>
    </w:pPr>
    <w:r>
      <w:rPr>
        <w:rStyle w:val="Headersecurityclassificatio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35048" w14:textId="77777777" w:rsidR="00494410" w:rsidRDefault="00494410" w:rsidP="00F86809">
      <w:pPr>
        <w:pStyle w:val="Spacer"/>
      </w:pPr>
      <w:r>
        <w:separator/>
      </w:r>
    </w:p>
  </w:footnote>
  <w:footnote w:type="continuationSeparator" w:id="0">
    <w:p w14:paraId="286953C4" w14:textId="77777777" w:rsidR="00494410" w:rsidRDefault="00494410">
      <w:r>
        <w:continuationSeparator/>
      </w:r>
    </w:p>
    <w:p w14:paraId="6BBF3DCC" w14:textId="77777777" w:rsidR="00494410" w:rsidRDefault="00494410"/>
    <w:p w14:paraId="22B2B2C6" w14:textId="77777777" w:rsidR="00494410" w:rsidRDefault="00494410"/>
  </w:footnote>
  <w:footnote w:id="1">
    <w:p w14:paraId="4419FF60" w14:textId="10EF48E4" w:rsidR="007E50A5" w:rsidRDefault="007E50A5">
      <w:pPr>
        <w:pStyle w:val="FootnoteText"/>
      </w:pPr>
      <w:r>
        <w:rPr>
          <w:rStyle w:val="FootnoteReference"/>
        </w:rPr>
        <w:footnoteRef/>
      </w:r>
      <w:r>
        <w:t xml:space="preserve"> For example, New Zealand issues approximately 600,000 passports per annum while the UK issues 5,000,000 per annum. To move to a security best practice approach UK issuance would need to increase to </w:t>
      </w:r>
      <w:r w:rsidR="00360240">
        <w:t>around</w:t>
      </w:r>
      <w:r>
        <w:t xml:space="preserve"> 9,000,000 per annum.</w:t>
      </w:r>
    </w:p>
  </w:footnote>
  <w:footnote w:id="2">
    <w:p w14:paraId="78ACB3AE" w14:textId="655AAA9A" w:rsidR="007E50A5" w:rsidRDefault="007E50A5" w:rsidP="008809A0">
      <w:pPr>
        <w:pStyle w:val="FootnoteText"/>
      </w:pPr>
      <w:r>
        <w:rPr>
          <w:rStyle w:val="FootnoteReference"/>
        </w:rPr>
        <w:footnoteRef/>
      </w:r>
      <w:r>
        <w:t xml:space="preserve"> </w:t>
      </w:r>
      <w:r>
        <w:rPr>
          <w:rStyle w:val="FootnoteReference"/>
        </w:rPr>
        <w:footnoteRef/>
      </w:r>
      <w:r>
        <w:t xml:space="preserve"> Canada first announced changes to their passport system in 2009 which were introduced in July 2013.</w:t>
      </w:r>
      <w:r w:rsidRPr="000625AA">
        <w:t xml:space="preserve"> </w:t>
      </w:r>
      <w:hyperlink r:id="rId1" w:history="1">
        <w:r w:rsidRPr="00DF7997">
          <w:rPr>
            <w:rStyle w:val="Hyperlink"/>
          </w:rPr>
          <w:t>http://www.ppt.gc.ca/publications/pdfs/proposition-eng.pdf</w:t>
        </w:r>
      </w:hyperlink>
    </w:p>
  </w:footnote>
  <w:footnote w:id="3">
    <w:p w14:paraId="1B837758" w14:textId="5A113684" w:rsidR="007E50A5" w:rsidRPr="00B00A5E" w:rsidRDefault="007E50A5" w:rsidP="00B00A5E">
      <w:pPr>
        <w:pStyle w:val="Caption"/>
        <w:ind w:left="0"/>
        <w:jc w:val="both"/>
        <w:rPr>
          <w:b w:val="0"/>
        </w:rPr>
      </w:pPr>
      <w:r w:rsidRPr="00B00A5E">
        <w:rPr>
          <w:rStyle w:val="FootnoteReference"/>
          <w:b w:val="0"/>
        </w:rPr>
        <w:footnoteRef/>
      </w:r>
      <w:r>
        <w:t xml:space="preserve"> </w:t>
      </w:r>
      <w:r w:rsidRPr="00B00A5E">
        <w:rPr>
          <w:b w:val="0"/>
        </w:rPr>
        <w:t>Data extracted from CUSMOD (Customs database on departures) and the Department.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2780" w14:textId="5F08EC2E" w:rsidR="007E50A5" w:rsidRPr="001D5EC0" w:rsidRDefault="007E50A5" w:rsidP="001D5EC0">
    <w:pPr>
      <w:pStyle w:val="Header"/>
      <w:tabs>
        <w:tab w:val="center" w:pos="4536"/>
      </w:tabs>
    </w:pPr>
    <w:r>
      <w:rPr>
        <w:rStyle w:val="Headersecurityclassificatio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B1F50FE"/>
    <w:multiLevelType w:val="hybridMultilevel"/>
    <w:tmpl w:val="935E0310"/>
    <w:lvl w:ilvl="0" w:tplc="F37A4368">
      <w:start w:val="1"/>
      <w:numFmt w:val="decimal"/>
      <w:pStyle w:val="Briefingtext"/>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214A5464"/>
    <w:multiLevelType w:val="hybridMultilevel"/>
    <w:tmpl w:val="81BC8532"/>
    <w:lvl w:ilvl="0" w:tplc="AB960C72">
      <w:start w:val="1"/>
      <w:numFmt w:val="decimal"/>
      <w:lvlText w:val="%1."/>
      <w:lvlJc w:val="left"/>
      <w:pPr>
        <w:tabs>
          <w:tab w:val="num" w:pos="390"/>
        </w:tabs>
        <w:ind w:left="390" w:hanging="390"/>
      </w:pPr>
      <w:rPr>
        <w:rFonts w:ascii="Calibri" w:hAnsi="Calibri" w:cs="Times New Roman" w:hint="default"/>
        <w:b w:val="0"/>
        <w:i w:val="0"/>
        <w:strike w:val="0"/>
        <w:dstrike w:val="0"/>
        <w:color w:val="auto"/>
        <w:sz w:val="24"/>
        <w:szCs w:val="24"/>
        <w:u w:val="none"/>
        <w:effect w:val="none"/>
      </w:rPr>
    </w:lvl>
    <w:lvl w:ilvl="1" w:tplc="5C185864">
      <w:numFmt w:val="bullet"/>
      <w:lvlText w:val="-"/>
      <w:lvlJc w:val="left"/>
      <w:pPr>
        <w:tabs>
          <w:tab w:val="num" w:pos="3709"/>
        </w:tabs>
        <w:ind w:left="3709" w:hanging="360"/>
      </w:pPr>
      <w:rPr>
        <w:rFonts w:ascii="Times New Roman" w:eastAsia="Times New Roman" w:hAnsi="Times New Roman" w:cs="Times New Roman" w:hint="default"/>
      </w:rPr>
    </w:lvl>
    <w:lvl w:ilvl="2" w:tplc="BFD2740E">
      <w:start w:val="25"/>
      <w:numFmt w:val="decimal"/>
      <w:lvlText w:val="%3"/>
      <w:lvlJc w:val="left"/>
      <w:pPr>
        <w:tabs>
          <w:tab w:val="num" w:pos="4609"/>
        </w:tabs>
        <w:ind w:left="4609" w:hanging="360"/>
      </w:pPr>
    </w:lvl>
    <w:lvl w:ilvl="3" w:tplc="0809000F">
      <w:start w:val="1"/>
      <w:numFmt w:val="decimal"/>
      <w:lvlText w:val="%4."/>
      <w:lvlJc w:val="left"/>
      <w:pPr>
        <w:tabs>
          <w:tab w:val="num" w:pos="5149"/>
        </w:tabs>
        <w:ind w:left="5149" w:hanging="360"/>
      </w:pPr>
    </w:lvl>
    <w:lvl w:ilvl="4" w:tplc="08090019">
      <w:start w:val="1"/>
      <w:numFmt w:val="lowerLetter"/>
      <w:lvlText w:val="%5."/>
      <w:lvlJc w:val="left"/>
      <w:pPr>
        <w:tabs>
          <w:tab w:val="num" w:pos="5869"/>
        </w:tabs>
        <w:ind w:left="5869" w:hanging="360"/>
      </w:pPr>
    </w:lvl>
    <w:lvl w:ilvl="5" w:tplc="0809001B">
      <w:start w:val="1"/>
      <w:numFmt w:val="lowerRoman"/>
      <w:lvlText w:val="%6."/>
      <w:lvlJc w:val="right"/>
      <w:pPr>
        <w:tabs>
          <w:tab w:val="num" w:pos="6589"/>
        </w:tabs>
        <w:ind w:left="6589" w:hanging="180"/>
      </w:pPr>
    </w:lvl>
    <w:lvl w:ilvl="6" w:tplc="0809000F">
      <w:start w:val="1"/>
      <w:numFmt w:val="decimal"/>
      <w:lvlText w:val="%7."/>
      <w:lvlJc w:val="left"/>
      <w:pPr>
        <w:tabs>
          <w:tab w:val="num" w:pos="7309"/>
        </w:tabs>
        <w:ind w:left="7309" w:hanging="360"/>
      </w:pPr>
    </w:lvl>
    <w:lvl w:ilvl="7" w:tplc="08090019">
      <w:start w:val="1"/>
      <w:numFmt w:val="lowerLetter"/>
      <w:lvlText w:val="%8."/>
      <w:lvlJc w:val="left"/>
      <w:pPr>
        <w:tabs>
          <w:tab w:val="num" w:pos="8029"/>
        </w:tabs>
        <w:ind w:left="8029" w:hanging="360"/>
      </w:pPr>
    </w:lvl>
    <w:lvl w:ilvl="8" w:tplc="0809001B">
      <w:start w:val="1"/>
      <w:numFmt w:val="lowerRoman"/>
      <w:lvlText w:val="%9."/>
      <w:lvlJc w:val="right"/>
      <w:pPr>
        <w:tabs>
          <w:tab w:val="num" w:pos="8749"/>
        </w:tabs>
        <w:ind w:left="8749" w:hanging="180"/>
      </w:pPr>
    </w:lvl>
  </w:abstractNum>
  <w:abstractNum w:abstractNumId="15">
    <w:nsid w:val="368F5832"/>
    <w:multiLevelType w:val="multilevel"/>
    <w:tmpl w:val="8ACE7E44"/>
    <w:lvl w:ilvl="0">
      <w:start w:val="1"/>
      <w:numFmt w:val="upperLetter"/>
      <w:pStyle w:val="Headingappendix"/>
      <w:suff w:val="space"/>
      <w:lvlText w:val="Appendix %1:"/>
      <w:lvlJc w:val="left"/>
      <w:pPr>
        <w:ind w:left="0" w:firstLine="0"/>
      </w:pPr>
      <w:rPr>
        <w:rFonts w:hint="default"/>
        <w:color w:val="000000" w:themeColor="text1"/>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EF03781"/>
    <w:multiLevelType w:val="multilevel"/>
    <w:tmpl w:val="B8566718"/>
    <w:lvl w:ilvl="0">
      <w:start w:val="1"/>
      <w:numFmt w:val="decimal"/>
      <w:pStyle w:val="Numberedpara3level1"/>
      <w:lvlText w:val="%1."/>
      <w:lvlJc w:val="left"/>
      <w:pPr>
        <w:tabs>
          <w:tab w:val="num" w:pos="567"/>
        </w:tabs>
        <w:ind w:left="567" w:hanging="567"/>
      </w:pPr>
      <w:rPr>
        <w:rFonts w:ascii="Calibri" w:hAnsi="Calibri" w:hint="default"/>
        <w:b w:val="0"/>
        <w:i w:val="0"/>
        <w:caps w:val="0"/>
        <w:strike w:val="0"/>
        <w:dstrike w:val="0"/>
        <w:vanish w:val="0"/>
        <w:sz w:val="24"/>
        <w:vertAlign w:val="baseline"/>
      </w:rPr>
    </w:lvl>
    <w:lvl w:ilvl="1">
      <w:start w:val="1"/>
      <w:numFmt w:val="decimal"/>
      <w:lvlText w:val="%1.%2"/>
      <w:lvlJc w:val="left"/>
      <w:pPr>
        <w:ind w:left="1247" w:hanging="680"/>
      </w:pPr>
      <w:rPr>
        <w:rFonts w:ascii="Calibri" w:hAnsi="Calibri" w:hint="default"/>
        <w:b w:val="0"/>
        <w:caps w:val="0"/>
        <w:strike w:val="0"/>
        <w:dstrike w:val="0"/>
        <w:vanish w:val="0"/>
        <w:vertAlign w:val="baseline"/>
      </w:rPr>
    </w:lvl>
    <w:lvl w:ilvl="2">
      <w:start w:val="1"/>
      <w:numFmt w:val="decimal"/>
      <w:lvlText w:val="%1.%2.%3"/>
      <w:lvlJc w:val="left"/>
      <w:pPr>
        <w:ind w:left="2155" w:hanging="908"/>
      </w:pPr>
      <w:rPr>
        <w:rFonts w:ascii="Calibri" w:hAnsi="Calibri" w:hint="default"/>
        <w:caps w:val="0"/>
        <w:strike w:val="0"/>
        <w:dstrike w:val="0"/>
        <w:vanish w:val="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98E6CEB"/>
    <w:multiLevelType w:val="multilevel"/>
    <w:tmpl w:val="B3147ED6"/>
    <w:lvl w:ilvl="0">
      <w:start w:val="1"/>
      <w:numFmt w:val="decimal"/>
      <w:pStyle w:val="Numberedpara2level1"/>
      <w:lvlText w:val="%1."/>
      <w:lvlJc w:val="left"/>
      <w:pPr>
        <w:tabs>
          <w:tab w:val="num" w:pos="567"/>
        </w:tabs>
        <w:ind w:left="567" w:hanging="567"/>
      </w:pPr>
      <w:rPr>
        <w:rFonts w:hint="default"/>
      </w:rPr>
    </w:lvl>
    <w:lvl w:ilvl="1">
      <w:start w:val="1"/>
      <w:numFmt w:val="decimal"/>
      <w:pStyle w:val="Numberedpara2level2a"/>
      <w:lvlText w:val="%1.%2"/>
      <w:lvlJc w:val="left"/>
      <w:pPr>
        <w:ind w:left="1247" w:hanging="680"/>
      </w:pPr>
      <w:rPr>
        <w:rFonts w:hint="default"/>
      </w:rPr>
    </w:lvl>
    <w:lvl w:ilvl="2">
      <w:start w:val="1"/>
      <w:numFmt w:val="decimal"/>
      <w:pStyle w:val="Numberedpara2level3i"/>
      <w:lvlText w:val="%1.%2.%3"/>
      <w:lvlJc w:val="left"/>
      <w:pPr>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618B50FA"/>
    <w:multiLevelType w:val="hybridMultilevel"/>
    <w:tmpl w:val="A314E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nsid w:val="6B2A7B0B"/>
    <w:multiLevelType w:val="multilevel"/>
    <w:tmpl w:val="F34E904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21"/>
  </w:num>
  <w:num w:numId="12">
    <w:abstractNumId w:val="16"/>
  </w:num>
  <w:num w:numId="13">
    <w:abstractNumId w:val="12"/>
  </w:num>
  <w:num w:numId="14">
    <w:abstractNumId w:val="13"/>
  </w:num>
  <w:num w:numId="15">
    <w:abstractNumId w:val="22"/>
  </w:num>
  <w:num w:numId="16">
    <w:abstractNumId w:val="25"/>
  </w:num>
  <w:num w:numId="17">
    <w:abstractNumId w:val="27"/>
  </w:num>
  <w:num w:numId="18">
    <w:abstractNumId w:val="9"/>
  </w:num>
  <w:num w:numId="19">
    <w:abstractNumId w:val="15"/>
  </w:num>
  <w:num w:numId="20">
    <w:abstractNumId w:val="28"/>
  </w:num>
  <w:num w:numId="21">
    <w:abstractNumId w:val="26"/>
  </w:num>
  <w:num w:numId="22">
    <w:abstractNumId w:val="24"/>
  </w:num>
  <w:num w:numId="23">
    <w:abstractNumId w:val="18"/>
  </w:num>
  <w:num w:numId="24">
    <w:abstractNumId w:val="11"/>
  </w:num>
  <w:num w:numId="25">
    <w:abstractNumId w:val="20"/>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3"/>
  </w:num>
  <w:num w:numId="32">
    <w:abstractNumId w:val="14"/>
    <w:lvlOverride w:ilvl="0">
      <w:startOverride w:val="1"/>
    </w:lvlOverride>
    <w:lvlOverride w:ilvl="1"/>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6B"/>
    <w:rsid w:val="00003360"/>
    <w:rsid w:val="000033E4"/>
    <w:rsid w:val="00004103"/>
    <w:rsid w:val="00005919"/>
    <w:rsid w:val="000114FD"/>
    <w:rsid w:val="000136BF"/>
    <w:rsid w:val="00015020"/>
    <w:rsid w:val="00015416"/>
    <w:rsid w:val="00015D99"/>
    <w:rsid w:val="0001647B"/>
    <w:rsid w:val="00020010"/>
    <w:rsid w:val="00026EE2"/>
    <w:rsid w:val="00026F37"/>
    <w:rsid w:val="000320B5"/>
    <w:rsid w:val="00034673"/>
    <w:rsid w:val="00036671"/>
    <w:rsid w:val="00037226"/>
    <w:rsid w:val="00037AAD"/>
    <w:rsid w:val="000409E2"/>
    <w:rsid w:val="00040B52"/>
    <w:rsid w:val="00044EA1"/>
    <w:rsid w:val="0004537D"/>
    <w:rsid w:val="0005649A"/>
    <w:rsid w:val="0006001A"/>
    <w:rsid w:val="00063BB2"/>
    <w:rsid w:val="00065F18"/>
    <w:rsid w:val="00067005"/>
    <w:rsid w:val="0007032B"/>
    <w:rsid w:val="00076035"/>
    <w:rsid w:val="00077013"/>
    <w:rsid w:val="00077B92"/>
    <w:rsid w:val="00091C3A"/>
    <w:rsid w:val="000925B4"/>
    <w:rsid w:val="00093D74"/>
    <w:rsid w:val="00096B9B"/>
    <w:rsid w:val="000A3510"/>
    <w:rsid w:val="000A3D02"/>
    <w:rsid w:val="000A45E9"/>
    <w:rsid w:val="000B3D98"/>
    <w:rsid w:val="000C738E"/>
    <w:rsid w:val="000D61F6"/>
    <w:rsid w:val="000D6526"/>
    <w:rsid w:val="000E3240"/>
    <w:rsid w:val="000E677B"/>
    <w:rsid w:val="000F4ADF"/>
    <w:rsid w:val="000F4DA1"/>
    <w:rsid w:val="000F5213"/>
    <w:rsid w:val="000F61AF"/>
    <w:rsid w:val="000F7D08"/>
    <w:rsid w:val="0010013C"/>
    <w:rsid w:val="001004C1"/>
    <w:rsid w:val="0010171C"/>
    <w:rsid w:val="00102FAD"/>
    <w:rsid w:val="00106520"/>
    <w:rsid w:val="00110407"/>
    <w:rsid w:val="0011339B"/>
    <w:rsid w:val="0011353F"/>
    <w:rsid w:val="00117D2F"/>
    <w:rsid w:val="00117D99"/>
    <w:rsid w:val="0012159D"/>
    <w:rsid w:val="00121870"/>
    <w:rsid w:val="0012547A"/>
    <w:rsid w:val="00126D29"/>
    <w:rsid w:val="001303FC"/>
    <w:rsid w:val="00137B55"/>
    <w:rsid w:val="00140ED2"/>
    <w:rsid w:val="0014205F"/>
    <w:rsid w:val="00143E7C"/>
    <w:rsid w:val="00144BCD"/>
    <w:rsid w:val="00151E8D"/>
    <w:rsid w:val="001538D5"/>
    <w:rsid w:val="00156749"/>
    <w:rsid w:val="001616F3"/>
    <w:rsid w:val="0016433D"/>
    <w:rsid w:val="00184824"/>
    <w:rsid w:val="00184C0F"/>
    <w:rsid w:val="001906A5"/>
    <w:rsid w:val="001921DD"/>
    <w:rsid w:val="001923C8"/>
    <w:rsid w:val="00197EB2"/>
    <w:rsid w:val="001A1BB7"/>
    <w:rsid w:val="001A5F55"/>
    <w:rsid w:val="001A714F"/>
    <w:rsid w:val="001B69C8"/>
    <w:rsid w:val="001B6EB2"/>
    <w:rsid w:val="001C0031"/>
    <w:rsid w:val="001C0C30"/>
    <w:rsid w:val="001C4191"/>
    <w:rsid w:val="001C5377"/>
    <w:rsid w:val="001D0111"/>
    <w:rsid w:val="001D1221"/>
    <w:rsid w:val="001D29AF"/>
    <w:rsid w:val="001D5EC0"/>
    <w:rsid w:val="001E64FC"/>
    <w:rsid w:val="001E6964"/>
    <w:rsid w:val="001F0724"/>
    <w:rsid w:val="001F2CA1"/>
    <w:rsid w:val="002007DF"/>
    <w:rsid w:val="00205FE8"/>
    <w:rsid w:val="00206BA3"/>
    <w:rsid w:val="0020784E"/>
    <w:rsid w:val="002150B5"/>
    <w:rsid w:val="00215160"/>
    <w:rsid w:val="002172D0"/>
    <w:rsid w:val="00217CF2"/>
    <w:rsid w:val="00220BE5"/>
    <w:rsid w:val="0022123B"/>
    <w:rsid w:val="002224B4"/>
    <w:rsid w:val="0022316C"/>
    <w:rsid w:val="00226D5E"/>
    <w:rsid w:val="00227FEC"/>
    <w:rsid w:val="00230B5E"/>
    <w:rsid w:val="002327BD"/>
    <w:rsid w:val="00237A3D"/>
    <w:rsid w:val="00240E83"/>
    <w:rsid w:val="00246370"/>
    <w:rsid w:val="002502D1"/>
    <w:rsid w:val="00251EFE"/>
    <w:rsid w:val="00260A17"/>
    <w:rsid w:val="002612D5"/>
    <w:rsid w:val="00261987"/>
    <w:rsid w:val="00264A79"/>
    <w:rsid w:val="00264E9B"/>
    <w:rsid w:val="002702C5"/>
    <w:rsid w:val="002702FA"/>
    <w:rsid w:val="00270564"/>
    <w:rsid w:val="00270EEC"/>
    <w:rsid w:val="00276C3D"/>
    <w:rsid w:val="002806A2"/>
    <w:rsid w:val="00285E20"/>
    <w:rsid w:val="00286182"/>
    <w:rsid w:val="00290BD3"/>
    <w:rsid w:val="0029100C"/>
    <w:rsid w:val="00295FCF"/>
    <w:rsid w:val="00297CC7"/>
    <w:rsid w:val="002A194F"/>
    <w:rsid w:val="002A4BD9"/>
    <w:rsid w:val="002A4FE7"/>
    <w:rsid w:val="002A4FF9"/>
    <w:rsid w:val="002B1CEB"/>
    <w:rsid w:val="002B4879"/>
    <w:rsid w:val="002C2151"/>
    <w:rsid w:val="002C7079"/>
    <w:rsid w:val="002D3125"/>
    <w:rsid w:val="002D4257"/>
    <w:rsid w:val="002D47C6"/>
    <w:rsid w:val="002D4F42"/>
    <w:rsid w:val="002D5304"/>
    <w:rsid w:val="002E236F"/>
    <w:rsid w:val="002E297D"/>
    <w:rsid w:val="002E42AC"/>
    <w:rsid w:val="002E42FF"/>
    <w:rsid w:val="002E4A0E"/>
    <w:rsid w:val="002E7864"/>
    <w:rsid w:val="002F03C0"/>
    <w:rsid w:val="002F12D1"/>
    <w:rsid w:val="002F1960"/>
    <w:rsid w:val="002F5DAF"/>
    <w:rsid w:val="002F5DDC"/>
    <w:rsid w:val="0030084C"/>
    <w:rsid w:val="003039E1"/>
    <w:rsid w:val="00303A84"/>
    <w:rsid w:val="00304FEB"/>
    <w:rsid w:val="0030576D"/>
    <w:rsid w:val="00305B1F"/>
    <w:rsid w:val="00307D91"/>
    <w:rsid w:val="003129BA"/>
    <w:rsid w:val="00313425"/>
    <w:rsid w:val="00313E72"/>
    <w:rsid w:val="003148FC"/>
    <w:rsid w:val="003227BD"/>
    <w:rsid w:val="00324833"/>
    <w:rsid w:val="00330820"/>
    <w:rsid w:val="00331706"/>
    <w:rsid w:val="003403AB"/>
    <w:rsid w:val="00343892"/>
    <w:rsid w:val="00343FC0"/>
    <w:rsid w:val="003465C8"/>
    <w:rsid w:val="003465EA"/>
    <w:rsid w:val="00351393"/>
    <w:rsid w:val="003579BB"/>
    <w:rsid w:val="003601A8"/>
    <w:rsid w:val="00360240"/>
    <w:rsid w:val="003609CF"/>
    <w:rsid w:val="00365E40"/>
    <w:rsid w:val="00367C91"/>
    <w:rsid w:val="0037016B"/>
    <w:rsid w:val="00370FC0"/>
    <w:rsid w:val="0037298A"/>
    <w:rsid w:val="00373206"/>
    <w:rsid w:val="003737ED"/>
    <w:rsid w:val="00375338"/>
    <w:rsid w:val="00375B80"/>
    <w:rsid w:val="00376B75"/>
    <w:rsid w:val="00377352"/>
    <w:rsid w:val="00386DBD"/>
    <w:rsid w:val="00387966"/>
    <w:rsid w:val="00387B9E"/>
    <w:rsid w:val="003928FC"/>
    <w:rsid w:val="003953C4"/>
    <w:rsid w:val="00396C42"/>
    <w:rsid w:val="003A10DA"/>
    <w:rsid w:val="003A12C8"/>
    <w:rsid w:val="003A2F32"/>
    <w:rsid w:val="003A6FFE"/>
    <w:rsid w:val="003A7695"/>
    <w:rsid w:val="003A7B0F"/>
    <w:rsid w:val="003B3A23"/>
    <w:rsid w:val="003B54C3"/>
    <w:rsid w:val="003B5B2A"/>
    <w:rsid w:val="003B6246"/>
    <w:rsid w:val="003B6592"/>
    <w:rsid w:val="003B6F16"/>
    <w:rsid w:val="003C0DCE"/>
    <w:rsid w:val="003C110F"/>
    <w:rsid w:val="003C3D30"/>
    <w:rsid w:val="003C535C"/>
    <w:rsid w:val="003C772C"/>
    <w:rsid w:val="003E0DD1"/>
    <w:rsid w:val="003E1E6E"/>
    <w:rsid w:val="003E54D4"/>
    <w:rsid w:val="003F2B58"/>
    <w:rsid w:val="003F553E"/>
    <w:rsid w:val="003F5886"/>
    <w:rsid w:val="0040020C"/>
    <w:rsid w:val="004002D7"/>
    <w:rsid w:val="00401CA0"/>
    <w:rsid w:val="004044D7"/>
    <w:rsid w:val="00406C3C"/>
    <w:rsid w:val="0040700B"/>
    <w:rsid w:val="00407F54"/>
    <w:rsid w:val="00411341"/>
    <w:rsid w:val="0041376F"/>
    <w:rsid w:val="00413966"/>
    <w:rsid w:val="00415377"/>
    <w:rsid w:val="00415569"/>
    <w:rsid w:val="00415CDB"/>
    <w:rsid w:val="004176D6"/>
    <w:rsid w:val="00421DA9"/>
    <w:rsid w:val="004231DC"/>
    <w:rsid w:val="0042551E"/>
    <w:rsid w:val="0042679B"/>
    <w:rsid w:val="004300C0"/>
    <w:rsid w:val="00432F36"/>
    <w:rsid w:val="00433AD8"/>
    <w:rsid w:val="00435D38"/>
    <w:rsid w:val="00437D87"/>
    <w:rsid w:val="00444E44"/>
    <w:rsid w:val="00445144"/>
    <w:rsid w:val="00445198"/>
    <w:rsid w:val="00450355"/>
    <w:rsid w:val="00450D3A"/>
    <w:rsid w:val="004552A0"/>
    <w:rsid w:val="00457E34"/>
    <w:rsid w:val="0046010A"/>
    <w:rsid w:val="00460A83"/>
    <w:rsid w:val="00460B3F"/>
    <w:rsid w:val="004627CE"/>
    <w:rsid w:val="00463B70"/>
    <w:rsid w:val="00464752"/>
    <w:rsid w:val="00465E0D"/>
    <w:rsid w:val="004678BC"/>
    <w:rsid w:val="00470DED"/>
    <w:rsid w:val="004712BC"/>
    <w:rsid w:val="00471918"/>
    <w:rsid w:val="00471AD4"/>
    <w:rsid w:val="00473E2F"/>
    <w:rsid w:val="00476068"/>
    <w:rsid w:val="004763B3"/>
    <w:rsid w:val="00477619"/>
    <w:rsid w:val="004830FF"/>
    <w:rsid w:val="00484416"/>
    <w:rsid w:val="0048653C"/>
    <w:rsid w:val="00486E6E"/>
    <w:rsid w:val="004875DF"/>
    <w:rsid w:val="00487733"/>
    <w:rsid w:val="004879B2"/>
    <w:rsid w:val="00487C1D"/>
    <w:rsid w:val="00487D2D"/>
    <w:rsid w:val="004901DA"/>
    <w:rsid w:val="0049052C"/>
    <w:rsid w:val="00491D68"/>
    <w:rsid w:val="00494410"/>
    <w:rsid w:val="00494C6F"/>
    <w:rsid w:val="004A5823"/>
    <w:rsid w:val="004B0AAF"/>
    <w:rsid w:val="004B3924"/>
    <w:rsid w:val="004B3DCC"/>
    <w:rsid w:val="004C375D"/>
    <w:rsid w:val="004C49CA"/>
    <w:rsid w:val="004C4DDD"/>
    <w:rsid w:val="004C68DB"/>
    <w:rsid w:val="004C6953"/>
    <w:rsid w:val="004C6968"/>
    <w:rsid w:val="004C7001"/>
    <w:rsid w:val="004C7E0B"/>
    <w:rsid w:val="004D0321"/>
    <w:rsid w:val="004D1706"/>
    <w:rsid w:val="004D243F"/>
    <w:rsid w:val="004D2B9E"/>
    <w:rsid w:val="004D35CA"/>
    <w:rsid w:val="004D4694"/>
    <w:rsid w:val="004D5863"/>
    <w:rsid w:val="004D5B9E"/>
    <w:rsid w:val="004D66A7"/>
    <w:rsid w:val="004D7473"/>
    <w:rsid w:val="004D7F6D"/>
    <w:rsid w:val="004E10E5"/>
    <w:rsid w:val="004E5748"/>
    <w:rsid w:val="004F2148"/>
    <w:rsid w:val="004F5DEF"/>
    <w:rsid w:val="00501C4B"/>
    <w:rsid w:val="0050624D"/>
    <w:rsid w:val="00507555"/>
    <w:rsid w:val="00510D73"/>
    <w:rsid w:val="00512ACB"/>
    <w:rsid w:val="005131AA"/>
    <w:rsid w:val="00516426"/>
    <w:rsid w:val="0052216D"/>
    <w:rsid w:val="00523855"/>
    <w:rsid w:val="00526115"/>
    <w:rsid w:val="005266EF"/>
    <w:rsid w:val="00530EB7"/>
    <w:rsid w:val="00533FAF"/>
    <w:rsid w:val="005366B6"/>
    <w:rsid w:val="00537C87"/>
    <w:rsid w:val="00553B6F"/>
    <w:rsid w:val="00554BCD"/>
    <w:rsid w:val="005600A7"/>
    <w:rsid w:val="00561A97"/>
    <w:rsid w:val="00563DAC"/>
    <w:rsid w:val="00564ED7"/>
    <w:rsid w:val="005675E0"/>
    <w:rsid w:val="00567A09"/>
    <w:rsid w:val="00570A71"/>
    <w:rsid w:val="00570C00"/>
    <w:rsid w:val="00570DA9"/>
    <w:rsid w:val="005724AA"/>
    <w:rsid w:val="0058206B"/>
    <w:rsid w:val="0058230F"/>
    <w:rsid w:val="00582A90"/>
    <w:rsid w:val="0058420B"/>
    <w:rsid w:val="00585690"/>
    <w:rsid w:val="00590218"/>
    <w:rsid w:val="00595B33"/>
    <w:rsid w:val="0059662F"/>
    <w:rsid w:val="005B68B9"/>
    <w:rsid w:val="005C0A1F"/>
    <w:rsid w:val="005C5242"/>
    <w:rsid w:val="005C52EA"/>
    <w:rsid w:val="005C56CB"/>
    <w:rsid w:val="005C7A7E"/>
    <w:rsid w:val="005C7D66"/>
    <w:rsid w:val="005C7FCA"/>
    <w:rsid w:val="005D3066"/>
    <w:rsid w:val="005D531E"/>
    <w:rsid w:val="005D5ED3"/>
    <w:rsid w:val="005E4B13"/>
    <w:rsid w:val="005E4C02"/>
    <w:rsid w:val="005E7DCA"/>
    <w:rsid w:val="005F01DF"/>
    <w:rsid w:val="005F1EC5"/>
    <w:rsid w:val="005F4945"/>
    <w:rsid w:val="005F76CC"/>
    <w:rsid w:val="005F7FF8"/>
    <w:rsid w:val="006004C4"/>
    <w:rsid w:val="00600CA4"/>
    <w:rsid w:val="00602416"/>
    <w:rsid w:val="006025CE"/>
    <w:rsid w:val="006041F2"/>
    <w:rsid w:val="00605040"/>
    <w:rsid w:val="00605414"/>
    <w:rsid w:val="006064F5"/>
    <w:rsid w:val="00606DF3"/>
    <w:rsid w:val="00616935"/>
    <w:rsid w:val="00617298"/>
    <w:rsid w:val="00620099"/>
    <w:rsid w:val="00621097"/>
    <w:rsid w:val="00625D0D"/>
    <w:rsid w:val="00626766"/>
    <w:rsid w:val="006306E4"/>
    <w:rsid w:val="0063248B"/>
    <w:rsid w:val="00634E9F"/>
    <w:rsid w:val="0063541B"/>
    <w:rsid w:val="00637753"/>
    <w:rsid w:val="00641CC3"/>
    <w:rsid w:val="00643490"/>
    <w:rsid w:val="0064355B"/>
    <w:rsid w:val="00643AB0"/>
    <w:rsid w:val="00644000"/>
    <w:rsid w:val="00645A06"/>
    <w:rsid w:val="00645F34"/>
    <w:rsid w:val="006475E6"/>
    <w:rsid w:val="00661568"/>
    <w:rsid w:val="00661F9B"/>
    <w:rsid w:val="00662410"/>
    <w:rsid w:val="00662716"/>
    <w:rsid w:val="00663668"/>
    <w:rsid w:val="00663D14"/>
    <w:rsid w:val="00665DA7"/>
    <w:rsid w:val="00667E2D"/>
    <w:rsid w:val="006739A1"/>
    <w:rsid w:val="00676C9F"/>
    <w:rsid w:val="00677B13"/>
    <w:rsid w:val="00677F4E"/>
    <w:rsid w:val="00681A08"/>
    <w:rsid w:val="006844BF"/>
    <w:rsid w:val="00685ECF"/>
    <w:rsid w:val="006875B8"/>
    <w:rsid w:val="00687CEA"/>
    <w:rsid w:val="00693073"/>
    <w:rsid w:val="00694E01"/>
    <w:rsid w:val="00695171"/>
    <w:rsid w:val="00695B75"/>
    <w:rsid w:val="006A1A95"/>
    <w:rsid w:val="006A38B7"/>
    <w:rsid w:val="006A4376"/>
    <w:rsid w:val="006A441B"/>
    <w:rsid w:val="006A5C31"/>
    <w:rsid w:val="006B1756"/>
    <w:rsid w:val="006B1CB2"/>
    <w:rsid w:val="006B1DD1"/>
    <w:rsid w:val="006B3396"/>
    <w:rsid w:val="006B5D13"/>
    <w:rsid w:val="006C195E"/>
    <w:rsid w:val="006D0FEA"/>
    <w:rsid w:val="006D56F8"/>
    <w:rsid w:val="006D638F"/>
    <w:rsid w:val="006D6B2C"/>
    <w:rsid w:val="006D6D68"/>
    <w:rsid w:val="006D7962"/>
    <w:rsid w:val="006E1E21"/>
    <w:rsid w:val="006E3E9B"/>
    <w:rsid w:val="006E7BF7"/>
    <w:rsid w:val="006F0FE6"/>
    <w:rsid w:val="006F1F7C"/>
    <w:rsid w:val="006F3625"/>
    <w:rsid w:val="006F5567"/>
    <w:rsid w:val="0070462A"/>
    <w:rsid w:val="0070528E"/>
    <w:rsid w:val="00705CA5"/>
    <w:rsid w:val="00705E9A"/>
    <w:rsid w:val="007068C8"/>
    <w:rsid w:val="00712AE1"/>
    <w:rsid w:val="00712EAD"/>
    <w:rsid w:val="00713184"/>
    <w:rsid w:val="00714017"/>
    <w:rsid w:val="00715B8F"/>
    <w:rsid w:val="00724343"/>
    <w:rsid w:val="0073065B"/>
    <w:rsid w:val="0073106E"/>
    <w:rsid w:val="007324AB"/>
    <w:rsid w:val="007361D6"/>
    <w:rsid w:val="007406CF"/>
    <w:rsid w:val="00755142"/>
    <w:rsid w:val="00756BB7"/>
    <w:rsid w:val="00756C07"/>
    <w:rsid w:val="0075764B"/>
    <w:rsid w:val="007576B8"/>
    <w:rsid w:val="00760C01"/>
    <w:rsid w:val="00761293"/>
    <w:rsid w:val="00761A78"/>
    <w:rsid w:val="0076554C"/>
    <w:rsid w:val="00767C04"/>
    <w:rsid w:val="007712A6"/>
    <w:rsid w:val="007718EC"/>
    <w:rsid w:val="007731A0"/>
    <w:rsid w:val="007736A2"/>
    <w:rsid w:val="007747EE"/>
    <w:rsid w:val="00777E0D"/>
    <w:rsid w:val="00781610"/>
    <w:rsid w:val="007827DC"/>
    <w:rsid w:val="0078509A"/>
    <w:rsid w:val="007A5A5C"/>
    <w:rsid w:val="007A6226"/>
    <w:rsid w:val="007A7C26"/>
    <w:rsid w:val="007B1249"/>
    <w:rsid w:val="007B2954"/>
    <w:rsid w:val="007B3C61"/>
    <w:rsid w:val="007B3D5D"/>
    <w:rsid w:val="007C1F02"/>
    <w:rsid w:val="007C5835"/>
    <w:rsid w:val="007C5C77"/>
    <w:rsid w:val="007D1918"/>
    <w:rsid w:val="007D2C19"/>
    <w:rsid w:val="007E0B0D"/>
    <w:rsid w:val="007E0D4A"/>
    <w:rsid w:val="007E3FDD"/>
    <w:rsid w:val="007E50A5"/>
    <w:rsid w:val="007E50CC"/>
    <w:rsid w:val="007E65B8"/>
    <w:rsid w:val="007F03F2"/>
    <w:rsid w:val="007F36BA"/>
    <w:rsid w:val="007F563A"/>
    <w:rsid w:val="007F5C18"/>
    <w:rsid w:val="00800ADC"/>
    <w:rsid w:val="00800FD5"/>
    <w:rsid w:val="0080174C"/>
    <w:rsid w:val="008065D7"/>
    <w:rsid w:val="008071BD"/>
    <w:rsid w:val="00807D1B"/>
    <w:rsid w:val="0081167D"/>
    <w:rsid w:val="0081191B"/>
    <w:rsid w:val="00814F01"/>
    <w:rsid w:val="00816E30"/>
    <w:rsid w:val="008204CF"/>
    <w:rsid w:val="0082264B"/>
    <w:rsid w:val="00824190"/>
    <w:rsid w:val="0082765B"/>
    <w:rsid w:val="008321A7"/>
    <w:rsid w:val="008352B1"/>
    <w:rsid w:val="00835BD7"/>
    <w:rsid w:val="008428E8"/>
    <w:rsid w:val="00843D71"/>
    <w:rsid w:val="00845787"/>
    <w:rsid w:val="00846F11"/>
    <w:rsid w:val="0084745A"/>
    <w:rsid w:val="008575FC"/>
    <w:rsid w:val="00857EDB"/>
    <w:rsid w:val="00870045"/>
    <w:rsid w:val="008704E1"/>
    <w:rsid w:val="008726B9"/>
    <w:rsid w:val="00876E5F"/>
    <w:rsid w:val="00880532"/>
    <w:rsid w:val="008809A0"/>
    <w:rsid w:val="00883B69"/>
    <w:rsid w:val="00884A12"/>
    <w:rsid w:val="00885895"/>
    <w:rsid w:val="0088686D"/>
    <w:rsid w:val="00887EB8"/>
    <w:rsid w:val="00890CE4"/>
    <w:rsid w:val="00891ED7"/>
    <w:rsid w:val="00894B67"/>
    <w:rsid w:val="00896E08"/>
    <w:rsid w:val="00897F04"/>
    <w:rsid w:val="008A1FB7"/>
    <w:rsid w:val="008A5214"/>
    <w:rsid w:val="008B24CC"/>
    <w:rsid w:val="008B7B54"/>
    <w:rsid w:val="008C0F8A"/>
    <w:rsid w:val="008C2D6D"/>
    <w:rsid w:val="008C3187"/>
    <w:rsid w:val="008C5E4F"/>
    <w:rsid w:val="008C709D"/>
    <w:rsid w:val="008D0696"/>
    <w:rsid w:val="008D1DC2"/>
    <w:rsid w:val="008D46F2"/>
    <w:rsid w:val="008D63B7"/>
    <w:rsid w:val="008D6A03"/>
    <w:rsid w:val="008D6CA7"/>
    <w:rsid w:val="008D6EEF"/>
    <w:rsid w:val="008E2EE8"/>
    <w:rsid w:val="008E5E02"/>
    <w:rsid w:val="008E7FEE"/>
    <w:rsid w:val="008F049C"/>
    <w:rsid w:val="008F31F5"/>
    <w:rsid w:val="008F509D"/>
    <w:rsid w:val="008F54B8"/>
    <w:rsid w:val="008F67F5"/>
    <w:rsid w:val="008F6BCE"/>
    <w:rsid w:val="00900D4B"/>
    <w:rsid w:val="00901771"/>
    <w:rsid w:val="00902568"/>
    <w:rsid w:val="00905F9B"/>
    <w:rsid w:val="009119EF"/>
    <w:rsid w:val="00914003"/>
    <w:rsid w:val="009170B9"/>
    <w:rsid w:val="00923A87"/>
    <w:rsid w:val="009260C0"/>
    <w:rsid w:val="009267D1"/>
    <w:rsid w:val="00927482"/>
    <w:rsid w:val="00930912"/>
    <w:rsid w:val="009326AB"/>
    <w:rsid w:val="00933DDF"/>
    <w:rsid w:val="00936FF5"/>
    <w:rsid w:val="0093717B"/>
    <w:rsid w:val="00945BE5"/>
    <w:rsid w:val="00946695"/>
    <w:rsid w:val="00946AFA"/>
    <w:rsid w:val="0095112B"/>
    <w:rsid w:val="00955C76"/>
    <w:rsid w:val="009561EC"/>
    <w:rsid w:val="009570F0"/>
    <w:rsid w:val="0095712A"/>
    <w:rsid w:val="00964E45"/>
    <w:rsid w:val="00970462"/>
    <w:rsid w:val="009719E2"/>
    <w:rsid w:val="00972714"/>
    <w:rsid w:val="00972EA7"/>
    <w:rsid w:val="00973A6D"/>
    <w:rsid w:val="00980E3A"/>
    <w:rsid w:val="009865AA"/>
    <w:rsid w:val="00987080"/>
    <w:rsid w:val="0098765A"/>
    <w:rsid w:val="009918C1"/>
    <w:rsid w:val="00992BC0"/>
    <w:rsid w:val="00995984"/>
    <w:rsid w:val="009968B0"/>
    <w:rsid w:val="00997F01"/>
    <w:rsid w:val="009A5581"/>
    <w:rsid w:val="009A5D1F"/>
    <w:rsid w:val="009A6B6D"/>
    <w:rsid w:val="009A6CB2"/>
    <w:rsid w:val="009A71FD"/>
    <w:rsid w:val="009B0982"/>
    <w:rsid w:val="009B2DB9"/>
    <w:rsid w:val="009B4C99"/>
    <w:rsid w:val="009B664D"/>
    <w:rsid w:val="009C13FB"/>
    <w:rsid w:val="009C6DD9"/>
    <w:rsid w:val="009C7872"/>
    <w:rsid w:val="009D14BC"/>
    <w:rsid w:val="009D1FE9"/>
    <w:rsid w:val="009D24C1"/>
    <w:rsid w:val="009D28CF"/>
    <w:rsid w:val="009D6BE2"/>
    <w:rsid w:val="009D70C4"/>
    <w:rsid w:val="009D7A51"/>
    <w:rsid w:val="009E07DF"/>
    <w:rsid w:val="009E43B4"/>
    <w:rsid w:val="009E5D36"/>
    <w:rsid w:val="009E6375"/>
    <w:rsid w:val="009E7CA0"/>
    <w:rsid w:val="009F2E1F"/>
    <w:rsid w:val="009F3BE7"/>
    <w:rsid w:val="00A04392"/>
    <w:rsid w:val="00A04B84"/>
    <w:rsid w:val="00A069CE"/>
    <w:rsid w:val="00A105E0"/>
    <w:rsid w:val="00A109D8"/>
    <w:rsid w:val="00A130A2"/>
    <w:rsid w:val="00A14275"/>
    <w:rsid w:val="00A16003"/>
    <w:rsid w:val="00A167D7"/>
    <w:rsid w:val="00A20D2F"/>
    <w:rsid w:val="00A23D39"/>
    <w:rsid w:val="00A23EC2"/>
    <w:rsid w:val="00A24FBB"/>
    <w:rsid w:val="00A30E32"/>
    <w:rsid w:val="00A31D67"/>
    <w:rsid w:val="00A3453E"/>
    <w:rsid w:val="00A3713B"/>
    <w:rsid w:val="00A420CC"/>
    <w:rsid w:val="00A42ED2"/>
    <w:rsid w:val="00A44B33"/>
    <w:rsid w:val="00A50E00"/>
    <w:rsid w:val="00A51777"/>
    <w:rsid w:val="00A52529"/>
    <w:rsid w:val="00A5302B"/>
    <w:rsid w:val="00A53624"/>
    <w:rsid w:val="00A55EAF"/>
    <w:rsid w:val="00A5766B"/>
    <w:rsid w:val="00A57BDB"/>
    <w:rsid w:val="00A57DD4"/>
    <w:rsid w:val="00A62771"/>
    <w:rsid w:val="00A76834"/>
    <w:rsid w:val="00A77512"/>
    <w:rsid w:val="00A836BC"/>
    <w:rsid w:val="00A863E3"/>
    <w:rsid w:val="00A90880"/>
    <w:rsid w:val="00A97BFB"/>
    <w:rsid w:val="00AA0809"/>
    <w:rsid w:val="00AB0BBC"/>
    <w:rsid w:val="00AB2CC9"/>
    <w:rsid w:val="00AB31E9"/>
    <w:rsid w:val="00AB357F"/>
    <w:rsid w:val="00AB3A92"/>
    <w:rsid w:val="00AB478B"/>
    <w:rsid w:val="00AB47AC"/>
    <w:rsid w:val="00AB4AD9"/>
    <w:rsid w:val="00AC55F7"/>
    <w:rsid w:val="00AD6E77"/>
    <w:rsid w:val="00AD7A25"/>
    <w:rsid w:val="00AE2666"/>
    <w:rsid w:val="00AE67FB"/>
    <w:rsid w:val="00AF04D9"/>
    <w:rsid w:val="00AF2D04"/>
    <w:rsid w:val="00AF3272"/>
    <w:rsid w:val="00AF3A5A"/>
    <w:rsid w:val="00AF3E15"/>
    <w:rsid w:val="00AF5218"/>
    <w:rsid w:val="00B00A5E"/>
    <w:rsid w:val="00B00B3D"/>
    <w:rsid w:val="00B0480E"/>
    <w:rsid w:val="00B1026A"/>
    <w:rsid w:val="00B10E6E"/>
    <w:rsid w:val="00B11565"/>
    <w:rsid w:val="00B168A1"/>
    <w:rsid w:val="00B21166"/>
    <w:rsid w:val="00B23FF7"/>
    <w:rsid w:val="00B263AE"/>
    <w:rsid w:val="00B302E6"/>
    <w:rsid w:val="00B33A6C"/>
    <w:rsid w:val="00B47091"/>
    <w:rsid w:val="00B53887"/>
    <w:rsid w:val="00B56534"/>
    <w:rsid w:val="00B567D5"/>
    <w:rsid w:val="00B5683C"/>
    <w:rsid w:val="00B5742E"/>
    <w:rsid w:val="00B57A21"/>
    <w:rsid w:val="00B6170B"/>
    <w:rsid w:val="00B62C3E"/>
    <w:rsid w:val="00B645DE"/>
    <w:rsid w:val="00B65857"/>
    <w:rsid w:val="00B66698"/>
    <w:rsid w:val="00B66F47"/>
    <w:rsid w:val="00B71376"/>
    <w:rsid w:val="00B72F5F"/>
    <w:rsid w:val="00B745DC"/>
    <w:rsid w:val="00B765DD"/>
    <w:rsid w:val="00B84350"/>
    <w:rsid w:val="00B84E9B"/>
    <w:rsid w:val="00B855A6"/>
    <w:rsid w:val="00B863E0"/>
    <w:rsid w:val="00B91098"/>
    <w:rsid w:val="00B91904"/>
    <w:rsid w:val="00B92735"/>
    <w:rsid w:val="00B94436"/>
    <w:rsid w:val="00B969ED"/>
    <w:rsid w:val="00BA2163"/>
    <w:rsid w:val="00BA6A9C"/>
    <w:rsid w:val="00BA77F1"/>
    <w:rsid w:val="00BB0D90"/>
    <w:rsid w:val="00BB4B7F"/>
    <w:rsid w:val="00BB4D5A"/>
    <w:rsid w:val="00BB60C6"/>
    <w:rsid w:val="00BB7984"/>
    <w:rsid w:val="00BC11A9"/>
    <w:rsid w:val="00BC4F60"/>
    <w:rsid w:val="00BC6A06"/>
    <w:rsid w:val="00BD137C"/>
    <w:rsid w:val="00BD5748"/>
    <w:rsid w:val="00BD7239"/>
    <w:rsid w:val="00BD7469"/>
    <w:rsid w:val="00BE0F28"/>
    <w:rsid w:val="00BE16D2"/>
    <w:rsid w:val="00BE3BC7"/>
    <w:rsid w:val="00BE4B19"/>
    <w:rsid w:val="00BE54A1"/>
    <w:rsid w:val="00BE6C9D"/>
    <w:rsid w:val="00BF13CE"/>
    <w:rsid w:val="00BF1AB7"/>
    <w:rsid w:val="00BF7FE9"/>
    <w:rsid w:val="00C03596"/>
    <w:rsid w:val="00C05471"/>
    <w:rsid w:val="00C05EEC"/>
    <w:rsid w:val="00C11D36"/>
    <w:rsid w:val="00C15A13"/>
    <w:rsid w:val="00C238D9"/>
    <w:rsid w:val="00C24A9D"/>
    <w:rsid w:val="00C259B0"/>
    <w:rsid w:val="00C2677E"/>
    <w:rsid w:val="00C31542"/>
    <w:rsid w:val="00C46747"/>
    <w:rsid w:val="00C6078D"/>
    <w:rsid w:val="00C61D35"/>
    <w:rsid w:val="00C6366F"/>
    <w:rsid w:val="00C638AE"/>
    <w:rsid w:val="00C64686"/>
    <w:rsid w:val="00C657CF"/>
    <w:rsid w:val="00C7613E"/>
    <w:rsid w:val="00C77125"/>
    <w:rsid w:val="00C80D62"/>
    <w:rsid w:val="00C8388B"/>
    <w:rsid w:val="00C84944"/>
    <w:rsid w:val="00C85251"/>
    <w:rsid w:val="00C90077"/>
    <w:rsid w:val="00C90C6B"/>
    <w:rsid w:val="00C91944"/>
    <w:rsid w:val="00C91B56"/>
    <w:rsid w:val="00C961CD"/>
    <w:rsid w:val="00C96BFD"/>
    <w:rsid w:val="00C96C98"/>
    <w:rsid w:val="00C96CE4"/>
    <w:rsid w:val="00C9760B"/>
    <w:rsid w:val="00CA5358"/>
    <w:rsid w:val="00CA706B"/>
    <w:rsid w:val="00CA7F8E"/>
    <w:rsid w:val="00CB0B0B"/>
    <w:rsid w:val="00CB1DCA"/>
    <w:rsid w:val="00CB464D"/>
    <w:rsid w:val="00CB58D8"/>
    <w:rsid w:val="00CB72A0"/>
    <w:rsid w:val="00CC0B6A"/>
    <w:rsid w:val="00CC27E7"/>
    <w:rsid w:val="00CC327E"/>
    <w:rsid w:val="00CC331A"/>
    <w:rsid w:val="00CC5111"/>
    <w:rsid w:val="00CD270F"/>
    <w:rsid w:val="00CD3D92"/>
    <w:rsid w:val="00CD502A"/>
    <w:rsid w:val="00CD5345"/>
    <w:rsid w:val="00CD5D2F"/>
    <w:rsid w:val="00CD64A6"/>
    <w:rsid w:val="00CF12CF"/>
    <w:rsid w:val="00CF40AE"/>
    <w:rsid w:val="00CF4BE3"/>
    <w:rsid w:val="00D00149"/>
    <w:rsid w:val="00D0277D"/>
    <w:rsid w:val="00D035E9"/>
    <w:rsid w:val="00D03FEA"/>
    <w:rsid w:val="00D05F94"/>
    <w:rsid w:val="00D060D2"/>
    <w:rsid w:val="00D06B16"/>
    <w:rsid w:val="00D13E2D"/>
    <w:rsid w:val="00D14394"/>
    <w:rsid w:val="00D22CAE"/>
    <w:rsid w:val="00D242CD"/>
    <w:rsid w:val="00D3057C"/>
    <w:rsid w:val="00D309B3"/>
    <w:rsid w:val="00D33F9B"/>
    <w:rsid w:val="00D341C3"/>
    <w:rsid w:val="00D42843"/>
    <w:rsid w:val="00D436A6"/>
    <w:rsid w:val="00D43CD9"/>
    <w:rsid w:val="00D43DB4"/>
    <w:rsid w:val="00D44D94"/>
    <w:rsid w:val="00D50B6E"/>
    <w:rsid w:val="00D5152A"/>
    <w:rsid w:val="00D553B3"/>
    <w:rsid w:val="00D632F7"/>
    <w:rsid w:val="00D65145"/>
    <w:rsid w:val="00D670F9"/>
    <w:rsid w:val="00D715D2"/>
    <w:rsid w:val="00D71D29"/>
    <w:rsid w:val="00D732E4"/>
    <w:rsid w:val="00D74314"/>
    <w:rsid w:val="00D81410"/>
    <w:rsid w:val="00D87544"/>
    <w:rsid w:val="00D90C46"/>
    <w:rsid w:val="00D92505"/>
    <w:rsid w:val="00DA267C"/>
    <w:rsid w:val="00DA3688"/>
    <w:rsid w:val="00DA3B42"/>
    <w:rsid w:val="00DA414F"/>
    <w:rsid w:val="00DA5101"/>
    <w:rsid w:val="00DA75F1"/>
    <w:rsid w:val="00DA79EF"/>
    <w:rsid w:val="00DB0C0B"/>
    <w:rsid w:val="00DB3A96"/>
    <w:rsid w:val="00DB3B74"/>
    <w:rsid w:val="00DB650E"/>
    <w:rsid w:val="00DB756B"/>
    <w:rsid w:val="00DC0B09"/>
    <w:rsid w:val="00DC0B6C"/>
    <w:rsid w:val="00DC1D99"/>
    <w:rsid w:val="00DC5870"/>
    <w:rsid w:val="00DD0384"/>
    <w:rsid w:val="00DD0901"/>
    <w:rsid w:val="00DD26EE"/>
    <w:rsid w:val="00DD7902"/>
    <w:rsid w:val="00DD7F01"/>
    <w:rsid w:val="00DE16B6"/>
    <w:rsid w:val="00DE3323"/>
    <w:rsid w:val="00DE36CA"/>
    <w:rsid w:val="00DE58BC"/>
    <w:rsid w:val="00DE7E63"/>
    <w:rsid w:val="00DF3CF1"/>
    <w:rsid w:val="00DF77A2"/>
    <w:rsid w:val="00E03CE1"/>
    <w:rsid w:val="00E04493"/>
    <w:rsid w:val="00E056C1"/>
    <w:rsid w:val="00E121BA"/>
    <w:rsid w:val="00E367C5"/>
    <w:rsid w:val="00E37E71"/>
    <w:rsid w:val="00E42486"/>
    <w:rsid w:val="00E42847"/>
    <w:rsid w:val="00E441E9"/>
    <w:rsid w:val="00E46064"/>
    <w:rsid w:val="00E51D00"/>
    <w:rsid w:val="00E52276"/>
    <w:rsid w:val="00E53294"/>
    <w:rsid w:val="00E551B7"/>
    <w:rsid w:val="00E604A1"/>
    <w:rsid w:val="00E71BC2"/>
    <w:rsid w:val="00E7311C"/>
    <w:rsid w:val="00E73AA8"/>
    <w:rsid w:val="00E7423B"/>
    <w:rsid w:val="00E80228"/>
    <w:rsid w:val="00E83B44"/>
    <w:rsid w:val="00E844CD"/>
    <w:rsid w:val="00E86D2A"/>
    <w:rsid w:val="00E92EBF"/>
    <w:rsid w:val="00E93881"/>
    <w:rsid w:val="00E93955"/>
    <w:rsid w:val="00E957C7"/>
    <w:rsid w:val="00EA0E56"/>
    <w:rsid w:val="00EA2ED4"/>
    <w:rsid w:val="00EA3C3C"/>
    <w:rsid w:val="00EA491A"/>
    <w:rsid w:val="00EB1583"/>
    <w:rsid w:val="00EB23CB"/>
    <w:rsid w:val="00EB3775"/>
    <w:rsid w:val="00EB53A0"/>
    <w:rsid w:val="00EB54A9"/>
    <w:rsid w:val="00EB70FB"/>
    <w:rsid w:val="00EB7E2A"/>
    <w:rsid w:val="00EC23FB"/>
    <w:rsid w:val="00EC368F"/>
    <w:rsid w:val="00EC6893"/>
    <w:rsid w:val="00EC7A35"/>
    <w:rsid w:val="00ED503E"/>
    <w:rsid w:val="00ED6C9D"/>
    <w:rsid w:val="00ED7681"/>
    <w:rsid w:val="00EE243C"/>
    <w:rsid w:val="00EE25EA"/>
    <w:rsid w:val="00EE2C9F"/>
    <w:rsid w:val="00EE3274"/>
    <w:rsid w:val="00EE3D61"/>
    <w:rsid w:val="00EE6F4A"/>
    <w:rsid w:val="00EF0136"/>
    <w:rsid w:val="00EF09FB"/>
    <w:rsid w:val="00EF1C28"/>
    <w:rsid w:val="00EF234E"/>
    <w:rsid w:val="00EF3A4E"/>
    <w:rsid w:val="00EF63C6"/>
    <w:rsid w:val="00EF76A3"/>
    <w:rsid w:val="00F034FB"/>
    <w:rsid w:val="00F05606"/>
    <w:rsid w:val="00F102FD"/>
    <w:rsid w:val="00F105F5"/>
    <w:rsid w:val="00F1075A"/>
    <w:rsid w:val="00F11059"/>
    <w:rsid w:val="00F113DC"/>
    <w:rsid w:val="00F14FBD"/>
    <w:rsid w:val="00F210B6"/>
    <w:rsid w:val="00F22E82"/>
    <w:rsid w:val="00F2483A"/>
    <w:rsid w:val="00F24D58"/>
    <w:rsid w:val="00F31E91"/>
    <w:rsid w:val="00F33544"/>
    <w:rsid w:val="00F33738"/>
    <w:rsid w:val="00F337BF"/>
    <w:rsid w:val="00F33D14"/>
    <w:rsid w:val="00F361A0"/>
    <w:rsid w:val="00F41016"/>
    <w:rsid w:val="00F43F38"/>
    <w:rsid w:val="00F444E8"/>
    <w:rsid w:val="00F4500C"/>
    <w:rsid w:val="00F473B6"/>
    <w:rsid w:val="00F528CC"/>
    <w:rsid w:val="00F52E57"/>
    <w:rsid w:val="00F53198"/>
    <w:rsid w:val="00F53E06"/>
    <w:rsid w:val="00F54188"/>
    <w:rsid w:val="00F54CC0"/>
    <w:rsid w:val="00F55D69"/>
    <w:rsid w:val="00F570D6"/>
    <w:rsid w:val="00F573BB"/>
    <w:rsid w:val="00F5766A"/>
    <w:rsid w:val="00F639A0"/>
    <w:rsid w:val="00F64CD9"/>
    <w:rsid w:val="00F65648"/>
    <w:rsid w:val="00F71371"/>
    <w:rsid w:val="00F71B19"/>
    <w:rsid w:val="00F721C0"/>
    <w:rsid w:val="00F727A5"/>
    <w:rsid w:val="00F73251"/>
    <w:rsid w:val="00F76124"/>
    <w:rsid w:val="00F827D7"/>
    <w:rsid w:val="00F847A9"/>
    <w:rsid w:val="00F855B6"/>
    <w:rsid w:val="00F86809"/>
    <w:rsid w:val="00F909FB"/>
    <w:rsid w:val="00F95904"/>
    <w:rsid w:val="00FA5FE9"/>
    <w:rsid w:val="00FA67D2"/>
    <w:rsid w:val="00FA6AD9"/>
    <w:rsid w:val="00FB0E14"/>
    <w:rsid w:val="00FB302F"/>
    <w:rsid w:val="00FB35F1"/>
    <w:rsid w:val="00FB5A92"/>
    <w:rsid w:val="00FC16F1"/>
    <w:rsid w:val="00FC190B"/>
    <w:rsid w:val="00FC1C69"/>
    <w:rsid w:val="00FC2BC5"/>
    <w:rsid w:val="00FC3739"/>
    <w:rsid w:val="00FC4267"/>
    <w:rsid w:val="00FC5AA5"/>
    <w:rsid w:val="00FC6D11"/>
    <w:rsid w:val="00FC71B7"/>
    <w:rsid w:val="00FE12DF"/>
    <w:rsid w:val="00FE2264"/>
    <w:rsid w:val="00FE2B4F"/>
    <w:rsid w:val="00FE4194"/>
    <w:rsid w:val="00FE5599"/>
    <w:rsid w:val="00FE571C"/>
    <w:rsid w:val="00FE5968"/>
    <w:rsid w:val="00FE5AD9"/>
    <w:rsid w:val="00FE64CE"/>
    <w:rsid w:val="00FE7A33"/>
    <w:rsid w:val="00FE7F5D"/>
    <w:rsid w:val="00FF3B1F"/>
    <w:rsid w:val="00FF48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6"/>
    <w:pPr>
      <w:keepLines/>
    </w:pPr>
    <w:rPr>
      <w:rFonts w:eastAsiaTheme="minorHAnsi"/>
      <w:lang w:eastAsia="en-US"/>
    </w:rPr>
  </w:style>
  <w:style w:type="paragraph" w:styleId="Heading1">
    <w:name w:val="heading 1"/>
    <w:basedOn w:val="Normal"/>
    <w:next w:val="Numberedpara3level1"/>
    <w:link w:val="Heading1Char"/>
    <w:qFormat/>
    <w:rsid w:val="003E54D4"/>
    <w:pPr>
      <w:keepNext/>
      <w:spacing w:before="240" w:after="120"/>
      <w:outlineLvl w:val="0"/>
    </w:pPr>
    <w:rPr>
      <w:b/>
      <w:sz w:val="28"/>
    </w:rPr>
  </w:style>
  <w:style w:type="paragraph" w:styleId="Heading2">
    <w:name w:val="heading 2"/>
    <w:basedOn w:val="Normal"/>
    <w:next w:val="Numberedpara3level1"/>
    <w:link w:val="Heading2Char"/>
    <w:qFormat/>
    <w:rsid w:val="00E52276"/>
    <w:pPr>
      <w:keepNext/>
      <w:spacing w:before="240" w:after="120"/>
      <w:outlineLvl w:val="1"/>
    </w:pPr>
    <w:rPr>
      <w:b/>
      <w:i/>
      <w:sz w:val="26"/>
    </w:rPr>
  </w:style>
  <w:style w:type="paragraph" w:styleId="Heading3">
    <w:name w:val="heading 3"/>
    <w:basedOn w:val="Normal"/>
    <w:next w:val="Normal"/>
    <w:link w:val="Heading3Char"/>
    <w:qFormat/>
    <w:rsid w:val="00E52276"/>
    <w:pPr>
      <w:keepNext/>
      <w:spacing w:before="240" w:after="120"/>
      <w:contextualSpacing/>
      <w:outlineLvl w:val="2"/>
    </w:pPr>
    <w:rPr>
      <w:rFonts w:cs="Arial"/>
      <w:bCs/>
      <w:i/>
      <w:sz w:val="26"/>
      <w:szCs w:val="26"/>
    </w:rPr>
  </w:style>
  <w:style w:type="paragraph" w:styleId="Heading4">
    <w:name w:val="heading 4"/>
    <w:basedOn w:val="Normal"/>
    <w:next w:val="Normal"/>
    <w:link w:val="Heading4Char"/>
    <w:semiHidden/>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E54D4"/>
    <w:rPr>
      <w:rFonts w:eastAsiaTheme="minorHAnsi"/>
      <w:b/>
      <w:sz w:val="28"/>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rsid w:val="00065F18"/>
    <w:pPr>
      <w:numPr>
        <w:numId w:val="14"/>
      </w:numPr>
      <w:outlineLvl w:val="5"/>
    </w:pPr>
  </w:style>
  <w:style w:type="paragraph" w:customStyle="1" w:styleId="Headingnumbered2">
    <w:name w:val="Heading numbered 2"/>
    <w:basedOn w:val="Heading2"/>
    <w:next w:val="Normal"/>
    <w:uiPriority w:val="1"/>
    <w:rsid w:val="00065F18"/>
    <w:pPr>
      <w:numPr>
        <w:ilvl w:val="1"/>
        <w:numId w:val="14"/>
      </w:numPr>
      <w:outlineLvl w:val="6"/>
    </w:pPr>
  </w:style>
  <w:style w:type="paragraph" w:customStyle="1" w:styleId="Headingnumbered3">
    <w:name w:val="Heading numbered 3"/>
    <w:basedOn w:val="Normal"/>
    <w:next w:val="Normal"/>
    <w:uiPriority w:val="1"/>
    <w:rsid w:val="00065F18"/>
    <w:pPr>
      <w:numPr>
        <w:ilvl w:val="2"/>
        <w:numId w:val="14"/>
      </w:numPr>
      <w:spacing w:before="360" w:after="120"/>
      <w:contextualSpacing/>
    </w:pPr>
    <w:rPr>
      <w:b/>
      <w:color w:val="1F546B"/>
      <w:sz w:val="28"/>
    </w:rPr>
  </w:style>
  <w:style w:type="paragraph" w:customStyle="1" w:styleId="Headingnumbered4">
    <w:name w:val="Heading numbered 4"/>
    <w:basedOn w:val="Normal"/>
    <w:next w:val="Normal"/>
    <w:uiPriority w:val="1"/>
    <w:rsid w:val="00065F18"/>
    <w:pPr>
      <w:numPr>
        <w:ilvl w:val="3"/>
        <w:numId w:val="14"/>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unhideWhenUsed/>
    <w:rsid w:val="00065F18"/>
    <w:pPr>
      <w:numPr>
        <w:ilvl w:val="2"/>
        <w:numId w:val="24"/>
      </w:numPr>
      <w:spacing w:after="120"/>
    </w:pPr>
  </w:style>
  <w:style w:type="paragraph" w:customStyle="1" w:styleId="Numberedpara1level4i">
    <w:name w:val="Numbered para (1) level 4 (i)"/>
    <w:basedOn w:val="Normal"/>
    <w:semiHidden/>
    <w:unhideWhenUsed/>
    <w:rsid w:val="00065F18"/>
    <w:pPr>
      <w:numPr>
        <w:ilvl w:val="3"/>
        <w:numId w:val="24"/>
      </w:numPr>
      <w:spacing w:after="120"/>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aliases w:val="Footnote Text Char Char,Footnote Text Char2 Char Char,Footnote Text Char1 Char Char Char,Footnote Text Char Char Char Char Char,Footnote Text Char Char1 Char Char"/>
    <w:basedOn w:val="Normal"/>
    <w:link w:val="FootnoteTextChar"/>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37298A"/>
    <w:pPr>
      <w:tabs>
        <w:tab w:val="right" w:leader="dot" w:pos="9072"/>
      </w:tabs>
      <w:spacing w:before="200" w:after="60"/>
      <w:ind w:right="567"/>
    </w:pPr>
    <w:rPr>
      <w:color w:val="000000" w:themeColor="text1"/>
    </w:rPr>
  </w:style>
  <w:style w:type="paragraph" w:styleId="TOC2">
    <w:name w:val="toc 2"/>
    <w:basedOn w:val="Normal"/>
    <w:next w:val="Normal"/>
    <w:uiPriority w:val="39"/>
    <w:rsid w:val="00473E2F"/>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52276"/>
    <w:rPr>
      <w:rFonts w:eastAsiaTheme="minorHAnsi"/>
      <w:b/>
      <w:i/>
      <w:sz w:val="26"/>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264E9B"/>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662410"/>
    <w:pPr>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1D5EC0"/>
    <w:pPr>
      <w:pageBreakBefore/>
      <w:numPr>
        <w:numId w:val="19"/>
      </w:numPr>
      <w:tabs>
        <w:tab w:val="left" w:pos="2268"/>
      </w:tabs>
      <w:spacing w:before="0"/>
      <w:outlineLvl w:val="7"/>
    </w:pPr>
    <w:rPr>
      <w:color w:val="000000" w:themeColor="text1"/>
    </w:rPr>
  </w:style>
  <w:style w:type="paragraph" w:customStyle="1" w:styleId="NotforContentsheading1">
    <w:name w:val="Not for Contents heading 1"/>
    <w:basedOn w:val="Normal"/>
    <w:next w:val="Normal"/>
    <w:rsid w:val="008C2D6D"/>
    <w:pPr>
      <w:spacing w:before="400"/>
    </w:pPr>
    <w:rPr>
      <w:b/>
      <w:color w:val="000000" w:themeColor="text1"/>
      <w:sz w:val="48"/>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20"/>
      </w:numPr>
      <w:spacing w:before="80" w:after="80"/>
    </w:pPr>
  </w:style>
  <w:style w:type="paragraph" w:customStyle="1" w:styleId="NotforContentsheading2">
    <w:name w:val="Not for Contents heading 2"/>
    <w:basedOn w:val="Normal"/>
    <w:next w:val="Normal"/>
    <w:rsid w:val="00B84E9B"/>
    <w:pPr>
      <w:spacing w:after="120"/>
    </w:pPr>
    <w:rPr>
      <w:b/>
      <w:sz w:val="32"/>
    </w:rPr>
  </w:style>
  <w:style w:type="character" w:customStyle="1" w:styleId="Heading3Char">
    <w:name w:val="Heading 3 Char"/>
    <w:link w:val="Heading3"/>
    <w:rsid w:val="00E52276"/>
    <w:rPr>
      <w:rFonts w:eastAsiaTheme="minorHAnsi" w:cs="Arial"/>
      <w:bCs/>
      <w:i/>
      <w:sz w:val="26"/>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Bullet"/>
    <w:uiPriority w:val="34"/>
    <w:qFormat/>
    <w:rsid w:val="00065F18"/>
    <w:pPr>
      <w:numPr>
        <w:numId w:val="13"/>
      </w:numPr>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Footersecurityclassification">
    <w:name w:val="Footer security classification"/>
    <w:basedOn w:val="Footer"/>
    <w:qFormat/>
    <w:rsid w:val="001D5EC0"/>
    <w:rPr>
      <w:i w:val="0"/>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20"/>
      </w:numPr>
      <w:spacing w:before="80" w:after="80"/>
    </w:pPr>
  </w:style>
  <w:style w:type="paragraph" w:customStyle="1" w:styleId="List123level2">
    <w:name w:val="List 1 2 3 level 2"/>
    <w:basedOn w:val="Normal"/>
    <w:uiPriority w:val="1"/>
    <w:semiHidden/>
    <w:qFormat/>
    <w:rsid w:val="00065F18"/>
    <w:pPr>
      <w:numPr>
        <w:ilvl w:val="1"/>
        <w:numId w:val="21"/>
      </w:numPr>
    </w:pPr>
  </w:style>
  <w:style w:type="paragraph" w:customStyle="1" w:styleId="List123level3">
    <w:name w:val="List 1 2 3 level 3"/>
    <w:basedOn w:val="Normal"/>
    <w:uiPriority w:val="1"/>
    <w:semiHidden/>
    <w:qFormat/>
    <w:rsid w:val="00065F18"/>
    <w:pPr>
      <w:numPr>
        <w:ilvl w:val="2"/>
        <w:numId w:val="21"/>
      </w:numPr>
    </w:pPr>
  </w:style>
  <w:style w:type="paragraph" w:customStyle="1" w:styleId="Legislationsection">
    <w:name w:val="Legislation section"/>
    <w:basedOn w:val="Normal"/>
    <w:semiHidden/>
    <w:qFormat/>
    <w:rsid w:val="00065F18"/>
    <w:pPr>
      <w:numPr>
        <w:numId w:val="23"/>
      </w:numPr>
      <w:tabs>
        <w:tab w:val="left" w:pos="567"/>
      </w:tabs>
      <w:spacing w:after="60"/>
    </w:pPr>
    <w:rPr>
      <w:b/>
      <w:sz w:val="22"/>
    </w:rPr>
  </w:style>
  <w:style w:type="paragraph" w:customStyle="1" w:styleId="Legislationnumber">
    <w:name w:val="Legislation number"/>
    <w:basedOn w:val="Normal"/>
    <w:semiHidden/>
    <w:qFormat/>
    <w:rsid w:val="00065F18"/>
    <w:pPr>
      <w:numPr>
        <w:numId w:val="22"/>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3"/>
      </w:numPr>
      <w:spacing w:before="60" w:after="60"/>
    </w:pPr>
    <w:rPr>
      <w:sz w:val="22"/>
    </w:rPr>
  </w:style>
  <w:style w:type="paragraph" w:customStyle="1" w:styleId="Legislationi">
    <w:name w:val="Legislation (i)"/>
    <w:basedOn w:val="Normal"/>
    <w:semiHidden/>
    <w:qFormat/>
    <w:rsid w:val="00065F18"/>
    <w:pPr>
      <w:numPr>
        <w:ilvl w:val="3"/>
        <w:numId w:val="23"/>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level1">
    <w:name w:val="Numbered para (2) level 1"/>
    <w:basedOn w:val="Normal"/>
    <w:semiHidden/>
    <w:qFormat/>
    <w:rsid w:val="00065F18"/>
    <w:pPr>
      <w:numPr>
        <w:numId w:val="25"/>
      </w:numPr>
      <w:spacing w:after="120"/>
    </w:pPr>
  </w:style>
  <w:style w:type="paragraph" w:customStyle="1" w:styleId="Numberedpara2level2a">
    <w:name w:val="Numbered para (2) level 2 (a)"/>
    <w:basedOn w:val="Normal"/>
    <w:semiHidden/>
    <w:qFormat/>
    <w:rsid w:val="00065F18"/>
    <w:pPr>
      <w:numPr>
        <w:ilvl w:val="1"/>
        <w:numId w:val="25"/>
      </w:numPr>
      <w:spacing w:after="120"/>
    </w:pPr>
  </w:style>
  <w:style w:type="paragraph" w:customStyle="1" w:styleId="Numberedpara2level3i">
    <w:name w:val="Numbered para (2) level 3 (i)"/>
    <w:basedOn w:val="Normal"/>
    <w:semiHidden/>
    <w:qFormat/>
    <w:rsid w:val="00065F18"/>
    <w:pPr>
      <w:numPr>
        <w:ilvl w:val="2"/>
        <w:numId w:val="25"/>
      </w:numPr>
      <w:spacing w:after="120"/>
    </w:pPr>
  </w:style>
  <w:style w:type="paragraph" w:customStyle="1" w:styleId="Title2">
    <w:name w:val="Title 2"/>
    <w:basedOn w:val="Title"/>
    <w:semiHidden/>
    <w:qFormat/>
    <w:rsid w:val="00065F18"/>
    <w:rPr>
      <w:sz w:val="52"/>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Headersecurityclassification">
    <w:name w:val="Header security classification"/>
    <w:basedOn w:val="DefaultParagraphFont"/>
    <w:uiPriority w:val="1"/>
    <w:qFormat/>
    <w:rsid w:val="001D5EC0"/>
    <w:rPr>
      <w:rFonts w:ascii="Calibri" w:hAnsi="Calibri"/>
      <w:b/>
      <w:i w:val="0"/>
      <w:caps/>
      <w:smallCaps w:val="0"/>
      <w:color w:val="000000" w:themeColor="text1"/>
      <w:sz w:val="22"/>
    </w:rPr>
  </w:style>
  <w:style w:type="paragraph" w:customStyle="1" w:styleId="Numberedpara1level211">
    <w:name w:val="Numbered para (1) level 2 (1.1)"/>
    <w:basedOn w:val="Normal"/>
    <w:semiHidden/>
    <w:unhideWhenUsed/>
    <w:rsid w:val="00065F18"/>
    <w:pPr>
      <w:numPr>
        <w:ilvl w:val="1"/>
        <w:numId w:val="24"/>
      </w:numPr>
      <w:spacing w:after="120"/>
    </w:pPr>
  </w:style>
  <w:style w:type="paragraph" w:customStyle="1" w:styleId="Numberedpara11headingwithnumber">
    <w:name w:val="Numbered para (1) 1 (heading with number)"/>
    <w:basedOn w:val="Normal"/>
    <w:semiHidden/>
    <w:unhideWhenUsed/>
    <w:qFormat/>
    <w:rsid w:val="00065F18"/>
    <w:pPr>
      <w:numPr>
        <w:numId w:val="24"/>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FinancialtableLHC">
    <w:name w:val="Financial table LHC"/>
    <w:basedOn w:val="Normal"/>
    <w:semiHidden/>
    <w:qFormat/>
    <w:rsid w:val="00A5302B"/>
    <w:pPr>
      <w:spacing w:before="0" w:after="0"/>
      <w:contextualSpacing/>
    </w:pPr>
    <w:rPr>
      <w:sz w:val="22"/>
    </w:rPr>
  </w:style>
  <w:style w:type="paragraph" w:customStyle="1" w:styleId="Financialtablefigures">
    <w:name w:val="Financial table figures"/>
    <w:basedOn w:val="FinancialtableLHC"/>
    <w:semiHidden/>
    <w:qFormat/>
    <w:rsid w:val="00A5302B"/>
    <w:pPr>
      <w:jc w:val="right"/>
    </w:pPr>
  </w:style>
  <w:style w:type="paragraph" w:customStyle="1" w:styleId="Financialtableyears">
    <w:name w:val="Financial table years"/>
    <w:basedOn w:val="Financialtablefigures"/>
    <w:semiHidden/>
    <w:qFormat/>
    <w:rsid w:val="00A5302B"/>
    <w:pPr>
      <w:jc w:val="center"/>
    </w:pPr>
    <w:rPr>
      <w:b/>
      <w:sz w:val="20"/>
    </w:rPr>
  </w:style>
  <w:style w:type="paragraph" w:customStyle="1" w:styleId="Tablesource">
    <w:name w:val="Table source"/>
    <w:basedOn w:val="Normal"/>
    <w:qFormat/>
    <w:rsid w:val="00662410"/>
    <w:pPr>
      <w:spacing w:before="80" w:after="120"/>
      <w:ind w:left="567"/>
    </w:pPr>
    <w:rPr>
      <w:sz w:val="22"/>
    </w:rPr>
  </w:style>
  <w:style w:type="paragraph" w:customStyle="1" w:styleId="Numberedpara3subheading">
    <w:name w:val="Numbered para (3) subheading"/>
    <w:basedOn w:val="Normal"/>
    <w:next w:val="Normal"/>
    <w:semiHidden/>
    <w:qFormat/>
    <w:rsid w:val="0088686D"/>
    <w:pPr>
      <w:spacing w:before="240" w:after="120"/>
    </w:pPr>
    <w:rPr>
      <w:b/>
      <w:i/>
    </w:rPr>
  </w:style>
  <w:style w:type="paragraph" w:customStyle="1" w:styleId="Numberedpara3level1">
    <w:name w:val="Numbered para (3) level 1"/>
    <w:basedOn w:val="Normal"/>
    <w:qFormat/>
    <w:rsid w:val="0088686D"/>
    <w:pPr>
      <w:numPr>
        <w:numId w:val="26"/>
      </w:numPr>
      <w:spacing w:after="120"/>
    </w:pPr>
  </w:style>
  <w:style w:type="paragraph" w:customStyle="1" w:styleId="Numberedpara3level211">
    <w:name w:val="Numbered para (3) level 2 (1.1)"/>
    <w:basedOn w:val="Normal"/>
    <w:qFormat/>
    <w:rsid w:val="001B69C8"/>
  </w:style>
  <w:style w:type="paragraph" w:customStyle="1" w:styleId="Numberedpara3heading">
    <w:name w:val="Numbered para (3) heading"/>
    <w:basedOn w:val="Normal"/>
    <w:semiHidden/>
    <w:qFormat/>
    <w:rsid w:val="0088686D"/>
    <w:pPr>
      <w:keepNext/>
      <w:spacing w:before="200" w:after="120"/>
    </w:pPr>
    <w:rPr>
      <w:b/>
    </w:rPr>
  </w:style>
  <w:style w:type="table" w:customStyle="1" w:styleId="RIS">
    <w:name w:val="__RIS"/>
    <w:basedOn w:val="TableNormal"/>
    <w:uiPriority w:val="99"/>
    <w:rsid w:val="00FB0E14"/>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customStyle="1" w:styleId="Crossreferences">
    <w:name w:val="Cross references"/>
    <w:basedOn w:val="DefaultParagraphFont"/>
    <w:uiPriority w:val="1"/>
    <w:qFormat/>
    <w:rsid w:val="00E52276"/>
    <w:rPr>
      <w:i/>
      <w:u w:val="single"/>
    </w:rPr>
  </w:style>
  <w:style w:type="table" w:customStyle="1" w:styleId="DIATable">
    <w:name w:val="_DIA Table"/>
    <w:basedOn w:val="TableNormal"/>
    <w:uiPriority w:val="99"/>
    <w:rsid w:val="0004537D"/>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CommentText">
    <w:name w:val="annotation text"/>
    <w:basedOn w:val="Normal"/>
    <w:link w:val="CommentTextChar"/>
    <w:uiPriority w:val="99"/>
    <w:semiHidden/>
    <w:unhideWhenUsed/>
    <w:rsid w:val="007718EC"/>
    <w:rPr>
      <w:sz w:val="20"/>
      <w:szCs w:val="20"/>
    </w:rPr>
  </w:style>
  <w:style w:type="character" w:customStyle="1" w:styleId="CommentTextChar">
    <w:name w:val="Comment Text Char"/>
    <w:basedOn w:val="DefaultParagraphFont"/>
    <w:link w:val="CommentText"/>
    <w:uiPriority w:val="99"/>
    <w:semiHidden/>
    <w:rsid w:val="007718E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A3B42"/>
    <w:rPr>
      <w:b/>
      <w:bCs/>
    </w:rPr>
  </w:style>
  <w:style w:type="character" w:customStyle="1" w:styleId="CommentSubjectChar">
    <w:name w:val="Comment Subject Char"/>
    <w:basedOn w:val="CommentTextChar"/>
    <w:link w:val="CommentSubject"/>
    <w:uiPriority w:val="99"/>
    <w:semiHidden/>
    <w:rsid w:val="00DA3B42"/>
    <w:rPr>
      <w:rFonts w:eastAsiaTheme="minorHAnsi"/>
      <w:b/>
      <w:bCs/>
      <w:sz w:val="20"/>
      <w:szCs w:val="20"/>
      <w:lang w:eastAsia="en-US"/>
    </w:rPr>
  </w:style>
  <w:style w:type="paragraph" w:customStyle="1" w:styleId="Briefingtext">
    <w:name w:val="Briefing text"/>
    <w:basedOn w:val="Normal"/>
    <w:rsid w:val="007E0D4A"/>
    <w:pPr>
      <w:keepLines w:val="0"/>
      <w:numPr>
        <w:numId w:val="27"/>
      </w:numPr>
      <w:tabs>
        <w:tab w:val="left" w:pos="567"/>
      </w:tabs>
      <w:spacing w:before="0" w:after="120"/>
    </w:pPr>
    <w:rPr>
      <w:rFonts w:ascii="Arial Mäori" w:eastAsia="Times New Roman" w:hAnsi="Arial Mäori"/>
      <w:sz w:val="22"/>
    </w:rPr>
  </w:style>
  <w:style w:type="table" w:customStyle="1" w:styleId="DIAplaintable">
    <w:name w:val="DIA plain table"/>
    <w:basedOn w:val="TableNormal"/>
    <w:uiPriority w:val="99"/>
    <w:rsid w:val="00955C76"/>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character" w:customStyle="1" w:styleId="FootnoteTextChar">
    <w:name w:val="Footnote Text Char"/>
    <w:aliases w:val="Footnote Text Char Char Char,Footnote Text Char2 Char Char Char,Footnote Text Char1 Char Char Char Char,Footnote Text Char Char Char Char Char Char,Footnote Text Char Char1 Char Char Char"/>
    <w:basedOn w:val="DefaultParagraphFont"/>
    <w:link w:val="FootnoteText"/>
    <w:semiHidden/>
    <w:locked/>
    <w:rsid w:val="00BA6A9C"/>
    <w:rPr>
      <w:rFonts w:eastAsiaTheme="minorHAnsi"/>
      <w:sz w:val="20"/>
      <w:szCs w:val="20"/>
      <w:lang w:eastAsia="en-US"/>
    </w:rPr>
  </w:style>
  <w:style w:type="paragraph" w:styleId="Quote">
    <w:name w:val="Quote"/>
    <w:basedOn w:val="Normal"/>
    <w:next w:val="Normal"/>
    <w:link w:val="QuoteChar"/>
    <w:uiPriority w:val="99"/>
    <w:rsid w:val="00B00A5E"/>
    <w:rPr>
      <w:i/>
      <w:iCs/>
      <w:color w:val="000000" w:themeColor="text1"/>
    </w:rPr>
  </w:style>
  <w:style w:type="character" w:customStyle="1" w:styleId="QuoteChar">
    <w:name w:val="Quote Char"/>
    <w:basedOn w:val="DefaultParagraphFont"/>
    <w:link w:val="Quote"/>
    <w:uiPriority w:val="99"/>
    <w:rsid w:val="00B00A5E"/>
    <w:rPr>
      <w:rFonts w:eastAsiaTheme="minorHAnsi"/>
      <w:i/>
      <w:i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6"/>
    <w:pPr>
      <w:keepLines/>
    </w:pPr>
    <w:rPr>
      <w:rFonts w:eastAsiaTheme="minorHAnsi"/>
      <w:lang w:eastAsia="en-US"/>
    </w:rPr>
  </w:style>
  <w:style w:type="paragraph" w:styleId="Heading1">
    <w:name w:val="heading 1"/>
    <w:basedOn w:val="Normal"/>
    <w:next w:val="Numberedpara3level1"/>
    <w:link w:val="Heading1Char"/>
    <w:qFormat/>
    <w:rsid w:val="003E54D4"/>
    <w:pPr>
      <w:keepNext/>
      <w:spacing w:before="240" w:after="120"/>
      <w:outlineLvl w:val="0"/>
    </w:pPr>
    <w:rPr>
      <w:b/>
      <w:sz w:val="28"/>
    </w:rPr>
  </w:style>
  <w:style w:type="paragraph" w:styleId="Heading2">
    <w:name w:val="heading 2"/>
    <w:basedOn w:val="Normal"/>
    <w:next w:val="Numberedpara3level1"/>
    <w:link w:val="Heading2Char"/>
    <w:qFormat/>
    <w:rsid w:val="00E52276"/>
    <w:pPr>
      <w:keepNext/>
      <w:spacing w:before="240" w:after="120"/>
      <w:outlineLvl w:val="1"/>
    </w:pPr>
    <w:rPr>
      <w:b/>
      <w:i/>
      <w:sz w:val="26"/>
    </w:rPr>
  </w:style>
  <w:style w:type="paragraph" w:styleId="Heading3">
    <w:name w:val="heading 3"/>
    <w:basedOn w:val="Normal"/>
    <w:next w:val="Normal"/>
    <w:link w:val="Heading3Char"/>
    <w:qFormat/>
    <w:rsid w:val="00E52276"/>
    <w:pPr>
      <w:keepNext/>
      <w:spacing w:before="240" w:after="120"/>
      <w:contextualSpacing/>
      <w:outlineLvl w:val="2"/>
    </w:pPr>
    <w:rPr>
      <w:rFonts w:cs="Arial"/>
      <w:bCs/>
      <w:i/>
      <w:sz w:val="26"/>
      <w:szCs w:val="26"/>
    </w:rPr>
  </w:style>
  <w:style w:type="paragraph" w:styleId="Heading4">
    <w:name w:val="heading 4"/>
    <w:basedOn w:val="Normal"/>
    <w:next w:val="Normal"/>
    <w:link w:val="Heading4Char"/>
    <w:semiHidden/>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E54D4"/>
    <w:rPr>
      <w:rFonts w:eastAsiaTheme="minorHAnsi"/>
      <w:b/>
      <w:sz w:val="28"/>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rsid w:val="00065F18"/>
    <w:pPr>
      <w:numPr>
        <w:numId w:val="14"/>
      </w:numPr>
      <w:outlineLvl w:val="5"/>
    </w:pPr>
  </w:style>
  <w:style w:type="paragraph" w:customStyle="1" w:styleId="Headingnumbered2">
    <w:name w:val="Heading numbered 2"/>
    <w:basedOn w:val="Heading2"/>
    <w:next w:val="Normal"/>
    <w:uiPriority w:val="1"/>
    <w:rsid w:val="00065F18"/>
    <w:pPr>
      <w:numPr>
        <w:ilvl w:val="1"/>
        <w:numId w:val="14"/>
      </w:numPr>
      <w:outlineLvl w:val="6"/>
    </w:pPr>
  </w:style>
  <w:style w:type="paragraph" w:customStyle="1" w:styleId="Headingnumbered3">
    <w:name w:val="Heading numbered 3"/>
    <w:basedOn w:val="Normal"/>
    <w:next w:val="Normal"/>
    <w:uiPriority w:val="1"/>
    <w:rsid w:val="00065F18"/>
    <w:pPr>
      <w:numPr>
        <w:ilvl w:val="2"/>
        <w:numId w:val="14"/>
      </w:numPr>
      <w:spacing w:before="360" w:after="120"/>
      <w:contextualSpacing/>
    </w:pPr>
    <w:rPr>
      <w:b/>
      <w:color w:val="1F546B"/>
      <w:sz w:val="28"/>
    </w:rPr>
  </w:style>
  <w:style w:type="paragraph" w:customStyle="1" w:styleId="Headingnumbered4">
    <w:name w:val="Heading numbered 4"/>
    <w:basedOn w:val="Normal"/>
    <w:next w:val="Normal"/>
    <w:uiPriority w:val="1"/>
    <w:rsid w:val="00065F18"/>
    <w:pPr>
      <w:numPr>
        <w:ilvl w:val="3"/>
        <w:numId w:val="14"/>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unhideWhenUsed/>
    <w:rsid w:val="00065F18"/>
    <w:pPr>
      <w:numPr>
        <w:ilvl w:val="2"/>
        <w:numId w:val="24"/>
      </w:numPr>
      <w:spacing w:after="120"/>
    </w:pPr>
  </w:style>
  <w:style w:type="paragraph" w:customStyle="1" w:styleId="Numberedpara1level4i">
    <w:name w:val="Numbered para (1) level 4 (i)"/>
    <w:basedOn w:val="Normal"/>
    <w:semiHidden/>
    <w:unhideWhenUsed/>
    <w:rsid w:val="00065F18"/>
    <w:pPr>
      <w:numPr>
        <w:ilvl w:val="3"/>
        <w:numId w:val="24"/>
      </w:numPr>
      <w:spacing w:after="120"/>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aliases w:val="Footnote Text Char Char,Footnote Text Char2 Char Char,Footnote Text Char1 Char Char Char,Footnote Text Char Char Char Char Char,Footnote Text Char Char1 Char Char"/>
    <w:basedOn w:val="Normal"/>
    <w:link w:val="FootnoteTextChar"/>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37298A"/>
    <w:pPr>
      <w:tabs>
        <w:tab w:val="right" w:leader="dot" w:pos="9072"/>
      </w:tabs>
      <w:spacing w:before="200" w:after="60"/>
      <w:ind w:right="567"/>
    </w:pPr>
    <w:rPr>
      <w:color w:val="000000" w:themeColor="text1"/>
    </w:rPr>
  </w:style>
  <w:style w:type="paragraph" w:styleId="TOC2">
    <w:name w:val="toc 2"/>
    <w:basedOn w:val="Normal"/>
    <w:next w:val="Normal"/>
    <w:uiPriority w:val="39"/>
    <w:rsid w:val="00473E2F"/>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52276"/>
    <w:rPr>
      <w:rFonts w:eastAsiaTheme="minorHAnsi"/>
      <w:b/>
      <w:i/>
      <w:sz w:val="26"/>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264E9B"/>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662410"/>
    <w:pPr>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1D5EC0"/>
    <w:pPr>
      <w:pageBreakBefore/>
      <w:numPr>
        <w:numId w:val="19"/>
      </w:numPr>
      <w:tabs>
        <w:tab w:val="left" w:pos="2268"/>
      </w:tabs>
      <w:spacing w:before="0"/>
      <w:outlineLvl w:val="7"/>
    </w:pPr>
    <w:rPr>
      <w:color w:val="000000" w:themeColor="text1"/>
    </w:rPr>
  </w:style>
  <w:style w:type="paragraph" w:customStyle="1" w:styleId="NotforContentsheading1">
    <w:name w:val="Not for Contents heading 1"/>
    <w:basedOn w:val="Normal"/>
    <w:next w:val="Normal"/>
    <w:rsid w:val="008C2D6D"/>
    <w:pPr>
      <w:spacing w:before="400"/>
    </w:pPr>
    <w:rPr>
      <w:b/>
      <w:color w:val="000000" w:themeColor="text1"/>
      <w:sz w:val="48"/>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20"/>
      </w:numPr>
      <w:spacing w:before="80" w:after="80"/>
    </w:pPr>
  </w:style>
  <w:style w:type="paragraph" w:customStyle="1" w:styleId="NotforContentsheading2">
    <w:name w:val="Not for Contents heading 2"/>
    <w:basedOn w:val="Normal"/>
    <w:next w:val="Normal"/>
    <w:rsid w:val="00B84E9B"/>
    <w:pPr>
      <w:spacing w:after="120"/>
    </w:pPr>
    <w:rPr>
      <w:b/>
      <w:sz w:val="32"/>
    </w:rPr>
  </w:style>
  <w:style w:type="character" w:customStyle="1" w:styleId="Heading3Char">
    <w:name w:val="Heading 3 Char"/>
    <w:link w:val="Heading3"/>
    <w:rsid w:val="00E52276"/>
    <w:rPr>
      <w:rFonts w:eastAsiaTheme="minorHAnsi" w:cs="Arial"/>
      <w:bCs/>
      <w:i/>
      <w:sz w:val="26"/>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Bullet"/>
    <w:uiPriority w:val="34"/>
    <w:qFormat/>
    <w:rsid w:val="00065F18"/>
    <w:pPr>
      <w:numPr>
        <w:numId w:val="13"/>
      </w:numPr>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Footersecurityclassification">
    <w:name w:val="Footer security classification"/>
    <w:basedOn w:val="Footer"/>
    <w:qFormat/>
    <w:rsid w:val="001D5EC0"/>
    <w:rPr>
      <w:i w:val="0"/>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20"/>
      </w:numPr>
      <w:spacing w:before="80" w:after="80"/>
    </w:pPr>
  </w:style>
  <w:style w:type="paragraph" w:customStyle="1" w:styleId="List123level2">
    <w:name w:val="List 1 2 3 level 2"/>
    <w:basedOn w:val="Normal"/>
    <w:uiPriority w:val="1"/>
    <w:semiHidden/>
    <w:qFormat/>
    <w:rsid w:val="00065F18"/>
    <w:pPr>
      <w:numPr>
        <w:ilvl w:val="1"/>
        <w:numId w:val="21"/>
      </w:numPr>
    </w:pPr>
  </w:style>
  <w:style w:type="paragraph" w:customStyle="1" w:styleId="List123level3">
    <w:name w:val="List 1 2 3 level 3"/>
    <w:basedOn w:val="Normal"/>
    <w:uiPriority w:val="1"/>
    <w:semiHidden/>
    <w:qFormat/>
    <w:rsid w:val="00065F18"/>
    <w:pPr>
      <w:numPr>
        <w:ilvl w:val="2"/>
        <w:numId w:val="21"/>
      </w:numPr>
    </w:pPr>
  </w:style>
  <w:style w:type="paragraph" w:customStyle="1" w:styleId="Legislationsection">
    <w:name w:val="Legislation section"/>
    <w:basedOn w:val="Normal"/>
    <w:semiHidden/>
    <w:qFormat/>
    <w:rsid w:val="00065F18"/>
    <w:pPr>
      <w:numPr>
        <w:numId w:val="23"/>
      </w:numPr>
      <w:tabs>
        <w:tab w:val="left" w:pos="567"/>
      </w:tabs>
      <w:spacing w:after="60"/>
    </w:pPr>
    <w:rPr>
      <w:b/>
      <w:sz w:val="22"/>
    </w:rPr>
  </w:style>
  <w:style w:type="paragraph" w:customStyle="1" w:styleId="Legislationnumber">
    <w:name w:val="Legislation number"/>
    <w:basedOn w:val="Normal"/>
    <w:semiHidden/>
    <w:qFormat/>
    <w:rsid w:val="00065F18"/>
    <w:pPr>
      <w:numPr>
        <w:numId w:val="22"/>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3"/>
      </w:numPr>
      <w:spacing w:before="60" w:after="60"/>
    </w:pPr>
    <w:rPr>
      <w:sz w:val="22"/>
    </w:rPr>
  </w:style>
  <w:style w:type="paragraph" w:customStyle="1" w:styleId="Legislationi">
    <w:name w:val="Legislation (i)"/>
    <w:basedOn w:val="Normal"/>
    <w:semiHidden/>
    <w:qFormat/>
    <w:rsid w:val="00065F18"/>
    <w:pPr>
      <w:numPr>
        <w:ilvl w:val="3"/>
        <w:numId w:val="23"/>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level1">
    <w:name w:val="Numbered para (2) level 1"/>
    <w:basedOn w:val="Normal"/>
    <w:semiHidden/>
    <w:qFormat/>
    <w:rsid w:val="00065F18"/>
    <w:pPr>
      <w:numPr>
        <w:numId w:val="25"/>
      </w:numPr>
      <w:spacing w:after="120"/>
    </w:pPr>
  </w:style>
  <w:style w:type="paragraph" w:customStyle="1" w:styleId="Numberedpara2level2a">
    <w:name w:val="Numbered para (2) level 2 (a)"/>
    <w:basedOn w:val="Normal"/>
    <w:semiHidden/>
    <w:qFormat/>
    <w:rsid w:val="00065F18"/>
    <w:pPr>
      <w:numPr>
        <w:ilvl w:val="1"/>
        <w:numId w:val="25"/>
      </w:numPr>
      <w:spacing w:after="120"/>
    </w:pPr>
  </w:style>
  <w:style w:type="paragraph" w:customStyle="1" w:styleId="Numberedpara2level3i">
    <w:name w:val="Numbered para (2) level 3 (i)"/>
    <w:basedOn w:val="Normal"/>
    <w:semiHidden/>
    <w:qFormat/>
    <w:rsid w:val="00065F18"/>
    <w:pPr>
      <w:numPr>
        <w:ilvl w:val="2"/>
        <w:numId w:val="25"/>
      </w:numPr>
      <w:spacing w:after="120"/>
    </w:pPr>
  </w:style>
  <w:style w:type="paragraph" w:customStyle="1" w:styleId="Title2">
    <w:name w:val="Title 2"/>
    <w:basedOn w:val="Title"/>
    <w:semiHidden/>
    <w:qFormat/>
    <w:rsid w:val="00065F18"/>
    <w:rPr>
      <w:sz w:val="52"/>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Headersecurityclassification">
    <w:name w:val="Header security classification"/>
    <w:basedOn w:val="DefaultParagraphFont"/>
    <w:uiPriority w:val="1"/>
    <w:qFormat/>
    <w:rsid w:val="001D5EC0"/>
    <w:rPr>
      <w:rFonts w:ascii="Calibri" w:hAnsi="Calibri"/>
      <w:b/>
      <w:i w:val="0"/>
      <w:caps/>
      <w:smallCaps w:val="0"/>
      <w:color w:val="000000" w:themeColor="text1"/>
      <w:sz w:val="22"/>
    </w:rPr>
  </w:style>
  <w:style w:type="paragraph" w:customStyle="1" w:styleId="Numberedpara1level211">
    <w:name w:val="Numbered para (1) level 2 (1.1)"/>
    <w:basedOn w:val="Normal"/>
    <w:semiHidden/>
    <w:unhideWhenUsed/>
    <w:rsid w:val="00065F18"/>
    <w:pPr>
      <w:numPr>
        <w:ilvl w:val="1"/>
        <w:numId w:val="24"/>
      </w:numPr>
      <w:spacing w:after="120"/>
    </w:pPr>
  </w:style>
  <w:style w:type="paragraph" w:customStyle="1" w:styleId="Numberedpara11headingwithnumber">
    <w:name w:val="Numbered para (1) 1 (heading with number)"/>
    <w:basedOn w:val="Normal"/>
    <w:semiHidden/>
    <w:unhideWhenUsed/>
    <w:qFormat/>
    <w:rsid w:val="00065F18"/>
    <w:pPr>
      <w:numPr>
        <w:numId w:val="24"/>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FinancialtableLHC">
    <w:name w:val="Financial table LHC"/>
    <w:basedOn w:val="Normal"/>
    <w:semiHidden/>
    <w:qFormat/>
    <w:rsid w:val="00A5302B"/>
    <w:pPr>
      <w:spacing w:before="0" w:after="0"/>
      <w:contextualSpacing/>
    </w:pPr>
    <w:rPr>
      <w:sz w:val="22"/>
    </w:rPr>
  </w:style>
  <w:style w:type="paragraph" w:customStyle="1" w:styleId="Financialtablefigures">
    <w:name w:val="Financial table figures"/>
    <w:basedOn w:val="FinancialtableLHC"/>
    <w:semiHidden/>
    <w:qFormat/>
    <w:rsid w:val="00A5302B"/>
    <w:pPr>
      <w:jc w:val="right"/>
    </w:pPr>
  </w:style>
  <w:style w:type="paragraph" w:customStyle="1" w:styleId="Financialtableyears">
    <w:name w:val="Financial table years"/>
    <w:basedOn w:val="Financialtablefigures"/>
    <w:semiHidden/>
    <w:qFormat/>
    <w:rsid w:val="00A5302B"/>
    <w:pPr>
      <w:jc w:val="center"/>
    </w:pPr>
    <w:rPr>
      <w:b/>
      <w:sz w:val="20"/>
    </w:rPr>
  </w:style>
  <w:style w:type="paragraph" w:customStyle="1" w:styleId="Tablesource">
    <w:name w:val="Table source"/>
    <w:basedOn w:val="Normal"/>
    <w:qFormat/>
    <w:rsid w:val="00662410"/>
    <w:pPr>
      <w:spacing w:before="80" w:after="120"/>
      <w:ind w:left="567"/>
    </w:pPr>
    <w:rPr>
      <w:sz w:val="22"/>
    </w:rPr>
  </w:style>
  <w:style w:type="paragraph" w:customStyle="1" w:styleId="Numberedpara3subheading">
    <w:name w:val="Numbered para (3) subheading"/>
    <w:basedOn w:val="Normal"/>
    <w:next w:val="Normal"/>
    <w:semiHidden/>
    <w:qFormat/>
    <w:rsid w:val="0088686D"/>
    <w:pPr>
      <w:spacing w:before="240" w:after="120"/>
    </w:pPr>
    <w:rPr>
      <w:b/>
      <w:i/>
    </w:rPr>
  </w:style>
  <w:style w:type="paragraph" w:customStyle="1" w:styleId="Numberedpara3level1">
    <w:name w:val="Numbered para (3) level 1"/>
    <w:basedOn w:val="Normal"/>
    <w:qFormat/>
    <w:rsid w:val="0088686D"/>
    <w:pPr>
      <w:numPr>
        <w:numId w:val="26"/>
      </w:numPr>
      <w:spacing w:after="120"/>
    </w:pPr>
  </w:style>
  <w:style w:type="paragraph" w:customStyle="1" w:styleId="Numberedpara3level211">
    <w:name w:val="Numbered para (3) level 2 (1.1)"/>
    <w:basedOn w:val="Normal"/>
    <w:qFormat/>
    <w:rsid w:val="001B69C8"/>
  </w:style>
  <w:style w:type="paragraph" w:customStyle="1" w:styleId="Numberedpara3heading">
    <w:name w:val="Numbered para (3) heading"/>
    <w:basedOn w:val="Normal"/>
    <w:semiHidden/>
    <w:qFormat/>
    <w:rsid w:val="0088686D"/>
    <w:pPr>
      <w:keepNext/>
      <w:spacing w:before="200" w:after="120"/>
    </w:pPr>
    <w:rPr>
      <w:b/>
    </w:rPr>
  </w:style>
  <w:style w:type="table" w:customStyle="1" w:styleId="RIS">
    <w:name w:val="__RIS"/>
    <w:basedOn w:val="TableNormal"/>
    <w:uiPriority w:val="99"/>
    <w:rsid w:val="00FB0E14"/>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customStyle="1" w:styleId="Crossreferences">
    <w:name w:val="Cross references"/>
    <w:basedOn w:val="DefaultParagraphFont"/>
    <w:uiPriority w:val="1"/>
    <w:qFormat/>
    <w:rsid w:val="00E52276"/>
    <w:rPr>
      <w:i/>
      <w:u w:val="single"/>
    </w:rPr>
  </w:style>
  <w:style w:type="table" w:customStyle="1" w:styleId="DIATable">
    <w:name w:val="_DIA Table"/>
    <w:basedOn w:val="TableNormal"/>
    <w:uiPriority w:val="99"/>
    <w:rsid w:val="0004537D"/>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styleId="CommentText">
    <w:name w:val="annotation text"/>
    <w:basedOn w:val="Normal"/>
    <w:link w:val="CommentTextChar"/>
    <w:uiPriority w:val="99"/>
    <w:semiHidden/>
    <w:unhideWhenUsed/>
    <w:rsid w:val="007718EC"/>
    <w:rPr>
      <w:sz w:val="20"/>
      <w:szCs w:val="20"/>
    </w:rPr>
  </w:style>
  <w:style w:type="character" w:customStyle="1" w:styleId="CommentTextChar">
    <w:name w:val="Comment Text Char"/>
    <w:basedOn w:val="DefaultParagraphFont"/>
    <w:link w:val="CommentText"/>
    <w:uiPriority w:val="99"/>
    <w:semiHidden/>
    <w:rsid w:val="007718E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A3B42"/>
    <w:rPr>
      <w:b/>
      <w:bCs/>
    </w:rPr>
  </w:style>
  <w:style w:type="character" w:customStyle="1" w:styleId="CommentSubjectChar">
    <w:name w:val="Comment Subject Char"/>
    <w:basedOn w:val="CommentTextChar"/>
    <w:link w:val="CommentSubject"/>
    <w:uiPriority w:val="99"/>
    <w:semiHidden/>
    <w:rsid w:val="00DA3B42"/>
    <w:rPr>
      <w:rFonts w:eastAsiaTheme="minorHAnsi"/>
      <w:b/>
      <w:bCs/>
      <w:sz w:val="20"/>
      <w:szCs w:val="20"/>
      <w:lang w:eastAsia="en-US"/>
    </w:rPr>
  </w:style>
  <w:style w:type="paragraph" w:customStyle="1" w:styleId="Briefingtext">
    <w:name w:val="Briefing text"/>
    <w:basedOn w:val="Normal"/>
    <w:rsid w:val="007E0D4A"/>
    <w:pPr>
      <w:keepLines w:val="0"/>
      <w:numPr>
        <w:numId w:val="27"/>
      </w:numPr>
      <w:tabs>
        <w:tab w:val="left" w:pos="567"/>
      </w:tabs>
      <w:spacing w:before="0" w:after="120"/>
    </w:pPr>
    <w:rPr>
      <w:rFonts w:ascii="Arial Mäori" w:eastAsia="Times New Roman" w:hAnsi="Arial Mäori"/>
      <w:sz w:val="22"/>
    </w:rPr>
  </w:style>
  <w:style w:type="table" w:customStyle="1" w:styleId="DIAplaintable">
    <w:name w:val="DIA plain table"/>
    <w:basedOn w:val="TableNormal"/>
    <w:uiPriority w:val="99"/>
    <w:rsid w:val="00955C76"/>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character" w:customStyle="1" w:styleId="FootnoteTextChar">
    <w:name w:val="Footnote Text Char"/>
    <w:aliases w:val="Footnote Text Char Char Char,Footnote Text Char2 Char Char Char,Footnote Text Char1 Char Char Char Char,Footnote Text Char Char Char Char Char Char,Footnote Text Char Char1 Char Char Char"/>
    <w:basedOn w:val="DefaultParagraphFont"/>
    <w:link w:val="FootnoteText"/>
    <w:semiHidden/>
    <w:locked/>
    <w:rsid w:val="00BA6A9C"/>
    <w:rPr>
      <w:rFonts w:eastAsiaTheme="minorHAnsi"/>
      <w:sz w:val="20"/>
      <w:szCs w:val="20"/>
      <w:lang w:eastAsia="en-US"/>
    </w:rPr>
  </w:style>
  <w:style w:type="paragraph" w:styleId="Quote">
    <w:name w:val="Quote"/>
    <w:basedOn w:val="Normal"/>
    <w:next w:val="Normal"/>
    <w:link w:val="QuoteChar"/>
    <w:uiPriority w:val="99"/>
    <w:rsid w:val="00B00A5E"/>
    <w:rPr>
      <w:i/>
      <w:iCs/>
      <w:color w:val="000000" w:themeColor="text1"/>
    </w:rPr>
  </w:style>
  <w:style w:type="character" w:customStyle="1" w:styleId="QuoteChar">
    <w:name w:val="Quote Char"/>
    <w:basedOn w:val="DefaultParagraphFont"/>
    <w:link w:val="Quote"/>
    <w:uiPriority w:val="99"/>
    <w:rsid w:val="00B00A5E"/>
    <w:rPr>
      <w:rFonts w:eastAsiaTheme="minorHAnsi"/>
      <w:i/>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6903">
      <w:bodyDiv w:val="1"/>
      <w:marLeft w:val="0"/>
      <w:marRight w:val="0"/>
      <w:marTop w:val="0"/>
      <w:marBottom w:val="0"/>
      <w:divBdr>
        <w:top w:val="none" w:sz="0" w:space="0" w:color="auto"/>
        <w:left w:val="none" w:sz="0" w:space="0" w:color="auto"/>
        <w:bottom w:val="none" w:sz="0" w:space="0" w:color="auto"/>
        <w:right w:val="none" w:sz="0" w:space="0" w:color="auto"/>
      </w:divBdr>
    </w:div>
    <w:div w:id="484855548">
      <w:bodyDiv w:val="1"/>
      <w:marLeft w:val="0"/>
      <w:marRight w:val="0"/>
      <w:marTop w:val="0"/>
      <w:marBottom w:val="0"/>
      <w:divBdr>
        <w:top w:val="none" w:sz="0" w:space="0" w:color="auto"/>
        <w:left w:val="none" w:sz="0" w:space="0" w:color="auto"/>
        <w:bottom w:val="none" w:sz="0" w:space="0" w:color="auto"/>
        <w:right w:val="none" w:sz="0" w:space="0" w:color="auto"/>
      </w:divBdr>
    </w:div>
    <w:div w:id="530218591">
      <w:bodyDiv w:val="1"/>
      <w:marLeft w:val="0"/>
      <w:marRight w:val="0"/>
      <w:marTop w:val="0"/>
      <w:marBottom w:val="0"/>
      <w:divBdr>
        <w:top w:val="none" w:sz="0" w:space="0" w:color="auto"/>
        <w:left w:val="none" w:sz="0" w:space="0" w:color="auto"/>
        <w:bottom w:val="none" w:sz="0" w:space="0" w:color="auto"/>
        <w:right w:val="none" w:sz="0" w:space="0" w:color="auto"/>
      </w:divBdr>
    </w:div>
    <w:div w:id="748161310">
      <w:bodyDiv w:val="1"/>
      <w:marLeft w:val="0"/>
      <w:marRight w:val="0"/>
      <w:marTop w:val="0"/>
      <w:marBottom w:val="0"/>
      <w:divBdr>
        <w:top w:val="none" w:sz="0" w:space="0" w:color="auto"/>
        <w:left w:val="none" w:sz="0" w:space="0" w:color="auto"/>
        <w:bottom w:val="none" w:sz="0" w:space="0" w:color="auto"/>
        <w:right w:val="none" w:sz="0" w:space="0" w:color="auto"/>
      </w:divBdr>
    </w:div>
    <w:div w:id="854425083">
      <w:bodyDiv w:val="1"/>
      <w:marLeft w:val="0"/>
      <w:marRight w:val="0"/>
      <w:marTop w:val="0"/>
      <w:marBottom w:val="0"/>
      <w:divBdr>
        <w:top w:val="none" w:sz="0" w:space="0" w:color="auto"/>
        <w:left w:val="none" w:sz="0" w:space="0" w:color="auto"/>
        <w:bottom w:val="none" w:sz="0" w:space="0" w:color="auto"/>
        <w:right w:val="none" w:sz="0" w:space="0" w:color="auto"/>
      </w:divBdr>
      <w:divsChild>
        <w:div w:id="549078406">
          <w:marLeft w:val="547"/>
          <w:marRight w:val="0"/>
          <w:marTop w:val="0"/>
          <w:marBottom w:val="0"/>
          <w:divBdr>
            <w:top w:val="none" w:sz="0" w:space="0" w:color="auto"/>
            <w:left w:val="none" w:sz="0" w:space="0" w:color="auto"/>
            <w:bottom w:val="none" w:sz="0" w:space="0" w:color="auto"/>
            <w:right w:val="none" w:sz="0" w:space="0" w:color="auto"/>
          </w:divBdr>
        </w:div>
      </w:divsChild>
    </w:div>
    <w:div w:id="893125351">
      <w:bodyDiv w:val="1"/>
      <w:marLeft w:val="0"/>
      <w:marRight w:val="0"/>
      <w:marTop w:val="0"/>
      <w:marBottom w:val="0"/>
      <w:divBdr>
        <w:top w:val="none" w:sz="0" w:space="0" w:color="auto"/>
        <w:left w:val="none" w:sz="0" w:space="0" w:color="auto"/>
        <w:bottom w:val="none" w:sz="0" w:space="0" w:color="auto"/>
        <w:right w:val="none" w:sz="0" w:space="0" w:color="auto"/>
      </w:divBdr>
    </w:div>
    <w:div w:id="1117525912">
      <w:bodyDiv w:val="1"/>
      <w:marLeft w:val="0"/>
      <w:marRight w:val="0"/>
      <w:marTop w:val="0"/>
      <w:marBottom w:val="0"/>
      <w:divBdr>
        <w:top w:val="none" w:sz="0" w:space="0" w:color="auto"/>
        <w:left w:val="none" w:sz="0" w:space="0" w:color="auto"/>
        <w:bottom w:val="none" w:sz="0" w:space="0" w:color="auto"/>
        <w:right w:val="none" w:sz="0" w:space="0" w:color="auto"/>
      </w:divBdr>
    </w:div>
    <w:div w:id="1200314871">
      <w:bodyDiv w:val="1"/>
      <w:marLeft w:val="0"/>
      <w:marRight w:val="0"/>
      <w:marTop w:val="0"/>
      <w:marBottom w:val="0"/>
      <w:divBdr>
        <w:top w:val="none" w:sz="0" w:space="0" w:color="auto"/>
        <w:left w:val="none" w:sz="0" w:space="0" w:color="auto"/>
        <w:bottom w:val="none" w:sz="0" w:space="0" w:color="auto"/>
        <w:right w:val="none" w:sz="0" w:space="0" w:color="auto"/>
      </w:divBdr>
    </w:div>
    <w:div w:id="1210874528">
      <w:bodyDiv w:val="1"/>
      <w:marLeft w:val="0"/>
      <w:marRight w:val="0"/>
      <w:marTop w:val="0"/>
      <w:marBottom w:val="0"/>
      <w:divBdr>
        <w:top w:val="none" w:sz="0" w:space="0" w:color="auto"/>
        <w:left w:val="none" w:sz="0" w:space="0" w:color="auto"/>
        <w:bottom w:val="none" w:sz="0" w:space="0" w:color="auto"/>
        <w:right w:val="none" w:sz="0" w:space="0" w:color="auto"/>
      </w:divBdr>
    </w:div>
    <w:div w:id="1245605677">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95733380">
      <w:bodyDiv w:val="1"/>
      <w:marLeft w:val="0"/>
      <w:marRight w:val="0"/>
      <w:marTop w:val="0"/>
      <w:marBottom w:val="0"/>
      <w:divBdr>
        <w:top w:val="none" w:sz="0" w:space="0" w:color="auto"/>
        <w:left w:val="none" w:sz="0" w:space="0" w:color="auto"/>
        <w:bottom w:val="none" w:sz="0" w:space="0" w:color="auto"/>
        <w:right w:val="none" w:sz="0" w:space="0" w:color="auto"/>
      </w:divBdr>
    </w:div>
    <w:div w:id="1539201822">
      <w:bodyDiv w:val="1"/>
      <w:marLeft w:val="0"/>
      <w:marRight w:val="0"/>
      <w:marTop w:val="0"/>
      <w:marBottom w:val="0"/>
      <w:divBdr>
        <w:top w:val="none" w:sz="0" w:space="0" w:color="auto"/>
        <w:left w:val="none" w:sz="0" w:space="0" w:color="auto"/>
        <w:bottom w:val="none" w:sz="0" w:space="0" w:color="auto"/>
        <w:right w:val="none" w:sz="0" w:space="0" w:color="auto"/>
      </w:divBdr>
    </w:div>
    <w:div w:id="1587806467">
      <w:bodyDiv w:val="1"/>
      <w:marLeft w:val="0"/>
      <w:marRight w:val="0"/>
      <w:marTop w:val="0"/>
      <w:marBottom w:val="0"/>
      <w:divBdr>
        <w:top w:val="none" w:sz="0" w:space="0" w:color="auto"/>
        <w:left w:val="none" w:sz="0" w:space="0" w:color="auto"/>
        <w:bottom w:val="none" w:sz="0" w:space="0" w:color="auto"/>
        <w:right w:val="none" w:sz="0" w:space="0" w:color="auto"/>
      </w:divBdr>
    </w:div>
    <w:div w:id="16413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ppt.gc.ca/publications/pdfs/proposition-eng.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PMA balance</a:t>
            </a:r>
          </a:p>
          <a:p>
            <a:pPr>
              <a:defRPr/>
            </a:pPr>
            <a:r>
              <a:rPr lang="en-US" sz="1200"/>
              <a:t>($000)</a:t>
            </a:r>
          </a:p>
        </c:rich>
      </c:tx>
      <c:layout/>
      <c:overlay val="0"/>
    </c:title>
    <c:autoTitleDeleted val="0"/>
    <c:plotArea>
      <c:layout/>
      <c:lineChart>
        <c:grouping val="standard"/>
        <c:varyColors val="0"/>
        <c:ser>
          <c:idx val="0"/>
          <c:order val="0"/>
          <c:tx>
            <c:strRef>
              <c:f>'10 yr No Crown'!$B$23</c:f>
              <c:strCache>
                <c:ptCount val="1"/>
                <c:pt idx="0">
                  <c:v>PMA balance</c:v>
                </c:pt>
              </c:strCache>
            </c:strRef>
          </c:tx>
          <c:cat>
            <c:strRef>
              <c:f>'10 yr No Crown'!$C$22:$V$22</c:f>
              <c:strCache>
                <c:ptCount val="20"/>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strCache>
            </c:strRef>
          </c:cat>
          <c:val>
            <c:numRef>
              <c:f>'10 yr No Crown'!$C$23:$V$23</c:f>
              <c:numCache>
                <c:formatCode>#,##0_);\(#,##0\);"-  ";" "@" "</c:formatCode>
                <c:ptCount val="20"/>
                <c:pt idx="0">
                  <c:v>-9504.718511538129</c:v>
                </c:pt>
                <c:pt idx="1">
                  <c:v>-28880.456091637287</c:v>
                </c:pt>
                <c:pt idx="2">
                  <c:v>15064.274981860843</c:v>
                </c:pt>
                <c:pt idx="3">
                  <c:v>62504.534097876865</c:v>
                </c:pt>
                <c:pt idx="4">
                  <c:v>110615.70416432821</c:v>
                </c:pt>
                <c:pt idx="5">
                  <c:v>147780.7420086349</c:v>
                </c:pt>
                <c:pt idx="6">
                  <c:v>169109.92428649496</c:v>
                </c:pt>
                <c:pt idx="7">
                  <c:v>149101.38154815827</c:v>
                </c:pt>
                <c:pt idx="8">
                  <c:v>115191.83475739202</c:v>
                </c:pt>
                <c:pt idx="9">
                  <c:v>76692.739804002224</c:v>
                </c:pt>
                <c:pt idx="10">
                  <c:v>34203.9740116592</c:v>
                </c:pt>
                <c:pt idx="11">
                  <c:v>2.3660512642163667</c:v>
                </c:pt>
                <c:pt idx="12">
                  <c:v>4246.0000772130516</c:v>
                </c:pt>
                <c:pt idx="13">
                  <c:v>18591.89770215701</c:v>
                </c:pt>
                <c:pt idx="14">
                  <c:v>37067.076544598538</c:v>
                </c:pt>
                <c:pt idx="15">
                  <c:v>52181.214303176697</c:v>
                </c:pt>
                <c:pt idx="16">
                  <c:v>56419.795255803845</c:v>
                </c:pt>
                <c:pt idx="17">
                  <c:v>44564.949860405097</c:v>
                </c:pt>
                <c:pt idx="18">
                  <c:v>24694.619868105852</c:v>
                </c:pt>
                <c:pt idx="19">
                  <c:v>73.876836098243075</c:v>
                </c:pt>
              </c:numCache>
            </c:numRef>
          </c:val>
          <c:smooth val="0"/>
        </c:ser>
        <c:dLbls>
          <c:showLegendKey val="0"/>
          <c:showVal val="0"/>
          <c:showCatName val="0"/>
          <c:showSerName val="0"/>
          <c:showPercent val="0"/>
          <c:showBubbleSize val="0"/>
        </c:dLbls>
        <c:marker val="1"/>
        <c:smooth val="0"/>
        <c:axId val="176275456"/>
        <c:axId val="176277376"/>
      </c:lineChart>
      <c:catAx>
        <c:axId val="176275456"/>
        <c:scaling>
          <c:orientation val="minMax"/>
        </c:scaling>
        <c:delete val="0"/>
        <c:axPos val="b"/>
        <c:numFmt formatCode="mmm\ yy_);;&quot;-  &quot;;&quot; &quot;@&quot; &quot;" sourceLinked="1"/>
        <c:majorTickMark val="out"/>
        <c:minorTickMark val="none"/>
        <c:tickLblPos val="nextTo"/>
        <c:crossAx val="176277376"/>
        <c:crosses val="autoZero"/>
        <c:auto val="1"/>
        <c:lblAlgn val="ctr"/>
        <c:lblOffset val="100"/>
        <c:noMultiLvlLbl val="0"/>
      </c:catAx>
      <c:valAx>
        <c:axId val="176277376"/>
        <c:scaling>
          <c:orientation val="minMax"/>
        </c:scaling>
        <c:delete val="0"/>
        <c:axPos val="l"/>
        <c:majorGridlines/>
        <c:numFmt formatCode="#,##0_);\(#,##0\);&quot;-  &quot;;&quot; &quot;@&quot; &quot;" sourceLinked="1"/>
        <c:majorTickMark val="out"/>
        <c:minorTickMark val="none"/>
        <c:tickLblPos val="nextTo"/>
        <c:crossAx val="1762754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96602094778639"/>
          <c:y val="0.15735960608332419"/>
          <c:w val="0.72897747107630351"/>
          <c:h val="0.62667563783164515"/>
        </c:manualLayout>
      </c:layout>
      <c:lineChart>
        <c:grouping val="standard"/>
        <c:varyColors val="0"/>
        <c:ser>
          <c:idx val="1"/>
          <c:order val="1"/>
          <c:tx>
            <c:strRef>
              <c:f>'Chart 10 year'!$A$3</c:f>
              <c:strCache>
                <c:ptCount val="1"/>
                <c:pt idx="0">
                  <c:v>Unit Cost</c:v>
                </c:pt>
              </c:strCache>
            </c:strRef>
          </c:tx>
          <c:marker>
            <c:symbol val="none"/>
          </c:marker>
          <c:cat>
            <c:strRef>
              <c:f>'Chart 10 year'!$B$1:$U$1</c:f>
              <c:strCache>
                <c:ptCount val="20"/>
                <c:pt idx="0">
                  <c:v>14/15</c:v>
                </c:pt>
                <c:pt idx="1">
                  <c:v>15/16</c:v>
                </c:pt>
                <c:pt idx="2">
                  <c:v>16/17</c:v>
                </c:pt>
                <c:pt idx="3">
                  <c:v>17/18</c:v>
                </c:pt>
                <c:pt idx="4">
                  <c:v>18/19</c:v>
                </c:pt>
                <c:pt idx="5">
                  <c:v>19/20</c:v>
                </c:pt>
                <c:pt idx="6">
                  <c:v>20/21</c:v>
                </c:pt>
                <c:pt idx="7">
                  <c:v>21/22</c:v>
                </c:pt>
                <c:pt idx="8">
                  <c:v>22/23</c:v>
                </c:pt>
                <c:pt idx="9">
                  <c:v>23/24</c:v>
                </c:pt>
                <c:pt idx="10">
                  <c:v>24/25</c:v>
                </c:pt>
                <c:pt idx="11">
                  <c:v>25/26</c:v>
                </c:pt>
                <c:pt idx="12">
                  <c:v>26/27</c:v>
                </c:pt>
                <c:pt idx="13">
                  <c:v>27/28</c:v>
                </c:pt>
                <c:pt idx="14">
                  <c:v>28/29</c:v>
                </c:pt>
                <c:pt idx="15">
                  <c:v>29/30</c:v>
                </c:pt>
                <c:pt idx="16">
                  <c:v>30/31</c:v>
                </c:pt>
                <c:pt idx="17">
                  <c:v>31/32</c:v>
                </c:pt>
                <c:pt idx="18">
                  <c:v>32/33</c:v>
                </c:pt>
                <c:pt idx="19">
                  <c:v>33/34</c:v>
                </c:pt>
              </c:strCache>
            </c:strRef>
          </c:cat>
          <c:val>
            <c:numRef>
              <c:f>'Chart 10 year'!$B$3:$U$3</c:f>
              <c:numCache>
                <c:formatCode>_-"$"* #,##0_-;\-"$"* #,##0_-;_-"$"* "-"??_-;_-@_-</c:formatCode>
                <c:ptCount val="20"/>
                <c:pt idx="0">
                  <c:v>148.30534179752578</c:v>
                </c:pt>
                <c:pt idx="1">
                  <c:v>154.44548601071818</c:v>
                </c:pt>
                <c:pt idx="2">
                  <c:v>165.73161927207127</c:v>
                </c:pt>
                <c:pt idx="3">
                  <c:v>160.81115498730497</c:v>
                </c:pt>
                <c:pt idx="4">
                  <c:v>163.59154279816306</c:v>
                </c:pt>
                <c:pt idx="5">
                  <c:v>192.83484059669652</c:v>
                </c:pt>
                <c:pt idx="6">
                  <c:v>271.21989782788711</c:v>
                </c:pt>
                <c:pt idx="7">
                  <c:v>328.1027729190908</c:v>
                </c:pt>
                <c:pt idx="8">
                  <c:v>358.87313584352592</c:v>
                </c:pt>
                <c:pt idx="9">
                  <c:v>369.99653013621258</c:v>
                </c:pt>
                <c:pt idx="10">
                  <c:v>325.96730068259234</c:v>
                </c:pt>
                <c:pt idx="11">
                  <c:v>233.54802270101251</c:v>
                </c:pt>
                <c:pt idx="12">
                  <c:v>213.5874025086909</c:v>
                </c:pt>
                <c:pt idx="13">
                  <c:v>208.21935146847287</c:v>
                </c:pt>
                <c:pt idx="14">
                  <c:v>207.58852518943146</c:v>
                </c:pt>
                <c:pt idx="15">
                  <c:v>231.18790507869497</c:v>
                </c:pt>
                <c:pt idx="16">
                  <c:v>264.76931365685022</c:v>
                </c:pt>
                <c:pt idx="17">
                  <c:v>290.7124935665334</c:v>
                </c:pt>
                <c:pt idx="18">
                  <c:v>302.22064835110262</c:v>
                </c:pt>
                <c:pt idx="19">
                  <c:v>311.58238193369272</c:v>
                </c:pt>
              </c:numCache>
            </c:numRef>
          </c:val>
          <c:smooth val="0"/>
        </c:ser>
        <c:dLbls>
          <c:showLegendKey val="0"/>
          <c:showVal val="0"/>
          <c:showCatName val="0"/>
          <c:showSerName val="0"/>
          <c:showPercent val="0"/>
          <c:showBubbleSize val="0"/>
        </c:dLbls>
        <c:marker val="1"/>
        <c:smooth val="0"/>
        <c:axId val="139913088"/>
        <c:axId val="140058624"/>
      </c:lineChart>
      <c:lineChart>
        <c:grouping val="standard"/>
        <c:varyColors val="0"/>
        <c:ser>
          <c:idx val="0"/>
          <c:order val="0"/>
          <c:tx>
            <c:strRef>
              <c:f>'Chart 10 year'!$A$2</c:f>
              <c:strCache>
                <c:ptCount val="1"/>
                <c:pt idx="0">
                  <c:v>Volumes</c:v>
                </c:pt>
              </c:strCache>
            </c:strRef>
          </c:tx>
          <c:spPr>
            <a:ln>
              <a:prstDash val="sysDash"/>
            </a:ln>
          </c:spPr>
          <c:marker>
            <c:symbol val="none"/>
          </c:marker>
          <c:cat>
            <c:strRef>
              <c:f>'Chart 10 year'!$G$1:$U$1</c:f>
              <c:strCache>
                <c:ptCount val="15"/>
                <c:pt idx="0">
                  <c:v>19/20</c:v>
                </c:pt>
                <c:pt idx="1">
                  <c:v>20/21</c:v>
                </c:pt>
                <c:pt idx="2">
                  <c:v>21/22</c:v>
                </c:pt>
                <c:pt idx="3">
                  <c:v>22/23</c:v>
                </c:pt>
                <c:pt idx="4">
                  <c:v>23/24</c:v>
                </c:pt>
                <c:pt idx="5">
                  <c:v>24/25</c:v>
                </c:pt>
                <c:pt idx="6">
                  <c:v>25/26</c:v>
                </c:pt>
                <c:pt idx="7">
                  <c:v>26/27</c:v>
                </c:pt>
                <c:pt idx="8">
                  <c:v>27/28</c:v>
                </c:pt>
                <c:pt idx="9">
                  <c:v>28/29</c:v>
                </c:pt>
                <c:pt idx="10">
                  <c:v>29/30</c:v>
                </c:pt>
                <c:pt idx="11">
                  <c:v>30/31</c:v>
                </c:pt>
                <c:pt idx="12">
                  <c:v>31/32</c:v>
                </c:pt>
                <c:pt idx="13">
                  <c:v>32/33</c:v>
                </c:pt>
                <c:pt idx="14">
                  <c:v>33/34</c:v>
                </c:pt>
              </c:strCache>
            </c:strRef>
          </c:cat>
          <c:val>
            <c:numRef>
              <c:f>'Chart 10 year'!$B$2:$U$2</c:f>
              <c:numCache>
                <c:formatCode>_(* #,##0_);_(* \(#,##0\);_(* "-"??_);_(@_)</c:formatCode>
                <c:ptCount val="20"/>
                <c:pt idx="0">
                  <c:v>634293.04334400012</c:v>
                </c:pt>
                <c:pt idx="1">
                  <c:v>593953.9755670001</c:v>
                </c:pt>
                <c:pt idx="2">
                  <c:v>608633.83061999991</c:v>
                </c:pt>
                <c:pt idx="3">
                  <c:v>618552.33593099983</c:v>
                </c:pt>
                <c:pt idx="4">
                  <c:v>638031.51428200013</c:v>
                </c:pt>
                <c:pt idx="5">
                  <c:v>571839.7419390002</c:v>
                </c:pt>
                <c:pt idx="6">
                  <c:v>341989.834531</c:v>
                </c:pt>
                <c:pt idx="7">
                  <c:v>271225.53630199999</c:v>
                </c:pt>
                <c:pt idx="8">
                  <c:v>245097.04689400006</c:v>
                </c:pt>
                <c:pt idx="9">
                  <c:v>239034.19507599997</c:v>
                </c:pt>
                <c:pt idx="10">
                  <c:v>286504.65351199993</c:v>
                </c:pt>
                <c:pt idx="11">
                  <c:v>457309.24836499995</c:v>
                </c:pt>
                <c:pt idx="12">
                  <c:v>515345.46283299994</c:v>
                </c:pt>
                <c:pt idx="13">
                  <c:v>543212.38219599985</c:v>
                </c:pt>
                <c:pt idx="14">
                  <c:v>562036.18183399993</c:v>
                </c:pt>
                <c:pt idx="15">
                  <c:v>515722.92991599994</c:v>
                </c:pt>
                <c:pt idx="16">
                  <c:v>413906.78262599988</c:v>
                </c:pt>
                <c:pt idx="17">
                  <c:v>360201.26959099999</c:v>
                </c:pt>
                <c:pt idx="18">
                  <c:v>333735.34684199991</c:v>
                </c:pt>
                <c:pt idx="19">
                  <c:v>325355.61493899988</c:v>
                </c:pt>
              </c:numCache>
            </c:numRef>
          </c:val>
          <c:smooth val="0"/>
        </c:ser>
        <c:dLbls>
          <c:showLegendKey val="0"/>
          <c:showVal val="0"/>
          <c:showCatName val="0"/>
          <c:showSerName val="0"/>
          <c:showPercent val="0"/>
          <c:showBubbleSize val="0"/>
        </c:dLbls>
        <c:marker val="1"/>
        <c:smooth val="0"/>
        <c:axId val="140060544"/>
        <c:axId val="140062080"/>
      </c:lineChart>
      <c:catAx>
        <c:axId val="139913088"/>
        <c:scaling>
          <c:orientation val="minMax"/>
        </c:scaling>
        <c:delete val="0"/>
        <c:axPos val="b"/>
        <c:title>
          <c:tx>
            <c:rich>
              <a:bodyPr/>
              <a:lstStyle/>
              <a:p>
                <a:pPr>
                  <a:defRPr/>
                </a:pPr>
                <a:r>
                  <a:rPr lang="en-NZ"/>
                  <a:t>Financial</a:t>
                </a:r>
                <a:r>
                  <a:rPr lang="en-NZ" baseline="0"/>
                  <a:t> Year</a:t>
                </a:r>
                <a:endParaRPr lang="en-NZ"/>
              </a:p>
            </c:rich>
          </c:tx>
          <c:layout/>
          <c:overlay val="0"/>
        </c:title>
        <c:numFmt formatCode="General" sourceLinked="1"/>
        <c:majorTickMark val="out"/>
        <c:minorTickMark val="none"/>
        <c:tickLblPos val="nextTo"/>
        <c:txPr>
          <a:bodyPr rot="-3600000"/>
          <a:lstStyle/>
          <a:p>
            <a:pPr>
              <a:defRPr sz="900" baseline="0"/>
            </a:pPr>
            <a:endParaRPr lang="en-US"/>
          </a:p>
        </c:txPr>
        <c:crossAx val="140058624"/>
        <c:crosses val="autoZero"/>
        <c:auto val="1"/>
        <c:lblAlgn val="ctr"/>
        <c:lblOffset val="100"/>
        <c:noMultiLvlLbl val="0"/>
      </c:catAx>
      <c:valAx>
        <c:axId val="140058624"/>
        <c:scaling>
          <c:orientation val="minMax"/>
        </c:scaling>
        <c:delete val="0"/>
        <c:axPos val="l"/>
        <c:majorGridlines/>
        <c:title>
          <c:tx>
            <c:rich>
              <a:bodyPr rot="-5400000" vert="horz"/>
              <a:lstStyle/>
              <a:p>
                <a:pPr>
                  <a:defRPr/>
                </a:pPr>
                <a:r>
                  <a:rPr lang="en-NZ"/>
                  <a:t>Cost per Unit</a:t>
                </a:r>
              </a:p>
            </c:rich>
          </c:tx>
          <c:layout/>
          <c:overlay val="0"/>
        </c:title>
        <c:numFmt formatCode="_-&quot;$&quot;* #,##0_-;\-&quot;$&quot;* #,##0_-;_-&quot;$&quot;* &quot;-&quot;??_-;_-@_-" sourceLinked="1"/>
        <c:majorTickMark val="out"/>
        <c:minorTickMark val="none"/>
        <c:tickLblPos val="nextTo"/>
        <c:crossAx val="139913088"/>
        <c:crosses val="autoZero"/>
        <c:crossBetween val="between"/>
      </c:valAx>
      <c:catAx>
        <c:axId val="140060544"/>
        <c:scaling>
          <c:orientation val="minMax"/>
        </c:scaling>
        <c:delete val="1"/>
        <c:axPos val="b"/>
        <c:majorTickMark val="out"/>
        <c:minorTickMark val="none"/>
        <c:tickLblPos val="nextTo"/>
        <c:crossAx val="140062080"/>
        <c:crosses val="autoZero"/>
        <c:auto val="1"/>
        <c:lblAlgn val="ctr"/>
        <c:lblOffset val="100"/>
        <c:noMultiLvlLbl val="0"/>
      </c:catAx>
      <c:valAx>
        <c:axId val="140062080"/>
        <c:scaling>
          <c:orientation val="minMax"/>
        </c:scaling>
        <c:delete val="0"/>
        <c:axPos val="r"/>
        <c:title>
          <c:tx>
            <c:rich>
              <a:bodyPr rot="-5400000" vert="horz"/>
              <a:lstStyle/>
              <a:p>
                <a:pPr>
                  <a:defRPr/>
                </a:pPr>
                <a:r>
                  <a:rPr lang="en-NZ"/>
                  <a:t>Volumes of Passports Issued</a:t>
                </a:r>
              </a:p>
            </c:rich>
          </c:tx>
          <c:layout>
            <c:manualLayout>
              <c:xMode val="edge"/>
              <c:yMode val="edge"/>
              <c:x val="0.94804722284208409"/>
              <c:y val="0.26865099137434612"/>
            </c:manualLayout>
          </c:layout>
          <c:overlay val="0"/>
        </c:title>
        <c:numFmt formatCode="_(* #,##0_);_(* \(#,##0\);_(* &quot;-&quot;??_);_(@_)" sourceLinked="1"/>
        <c:majorTickMark val="out"/>
        <c:minorTickMark val="none"/>
        <c:tickLblPos val="nextTo"/>
        <c:crossAx val="140060544"/>
        <c:crosses val="max"/>
        <c:crossBetween val="between"/>
      </c:valAx>
    </c:plotArea>
    <c:legend>
      <c:legendPos val="b"/>
      <c:layout>
        <c:manualLayout>
          <c:xMode val="edge"/>
          <c:yMode val="edge"/>
          <c:x val="0.66869308352220491"/>
          <c:y val="0.90740902196913964"/>
          <c:w val="0.25353501920571259"/>
          <c:h val="9.2590978030860333E-2"/>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F3FB2F-5DFC-4FBA-B533-F486B84A0216}"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NZ"/>
        </a:p>
      </dgm:t>
    </dgm:pt>
    <dgm:pt modelId="{C0C2AAE0-0CA7-4DE5-80B5-896A0135291A}">
      <dgm:prSet phldrT="[Text]"/>
      <dgm:spPr/>
      <dgm:t>
        <a:bodyPr/>
        <a:lstStyle/>
        <a:p>
          <a:r>
            <a:rPr lang="en-NZ"/>
            <a:t>Security</a:t>
          </a:r>
        </a:p>
      </dgm:t>
    </dgm:pt>
    <dgm:pt modelId="{0CBC254E-8B60-4DEC-9325-6162547F588E}" type="parTrans" cxnId="{E8248C70-86C4-4651-9DA1-A539122B3748}">
      <dgm:prSet/>
      <dgm:spPr/>
      <dgm:t>
        <a:bodyPr/>
        <a:lstStyle/>
        <a:p>
          <a:endParaRPr lang="en-NZ"/>
        </a:p>
      </dgm:t>
    </dgm:pt>
    <dgm:pt modelId="{72E7677D-361D-4A60-A112-3EB1D72D7FF9}" type="sibTrans" cxnId="{E8248C70-86C4-4651-9DA1-A539122B3748}">
      <dgm:prSet/>
      <dgm:spPr/>
      <dgm:t>
        <a:bodyPr/>
        <a:lstStyle/>
        <a:p>
          <a:endParaRPr lang="en-NZ"/>
        </a:p>
      </dgm:t>
    </dgm:pt>
    <dgm:pt modelId="{E4041E5D-E5C1-4A0C-A8A5-D3B50175DD2B}">
      <dgm:prSet/>
      <dgm:spPr/>
      <dgm:t>
        <a:bodyPr/>
        <a:lstStyle/>
        <a:p>
          <a:r>
            <a:rPr lang="en-NZ"/>
            <a:t>Our passports and the information and the systems that sit behind them need robust security protections to manage risk of compromise (e.g. counterfeiting).</a:t>
          </a:r>
        </a:p>
      </dgm:t>
    </dgm:pt>
    <dgm:pt modelId="{185AAA27-75A0-4675-AE46-DCF48C680110}" type="parTrans" cxnId="{EBC956A1-196E-48F7-AFCA-B90901421B66}">
      <dgm:prSet/>
      <dgm:spPr/>
      <dgm:t>
        <a:bodyPr/>
        <a:lstStyle/>
        <a:p>
          <a:endParaRPr lang="en-NZ"/>
        </a:p>
      </dgm:t>
    </dgm:pt>
    <dgm:pt modelId="{9554B58E-9DA1-4527-A620-CCFB0305752A}" type="sibTrans" cxnId="{EBC956A1-196E-48F7-AFCA-B90901421B66}">
      <dgm:prSet/>
      <dgm:spPr/>
      <dgm:t>
        <a:bodyPr/>
        <a:lstStyle/>
        <a:p>
          <a:endParaRPr lang="en-NZ"/>
        </a:p>
      </dgm:t>
    </dgm:pt>
    <dgm:pt modelId="{1E3641E0-CD45-4444-82EA-0E00105A29A5}">
      <dgm:prSet/>
      <dgm:spPr/>
      <dgm:t>
        <a:bodyPr/>
        <a:lstStyle/>
        <a:p>
          <a:r>
            <a:rPr lang="en-NZ"/>
            <a:t>Risk</a:t>
          </a:r>
        </a:p>
      </dgm:t>
    </dgm:pt>
    <dgm:pt modelId="{3573F3E9-1160-4435-BA72-67DDC39CD090}" type="parTrans" cxnId="{77445A1B-052B-4BCB-9402-D0E8FD1706BD}">
      <dgm:prSet/>
      <dgm:spPr/>
      <dgm:t>
        <a:bodyPr/>
        <a:lstStyle/>
        <a:p>
          <a:endParaRPr lang="en-NZ"/>
        </a:p>
      </dgm:t>
    </dgm:pt>
    <dgm:pt modelId="{A80B5E82-011F-4FC7-AE7C-D1093C478596}" type="sibTrans" cxnId="{77445A1B-052B-4BCB-9402-D0E8FD1706BD}">
      <dgm:prSet/>
      <dgm:spPr/>
      <dgm:t>
        <a:bodyPr/>
        <a:lstStyle/>
        <a:p>
          <a:endParaRPr lang="en-NZ"/>
        </a:p>
      </dgm:t>
    </dgm:pt>
    <dgm:pt modelId="{5172C450-4A91-447C-99AC-8325B6C7DD0D}">
      <dgm:prSet/>
      <dgm:spPr/>
      <dgm:t>
        <a:bodyPr/>
        <a:lstStyle/>
        <a:p>
          <a:r>
            <a:rPr lang="en-NZ"/>
            <a:t>This criteria considers risks to the passports system, and passport holders.</a:t>
          </a:r>
        </a:p>
      </dgm:t>
    </dgm:pt>
    <dgm:pt modelId="{7C05138C-8DF3-47A7-8E5E-61098A19E24C}" type="parTrans" cxnId="{4C2B42EA-A825-45BC-857B-6D95785CB35E}">
      <dgm:prSet/>
      <dgm:spPr/>
      <dgm:t>
        <a:bodyPr/>
        <a:lstStyle/>
        <a:p>
          <a:endParaRPr lang="en-NZ"/>
        </a:p>
      </dgm:t>
    </dgm:pt>
    <dgm:pt modelId="{82722ED6-A82B-4F67-8175-43D773A122E2}" type="sibTrans" cxnId="{4C2B42EA-A825-45BC-857B-6D95785CB35E}">
      <dgm:prSet/>
      <dgm:spPr/>
      <dgm:t>
        <a:bodyPr/>
        <a:lstStyle/>
        <a:p>
          <a:endParaRPr lang="en-NZ"/>
        </a:p>
      </dgm:t>
    </dgm:pt>
    <dgm:pt modelId="{EF2E31AF-FFE0-44BE-AD7E-557D9E7C72C0}">
      <dgm:prSet/>
      <dgm:spPr/>
      <dgm:t>
        <a:bodyPr/>
        <a:lstStyle/>
        <a:p>
          <a:r>
            <a:rPr lang="en-NZ"/>
            <a:t>Citizen convenience</a:t>
          </a:r>
        </a:p>
      </dgm:t>
    </dgm:pt>
    <dgm:pt modelId="{5B8BFEF8-54A6-4564-A971-F9CA7EA48EAC}" type="parTrans" cxnId="{4C6BC08D-9280-45C0-82FE-E7F768F87C3B}">
      <dgm:prSet/>
      <dgm:spPr/>
      <dgm:t>
        <a:bodyPr/>
        <a:lstStyle/>
        <a:p>
          <a:endParaRPr lang="en-NZ"/>
        </a:p>
      </dgm:t>
    </dgm:pt>
    <dgm:pt modelId="{3501B9E8-3BFC-4A19-A037-11FBEC117A95}" type="sibTrans" cxnId="{4C6BC08D-9280-45C0-82FE-E7F768F87C3B}">
      <dgm:prSet/>
      <dgm:spPr/>
      <dgm:t>
        <a:bodyPr/>
        <a:lstStyle/>
        <a:p>
          <a:endParaRPr lang="en-NZ"/>
        </a:p>
      </dgm:t>
    </dgm:pt>
    <dgm:pt modelId="{FCE39D2C-BAAB-4FFD-B58F-832C1B594F41}">
      <dgm:prSet/>
      <dgm:spPr/>
      <dgm:t>
        <a:bodyPr/>
        <a:lstStyle/>
        <a:p>
          <a:r>
            <a:rPr lang="en-NZ"/>
            <a:t>The production of passports should consider citizen convenience and compliance costs for travellers alongside security matters. </a:t>
          </a:r>
        </a:p>
      </dgm:t>
    </dgm:pt>
    <dgm:pt modelId="{00D67D0F-34E3-426D-B52C-ECA2BF1C38DE}" type="parTrans" cxnId="{69114532-2BC0-41C6-A35F-99952A301081}">
      <dgm:prSet/>
      <dgm:spPr/>
      <dgm:t>
        <a:bodyPr/>
        <a:lstStyle/>
        <a:p>
          <a:endParaRPr lang="en-NZ"/>
        </a:p>
      </dgm:t>
    </dgm:pt>
    <dgm:pt modelId="{BC3AD4EC-070D-4808-B977-905E6F926CF2}" type="sibTrans" cxnId="{69114532-2BC0-41C6-A35F-99952A301081}">
      <dgm:prSet/>
      <dgm:spPr/>
      <dgm:t>
        <a:bodyPr/>
        <a:lstStyle/>
        <a:p>
          <a:endParaRPr lang="en-NZ"/>
        </a:p>
      </dgm:t>
    </dgm:pt>
    <dgm:pt modelId="{691533C3-4A3D-46C7-B942-84B95482E0A7}" type="pres">
      <dgm:prSet presAssocID="{7BF3FB2F-5DFC-4FBA-B533-F486B84A0216}" presName="linear" presStyleCnt="0">
        <dgm:presLayoutVars>
          <dgm:dir/>
          <dgm:animLvl val="lvl"/>
          <dgm:resizeHandles val="exact"/>
        </dgm:presLayoutVars>
      </dgm:prSet>
      <dgm:spPr/>
      <dgm:t>
        <a:bodyPr/>
        <a:lstStyle/>
        <a:p>
          <a:endParaRPr lang="en-NZ"/>
        </a:p>
      </dgm:t>
    </dgm:pt>
    <dgm:pt modelId="{017CEA12-FDE0-4AC1-9A8B-A39E93DB2C5C}" type="pres">
      <dgm:prSet presAssocID="{C0C2AAE0-0CA7-4DE5-80B5-896A0135291A}" presName="parentLin" presStyleCnt="0"/>
      <dgm:spPr/>
      <dgm:t>
        <a:bodyPr/>
        <a:lstStyle/>
        <a:p>
          <a:endParaRPr lang="en-NZ"/>
        </a:p>
      </dgm:t>
    </dgm:pt>
    <dgm:pt modelId="{BEA1E029-B799-47CF-8C9A-E7184FA7C6FB}" type="pres">
      <dgm:prSet presAssocID="{C0C2AAE0-0CA7-4DE5-80B5-896A0135291A}" presName="parentLeftMargin" presStyleLbl="node1" presStyleIdx="0" presStyleCnt="3"/>
      <dgm:spPr/>
      <dgm:t>
        <a:bodyPr/>
        <a:lstStyle/>
        <a:p>
          <a:endParaRPr lang="en-NZ"/>
        </a:p>
      </dgm:t>
    </dgm:pt>
    <dgm:pt modelId="{19B76FE4-631E-4B60-AD89-9C01D35BAB81}" type="pres">
      <dgm:prSet presAssocID="{C0C2AAE0-0CA7-4DE5-80B5-896A0135291A}" presName="parentText" presStyleLbl="node1" presStyleIdx="0" presStyleCnt="3">
        <dgm:presLayoutVars>
          <dgm:chMax val="0"/>
          <dgm:bulletEnabled val="1"/>
        </dgm:presLayoutVars>
      </dgm:prSet>
      <dgm:spPr/>
      <dgm:t>
        <a:bodyPr/>
        <a:lstStyle/>
        <a:p>
          <a:endParaRPr lang="en-NZ"/>
        </a:p>
      </dgm:t>
    </dgm:pt>
    <dgm:pt modelId="{BFA7D27F-D404-4362-A4AE-2E044863ACC0}" type="pres">
      <dgm:prSet presAssocID="{C0C2AAE0-0CA7-4DE5-80B5-896A0135291A}" presName="negativeSpace" presStyleCnt="0"/>
      <dgm:spPr/>
      <dgm:t>
        <a:bodyPr/>
        <a:lstStyle/>
        <a:p>
          <a:endParaRPr lang="en-NZ"/>
        </a:p>
      </dgm:t>
    </dgm:pt>
    <dgm:pt modelId="{9180F2FE-DE5A-4C01-9BEC-F027E6CBB078}" type="pres">
      <dgm:prSet presAssocID="{C0C2AAE0-0CA7-4DE5-80B5-896A0135291A}" presName="childText" presStyleLbl="conFgAcc1" presStyleIdx="0" presStyleCnt="3" custLinFactNeighborX="-87">
        <dgm:presLayoutVars>
          <dgm:bulletEnabled val="1"/>
        </dgm:presLayoutVars>
      </dgm:prSet>
      <dgm:spPr/>
      <dgm:t>
        <a:bodyPr/>
        <a:lstStyle/>
        <a:p>
          <a:endParaRPr lang="en-NZ"/>
        </a:p>
      </dgm:t>
    </dgm:pt>
    <dgm:pt modelId="{1C319446-74D9-4AAE-AF3D-E4878730E6A7}" type="pres">
      <dgm:prSet presAssocID="{72E7677D-361D-4A60-A112-3EB1D72D7FF9}" presName="spaceBetweenRectangles" presStyleCnt="0"/>
      <dgm:spPr/>
      <dgm:t>
        <a:bodyPr/>
        <a:lstStyle/>
        <a:p>
          <a:endParaRPr lang="en-NZ"/>
        </a:p>
      </dgm:t>
    </dgm:pt>
    <dgm:pt modelId="{30CA3BF4-008F-47EF-A479-5EA293CF40F5}" type="pres">
      <dgm:prSet presAssocID="{EF2E31AF-FFE0-44BE-AD7E-557D9E7C72C0}" presName="parentLin" presStyleCnt="0"/>
      <dgm:spPr/>
    </dgm:pt>
    <dgm:pt modelId="{76037084-1D83-4790-B239-1AF6426A2A09}" type="pres">
      <dgm:prSet presAssocID="{EF2E31AF-FFE0-44BE-AD7E-557D9E7C72C0}" presName="parentLeftMargin" presStyleLbl="node1" presStyleIdx="0" presStyleCnt="3"/>
      <dgm:spPr/>
      <dgm:t>
        <a:bodyPr/>
        <a:lstStyle/>
        <a:p>
          <a:endParaRPr lang="en-NZ"/>
        </a:p>
      </dgm:t>
    </dgm:pt>
    <dgm:pt modelId="{3744A6D8-4E28-4620-A2D5-9358AEAD8A37}" type="pres">
      <dgm:prSet presAssocID="{EF2E31AF-FFE0-44BE-AD7E-557D9E7C72C0}" presName="parentText" presStyleLbl="node1" presStyleIdx="1" presStyleCnt="3">
        <dgm:presLayoutVars>
          <dgm:chMax val="0"/>
          <dgm:bulletEnabled val="1"/>
        </dgm:presLayoutVars>
      </dgm:prSet>
      <dgm:spPr/>
      <dgm:t>
        <a:bodyPr/>
        <a:lstStyle/>
        <a:p>
          <a:endParaRPr lang="en-NZ"/>
        </a:p>
      </dgm:t>
    </dgm:pt>
    <dgm:pt modelId="{9A576412-FF39-40C6-B15C-16D7D634E7CA}" type="pres">
      <dgm:prSet presAssocID="{EF2E31AF-FFE0-44BE-AD7E-557D9E7C72C0}" presName="negativeSpace" presStyleCnt="0"/>
      <dgm:spPr/>
    </dgm:pt>
    <dgm:pt modelId="{CE3FA5A5-0D5B-4B24-9B6A-CFF3DCD57A76}" type="pres">
      <dgm:prSet presAssocID="{EF2E31AF-FFE0-44BE-AD7E-557D9E7C72C0}" presName="childText" presStyleLbl="conFgAcc1" presStyleIdx="1" presStyleCnt="3">
        <dgm:presLayoutVars>
          <dgm:bulletEnabled val="1"/>
        </dgm:presLayoutVars>
      </dgm:prSet>
      <dgm:spPr/>
      <dgm:t>
        <a:bodyPr/>
        <a:lstStyle/>
        <a:p>
          <a:endParaRPr lang="en-NZ"/>
        </a:p>
      </dgm:t>
    </dgm:pt>
    <dgm:pt modelId="{82863B44-5858-4ADB-82CC-628A8547F61A}" type="pres">
      <dgm:prSet presAssocID="{3501B9E8-3BFC-4A19-A037-11FBEC117A95}" presName="spaceBetweenRectangles" presStyleCnt="0"/>
      <dgm:spPr/>
    </dgm:pt>
    <dgm:pt modelId="{52CCC51A-98D5-4B56-8011-0FC76897335B}" type="pres">
      <dgm:prSet presAssocID="{1E3641E0-CD45-4444-82EA-0E00105A29A5}" presName="parentLin" presStyleCnt="0"/>
      <dgm:spPr/>
      <dgm:t>
        <a:bodyPr/>
        <a:lstStyle/>
        <a:p>
          <a:endParaRPr lang="en-NZ"/>
        </a:p>
      </dgm:t>
    </dgm:pt>
    <dgm:pt modelId="{1967AA42-6B09-4F6F-B06B-6C035F3FFFE3}" type="pres">
      <dgm:prSet presAssocID="{1E3641E0-CD45-4444-82EA-0E00105A29A5}" presName="parentLeftMargin" presStyleLbl="node1" presStyleIdx="1" presStyleCnt="3"/>
      <dgm:spPr/>
      <dgm:t>
        <a:bodyPr/>
        <a:lstStyle/>
        <a:p>
          <a:endParaRPr lang="en-NZ"/>
        </a:p>
      </dgm:t>
    </dgm:pt>
    <dgm:pt modelId="{E2711D1E-25FA-48CF-93B2-586043C3BFD3}" type="pres">
      <dgm:prSet presAssocID="{1E3641E0-CD45-4444-82EA-0E00105A29A5}" presName="parentText" presStyleLbl="node1" presStyleIdx="2" presStyleCnt="3">
        <dgm:presLayoutVars>
          <dgm:chMax val="0"/>
          <dgm:bulletEnabled val="1"/>
        </dgm:presLayoutVars>
      </dgm:prSet>
      <dgm:spPr/>
      <dgm:t>
        <a:bodyPr/>
        <a:lstStyle/>
        <a:p>
          <a:endParaRPr lang="en-NZ"/>
        </a:p>
      </dgm:t>
    </dgm:pt>
    <dgm:pt modelId="{784BF727-E827-4622-A06A-C10DAB9D65FF}" type="pres">
      <dgm:prSet presAssocID="{1E3641E0-CD45-4444-82EA-0E00105A29A5}" presName="negativeSpace" presStyleCnt="0"/>
      <dgm:spPr/>
      <dgm:t>
        <a:bodyPr/>
        <a:lstStyle/>
        <a:p>
          <a:endParaRPr lang="en-NZ"/>
        </a:p>
      </dgm:t>
    </dgm:pt>
    <dgm:pt modelId="{061893E5-B75C-4800-89AF-4FFB48C423BA}" type="pres">
      <dgm:prSet presAssocID="{1E3641E0-CD45-4444-82EA-0E00105A29A5}" presName="childText" presStyleLbl="conFgAcc1" presStyleIdx="2" presStyleCnt="3" custLinFactY="10259" custLinFactNeighborX="2997" custLinFactNeighborY="100000">
        <dgm:presLayoutVars>
          <dgm:bulletEnabled val="1"/>
        </dgm:presLayoutVars>
      </dgm:prSet>
      <dgm:spPr/>
      <dgm:t>
        <a:bodyPr/>
        <a:lstStyle/>
        <a:p>
          <a:endParaRPr lang="en-NZ"/>
        </a:p>
      </dgm:t>
    </dgm:pt>
  </dgm:ptLst>
  <dgm:cxnLst>
    <dgm:cxn modelId="{69114532-2BC0-41C6-A35F-99952A301081}" srcId="{EF2E31AF-FFE0-44BE-AD7E-557D9E7C72C0}" destId="{FCE39D2C-BAAB-4FFD-B58F-832C1B594F41}" srcOrd="0" destOrd="0" parTransId="{00D67D0F-34E3-426D-B52C-ECA2BF1C38DE}" sibTransId="{BC3AD4EC-070D-4808-B977-905E6F926CF2}"/>
    <dgm:cxn modelId="{96190EBD-B475-4FD9-A42A-52BB9CC4852E}" type="presOf" srcId="{1E3641E0-CD45-4444-82EA-0E00105A29A5}" destId="{1967AA42-6B09-4F6F-B06B-6C035F3FFFE3}" srcOrd="0" destOrd="0" presId="urn:microsoft.com/office/officeart/2005/8/layout/list1"/>
    <dgm:cxn modelId="{4C6BC08D-9280-45C0-82FE-E7F768F87C3B}" srcId="{7BF3FB2F-5DFC-4FBA-B533-F486B84A0216}" destId="{EF2E31AF-FFE0-44BE-AD7E-557D9E7C72C0}" srcOrd="1" destOrd="0" parTransId="{5B8BFEF8-54A6-4564-A971-F9CA7EA48EAC}" sibTransId="{3501B9E8-3BFC-4A19-A037-11FBEC117A95}"/>
    <dgm:cxn modelId="{4C2B42EA-A825-45BC-857B-6D95785CB35E}" srcId="{1E3641E0-CD45-4444-82EA-0E00105A29A5}" destId="{5172C450-4A91-447C-99AC-8325B6C7DD0D}" srcOrd="0" destOrd="0" parTransId="{7C05138C-8DF3-47A7-8E5E-61098A19E24C}" sibTransId="{82722ED6-A82B-4F67-8175-43D773A122E2}"/>
    <dgm:cxn modelId="{B91281AC-8FD3-416C-A189-42DF7FB06314}" type="presOf" srcId="{7BF3FB2F-5DFC-4FBA-B533-F486B84A0216}" destId="{691533C3-4A3D-46C7-B942-84B95482E0A7}" srcOrd="0" destOrd="0" presId="urn:microsoft.com/office/officeart/2005/8/layout/list1"/>
    <dgm:cxn modelId="{E8248C70-86C4-4651-9DA1-A539122B3748}" srcId="{7BF3FB2F-5DFC-4FBA-B533-F486B84A0216}" destId="{C0C2AAE0-0CA7-4DE5-80B5-896A0135291A}" srcOrd="0" destOrd="0" parTransId="{0CBC254E-8B60-4DEC-9325-6162547F588E}" sibTransId="{72E7677D-361D-4A60-A112-3EB1D72D7FF9}"/>
    <dgm:cxn modelId="{90C3677B-EF08-4049-B84C-5B8DB6F53549}" type="presOf" srcId="{1E3641E0-CD45-4444-82EA-0E00105A29A5}" destId="{E2711D1E-25FA-48CF-93B2-586043C3BFD3}" srcOrd="1" destOrd="0" presId="urn:microsoft.com/office/officeart/2005/8/layout/list1"/>
    <dgm:cxn modelId="{8D95669C-72F1-4C56-85FF-6022512BB617}" type="presOf" srcId="{FCE39D2C-BAAB-4FFD-B58F-832C1B594F41}" destId="{CE3FA5A5-0D5B-4B24-9B6A-CFF3DCD57A76}" srcOrd="0" destOrd="0" presId="urn:microsoft.com/office/officeart/2005/8/layout/list1"/>
    <dgm:cxn modelId="{5DE52A97-BC3D-44A6-9185-8047F09D034C}" type="presOf" srcId="{EF2E31AF-FFE0-44BE-AD7E-557D9E7C72C0}" destId="{3744A6D8-4E28-4620-A2D5-9358AEAD8A37}" srcOrd="1" destOrd="0" presId="urn:microsoft.com/office/officeart/2005/8/layout/list1"/>
    <dgm:cxn modelId="{77445A1B-052B-4BCB-9402-D0E8FD1706BD}" srcId="{7BF3FB2F-5DFC-4FBA-B533-F486B84A0216}" destId="{1E3641E0-CD45-4444-82EA-0E00105A29A5}" srcOrd="2" destOrd="0" parTransId="{3573F3E9-1160-4435-BA72-67DDC39CD090}" sibTransId="{A80B5E82-011F-4FC7-AE7C-D1093C478596}"/>
    <dgm:cxn modelId="{9F97A82C-1EB0-471F-9F22-BFF714CD2D29}" type="presOf" srcId="{E4041E5D-E5C1-4A0C-A8A5-D3B50175DD2B}" destId="{9180F2FE-DE5A-4C01-9BEC-F027E6CBB078}" srcOrd="0" destOrd="0" presId="urn:microsoft.com/office/officeart/2005/8/layout/list1"/>
    <dgm:cxn modelId="{EBC956A1-196E-48F7-AFCA-B90901421B66}" srcId="{C0C2AAE0-0CA7-4DE5-80B5-896A0135291A}" destId="{E4041E5D-E5C1-4A0C-A8A5-D3B50175DD2B}" srcOrd="0" destOrd="0" parTransId="{185AAA27-75A0-4675-AE46-DCF48C680110}" sibTransId="{9554B58E-9DA1-4527-A620-CCFB0305752A}"/>
    <dgm:cxn modelId="{E268122A-6FC8-4C59-A0DD-61D69E84D87A}" type="presOf" srcId="{5172C450-4A91-447C-99AC-8325B6C7DD0D}" destId="{061893E5-B75C-4800-89AF-4FFB48C423BA}" srcOrd="0" destOrd="0" presId="urn:microsoft.com/office/officeart/2005/8/layout/list1"/>
    <dgm:cxn modelId="{D6AFA556-0267-46EC-AC58-092E908852DF}" type="presOf" srcId="{EF2E31AF-FFE0-44BE-AD7E-557D9E7C72C0}" destId="{76037084-1D83-4790-B239-1AF6426A2A09}" srcOrd="0" destOrd="0" presId="urn:microsoft.com/office/officeart/2005/8/layout/list1"/>
    <dgm:cxn modelId="{D954CE5A-CC75-4D3E-A1D8-E96991E7EE7E}" type="presOf" srcId="{C0C2AAE0-0CA7-4DE5-80B5-896A0135291A}" destId="{BEA1E029-B799-47CF-8C9A-E7184FA7C6FB}" srcOrd="0" destOrd="0" presId="urn:microsoft.com/office/officeart/2005/8/layout/list1"/>
    <dgm:cxn modelId="{07141FD0-6D5F-4189-9D47-8D809274ADED}" type="presOf" srcId="{C0C2AAE0-0CA7-4DE5-80B5-896A0135291A}" destId="{19B76FE4-631E-4B60-AD89-9C01D35BAB81}" srcOrd="1" destOrd="0" presId="urn:microsoft.com/office/officeart/2005/8/layout/list1"/>
    <dgm:cxn modelId="{78B8BFBA-4F6D-46AB-8E08-9128F6D3DB63}" type="presParOf" srcId="{691533C3-4A3D-46C7-B942-84B95482E0A7}" destId="{017CEA12-FDE0-4AC1-9A8B-A39E93DB2C5C}" srcOrd="0" destOrd="0" presId="urn:microsoft.com/office/officeart/2005/8/layout/list1"/>
    <dgm:cxn modelId="{A186D4F2-A2DB-4167-8931-0CF0A25FC670}" type="presParOf" srcId="{017CEA12-FDE0-4AC1-9A8B-A39E93DB2C5C}" destId="{BEA1E029-B799-47CF-8C9A-E7184FA7C6FB}" srcOrd="0" destOrd="0" presId="urn:microsoft.com/office/officeart/2005/8/layout/list1"/>
    <dgm:cxn modelId="{D8F07C8A-F375-4286-B967-ECAFE9AC9533}" type="presParOf" srcId="{017CEA12-FDE0-4AC1-9A8B-A39E93DB2C5C}" destId="{19B76FE4-631E-4B60-AD89-9C01D35BAB81}" srcOrd="1" destOrd="0" presId="urn:microsoft.com/office/officeart/2005/8/layout/list1"/>
    <dgm:cxn modelId="{85DB2B42-A1F4-4B6E-95D4-D1DD6E75B02A}" type="presParOf" srcId="{691533C3-4A3D-46C7-B942-84B95482E0A7}" destId="{BFA7D27F-D404-4362-A4AE-2E044863ACC0}" srcOrd="1" destOrd="0" presId="urn:microsoft.com/office/officeart/2005/8/layout/list1"/>
    <dgm:cxn modelId="{65585212-382A-4401-9461-28AF572CBDDF}" type="presParOf" srcId="{691533C3-4A3D-46C7-B942-84B95482E0A7}" destId="{9180F2FE-DE5A-4C01-9BEC-F027E6CBB078}" srcOrd="2" destOrd="0" presId="urn:microsoft.com/office/officeart/2005/8/layout/list1"/>
    <dgm:cxn modelId="{60FC19F2-626C-499F-AAB7-540ED14CFEAB}" type="presParOf" srcId="{691533C3-4A3D-46C7-B942-84B95482E0A7}" destId="{1C319446-74D9-4AAE-AF3D-E4878730E6A7}" srcOrd="3" destOrd="0" presId="urn:microsoft.com/office/officeart/2005/8/layout/list1"/>
    <dgm:cxn modelId="{89644457-28F0-47D2-B0F2-9FE02DDF7094}" type="presParOf" srcId="{691533C3-4A3D-46C7-B942-84B95482E0A7}" destId="{30CA3BF4-008F-47EF-A479-5EA293CF40F5}" srcOrd="4" destOrd="0" presId="urn:microsoft.com/office/officeart/2005/8/layout/list1"/>
    <dgm:cxn modelId="{48E6BAD7-B4AE-40A2-A8D8-BE1340BBDD30}" type="presParOf" srcId="{30CA3BF4-008F-47EF-A479-5EA293CF40F5}" destId="{76037084-1D83-4790-B239-1AF6426A2A09}" srcOrd="0" destOrd="0" presId="urn:microsoft.com/office/officeart/2005/8/layout/list1"/>
    <dgm:cxn modelId="{3FCE3B1B-814C-4A3D-B47E-8164A8FFC97B}" type="presParOf" srcId="{30CA3BF4-008F-47EF-A479-5EA293CF40F5}" destId="{3744A6D8-4E28-4620-A2D5-9358AEAD8A37}" srcOrd="1" destOrd="0" presId="urn:microsoft.com/office/officeart/2005/8/layout/list1"/>
    <dgm:cxn modelId="{99B13C95-355E-441A-B722-0B9A654DB1C4}" type="presParOf" srcId="{691533C3-4A3D-46C7-B942-84B95482E0A7}" destId="{9A576412-FF39-40C6-B15C-16D7D634E7CA}" srcOrd="5" destOrd="0" presId="urn:microsoft.com/office/officeart/2005/8/layout/list1"/>
    <dgm:cxn modelId="{0FE10B7B-BABA-452B-B9A8-529F1D41C8E3}" type="presParOf" srcId="{691533C3-4A3D-46C7-B942-84B95482E0A7}" destId="{CE3FA5A5-0D5B-4B24-9B6A-CFF3DCD57A76}" srcOrd="6" destOrd="0" presId="urn:microsoft.com/office/officeart/2005/8/layout/list1"/>
    <dgm:cxn modelId="{BFFD46BD-70C1-49AE-891C-58BF6B3564AC}" type="presParOf" srcId="{691533C3-4A3D-46C7-B942-84B95482E0A7}" destId="{82863B44-5858-4ADB-82CC-628A8547F61A}" srcOrd="7" destOrd="0" presId="urn:microsoft.com/office/officeart/2005/8/layout/list1"/>
    <dgm:cxn modelId="{46F2B915-C44B-457A-A5B9-1F9A54EB6A32}" type="presParOf" srcId="{691533C3-4A3D-46C7-B942-84B95482E0A7}" destId="{52CCC51A-98D5-4B56-8011-0FC76897335B}" srcOrd="8" destOrd="0" presId="urn:microsoft.com/office/officeart/2005/8/layout/list1"/>
    <dgm:cxn modelId="{B7BBE37F-BE0B-42B7-BFA8-E7846A0D6801}" type="presParOf" srcId="{52CCC51A-98D5-4B56-8011-0FC76897335B}" destId="{1967AA42-6B09-4F6F-B06B-6C035F3FFFE3}" srcOrd="0" destOrd="0" presId="urn:microsoft.com/office/officeart/2005/8/layout/list1"/>
    <dgm:cxn modelId="{6F40759F-F5C5-47B4-9DE4-FC5EC83774C5}" type="presParOf" srcId="{52CCC51A-98D5-4B56-8011-0FC76897335B}" destId="{E2711D1E-25FA-48CF-93B2-586043C3BFD3}" srcOrd="1" destOrd="0" presId="urn:microsoft.com/office/officeart/2005/8/layout/list1"/>
    <dgm:cxn modelId="{A275EF94-74C3-4940-BC83-77E131CFDDAF}" type="presParOf" srcId="{691533C3-4A3D-46C7-B942-84B95482E0A7}" destId="{784BF727-E827-4622-A06A-C10DAB9D65FF}" srcOrd="9" destOrd="0" presId="urn:microsoft.com/office/officeart/2005/8/layout/list1"/>
    <dgm:cxn modelId="{74ED37DA-DF24-48DE-9178-C515C8917166}" type="presParOf" srcId="{691533C3-4A3D-46C7-B942-84B95482E0A7}" destId="{061893E5-B75C-4800-89AF-4FFB48C423BA}"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80F2FE-DE5A-4C01-9BEC-F027E6CBB078}">
      <dsp:nvSpPr>
        <dsp:cNvPr id="0" name=""/>
        <dsp:cNvSpPr/>
      </dsp:nvSpPr>
      <dsp:spPr>
        <a:xfrm>
          <a:off x="0" y="156238"/>
          <a:ext cx="5208422" cy="5103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4231" tIns="187452" rIns="404231" bIns="64008" numCol="1" spcCol="1270" anchor="t" anchorCtr="0">
          <a:noAutofit/>
        </a:bodyPr>
        <a:lstStyle/>
        <a:p>
          <a:pPr marL="57150" lvl="1" indent="-57150" algn="l" defTabSz="400050">
            <a:lnSpc>
              <a:spcPct val="90000"/>
            </a:lnSpc>
            <a:spcBef>
              <a:spcPct val="0"/>
            </a:spcBef>
            <a:spcAft>
              <a:spcPct val="15000"/>
            </a:spcAft>
            <a:buChar char="••"/>
          </a:pPr>
          <a:r>
            <a:rPr lang="en-NZ" sz="900" kern="1200"/>
            <a:t>Our passports and the information and the systems that sit behind them need robust security protections to manage risk of compromise (e.g. counterfeiting).</a:t>
          </a:r>
        </a:p>
      </dsp:txBody>
      <dsp:txXfrm>
        <a:off x="0" y="156238"/>
        <a:ext cx="5208422" cy="510300"/>
      </dsp:txXfrm>
    </dsp:sp>
    <dsp:sp modelId="{19B76FE4-631E-4B60-AD89-9C01D35BAB81}">
      <dsp:nvSpPr>
        <dsp:cNvPr id="0" name=""/>
        <dsp:cNvSpPr/>
      </dsp:nvSpPr>
      <dsp:spPr>
        <a:xfrm>
          <a:off x="260421" y="23398"/>
          <a:ext cx="3645896" cy="26568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806" tIns="0" rIns="137806" bIns="0" numCol="1" spcCol="1270" anchor="ctr" anchorCtr="0">
          <a:noAutofit/>
        </a:bodyPr>
        <a:lstStyle/>
        <a:p>
          <a:pPr lvl="0" algn="l" defTabSz="400050">
            <a:lnSpc>
              <a:spcPct val="90000"/>
            </a:lnSpc>
            <a:spcBef>
              <a:spcPct val="0"/>
            </a:spcBef>
            <a:spcAft>
              <a:spcPct val="35000"/>
            </a:spcAft>
          </a:pPr>
          <a:r>
            <a:rPr lang="en-NZ" sz="900" kern="1200"/>
            <a:t>Security</a:t>
          </a:r>
        </a:p>
      </dsp:txBody>
      <dsp:txXfrm>
        <a:off x="273390" y="36367"/>
        <a:ext cx="3619958" cy="239742"/>
      </dsp:txXfrm>
    </dsp:sp>
    <dsp:sp modelId="{CE3FA5A5-0D5B-4B24-9B6A-CFF3DCD57A76}">
      <dsp:nvSpPr>
        <dsp:cNvPr id="0" name=""/>
        <dsp:cNvSpPr/>
      </dsp:nvSpPr>
      <dsp:spPr>
        <a:xfrm>
          <a:off x="0" y="847978"/>
          <a:ext cx="5208422" cy="510300"/>
        </a:xfrm>
        <a:prstGeom prst="rect">
          <a:avLst/>
        </a:prstGeom>
        <a:solidFill>
          <a:schemeClr val="lt1">
            <a:alpha val="90000"/>
            <a:hueOff val="0"/>
            <a:satOff val="0"/>
            <a:lumOff val="0"/>
            <a:alphaOff val="0"/>
          </a:schemeClr>
        </a:solidFill>
        <a:ln w="25400" cap="flat" cmpd="sng" algn="ctr">
          <a:solidFill>
            <a:schemeClr val="accent4">
              <a:hueOff val="5329161"/>
              <a:satOff val="-7465"/>
              <a:lumOff val="49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4231" tIns="187452" rIns="404231" bIns="64008" numCol="1" spcCol="1270" anchor="t" anchorCtr="0">
          <a:noAutofit/>
        </a:bodyPr>
        <a:lstStyle/>
        <a:p>
          <a:pPr marL="57150" lvl="1" indent="-57150" algn="l" defTabSz="400050">
            <a:lnSpc>
              <a:spcPct val="90000"/>
            </a:lnSpc>
            <a:spcBef>
              <a:spcPct val="0"/>
            </a:spcBef>
            <a:spcAft>
              <a:spcPct val="15000"/>
            </a:spcAft>
            <a:buChar char="••"/>
          </a:pPr>
          <a:r>
            <a:rPr lang="en-NZ" sz="900" kern="1200"/>
            <a:t>The production of passports should consider citizen convenience and compliance costs for travellers alongside security matters. </a:t>
          </a:r>
        </a:p>
      </dsp:txBody>
      <dsp:txXfrm>
        <a:off x="0" y="847978"/>
        <a:ext cx="5208422" cy="510300"/>
      </dsp:txXfrm>
    </dsp:sp>
    <dsp:sp modelId="{3744A6D8-4E28-4620-A2D5-9358AEAD8A37}">
      <dsp:nvSpPr>
        <dsp:cNvPr id="0" name=""/>
        <dsp:cNvSpPr/>
      </dsp:nvSpPr>
      <dsp:spPr>
        <a:xfrm>
          <a:off x="260421" y="715138"/>
          <a:ext cx="3645896" cy="265680"/>
        </a:xfrm>
        <a:prstGeom prst="roundRect">
          <a:avLst/>
        </a:prstGeom>
        <a:solidFill>
          <a:schemeClr val="accent4">
            <a:hueOff val="5329161"/>
            <a:satOff val="-7465"/>
            <a:lumOff val="4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806" tIns="0" rIns="137806" bIns="0" numCol="1" spcCol="1270" anchor="ctr" anchorCtr="0">
          <a:noAutofit/>
        </a:bodyPr>
        <a:lstStyle/>
        <a:p>
          <a:pPr lvl="0" algn="l" defTabSz="400050">
            <a:lnSpc>
              <a:spcPct val="90000"/>
            </a:lnSpc>
            <a:spcBef>
              <a:spcPct val="0"/>
            </a:spcBef>
            <a:spcAft>
              <a:spcPct val="35000"/>
            </a:spcAft>
          </a:pPr>
          <a:r>
            <a:rPr lang="en-NZ" sz="900" kern="1200"/>
            <a:t>Citizen convenience</a:t>
          </a:r>
        </a:p>
      </dsp:txBody>
      <dsp:txXfrm>
        <a:off x="273390" y="728107"/>
        <a:ext cx="3619958" cy="239742"/>
      </dsp:txXfrm>
    </dsp:sp>
    <dsp:sp modelId="{061893E5-B75C-4800-89AF-4FFB48C423BA}">
      <dsp:nvSpPr>
        <dsp:cNvPr id="0" name=""/>
        <dsp:cNvSpPr/>
      </dsp:nvSpPr>
      <dsp:spPr>
        <a:xfrm>
          <a:off x="0" y="1563117"/>
          <a:ext cx="5208422" cy="382725"/>
        </a:xfrm>
        <a:prstGeom prst="rect">
          <a:avLst/>
        </a:prstGeom>
        <a:solidFill>
          <a:schemeClr val="lt1">
            <a:alpha val="90000"/>
            <a:hueOff val="0"/>
            <a:satOff val="0"/>
            <a:lumOff val="0"/>
            <a:alphaOff val="0"/>
          </a:schemeClr>
        </a:solidFill>
        <a:ln w="25400" cap="flat" cmpd="sng" algn="ctr">
          <a:solidFill>
            <a:schemeClr val="accent4">
              <a:hueOff val="10658322"/>
              <a:satOff val="-14931"/>
              <a:lumOff val="98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4231" tIns="187452" rIns="404231" bIns="64008" numCol="1" spcCol="1270" anchor="t" anchorCtr="0">
          <a:noAutofit/>
        </a:bodyPr>
        <a:lstStyle/>
        <a:p>
          <a:pPr marL="57150" lvl="1" indent="-57150" algn="l" defTabSz="400050">
            <a:lnSpc>
              <a:spcPct val="90000"/>
            </a:lnSpc>
            <a:spcBef>
              <a:spcPct val="0"/>
            </a:spcBef>
            <a:spcAft>
              <a:spcPct val="15000"/>
            </a:spcAft>
            <a:buChar char="••"/>
          </a:pPr>
          <a:r>
            <a:rPr lang="en-NZ" sz="900" kern="1200"/>
            <a:t>This criteria considers risks to the passports system, and passport holders.</a:t>
          </a:r>
        </a:p>
      </dsp:txBody>
      <dsp:txXfrm>
        <a:off x="0" y="1563117"/>
        <a:ext cx="5208422" cy="382725"/>
      </dsp:txXfrm>
    </dsp:sp>
    <dsp:sp modelId="{E2711D1E-25FA-48CF-93B2-586043C3BFD3}">
      <dsp:nvSpPr>
        <dsp:cNvPr id="0" name=""/>
        <dsp:cNvSpPr/>
      </dsp:nvSpPr>
      <dsp:spPr>
        <a:xfrm>
          <a:off x="260421" y="1406879"/>
          <a:ext cx="3645896" cy="265680"/>
        </a:xfrm>
        <a:prstGeom prst="roundRect">
          <a:avLst/>
        </a:prstGeom>
        <a:solidFill>
          <a:schemeClr val="accent4">
            <a:hueOff val="10658322"/>
            <a:satOff val="-14931"/>
            <a:lumOff val="9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7806" tIns="0" rIns="137806" bIns="0" numCol="1" spcCol="1270" anchor="ctr" anchorCtr="0">
          <a:noAutofit/>
        </a:bodyPr>
        <a:lstStyle/>
        <a:p>
          <a:pPr lvl="0" algn="l" defTabSz="400050">
            <a:lnSpc>
              <a:spcPct val="90000"/>
            </a:lnSpc>
            <a:spcBef>
              <a:spcPct val="0"/>
            </a:spcBef>
            <a:spcAft>
              <a:spcPct val="35000"/>
            </a:spcAft>
          </a:pPr>
          <a:r>
            <a:rPr lang="en-NZ" sz="900" kern="1200"/>
            <a:t>Risk</a:t>
          </a:r>
        </a:p>
      </dsp:txBody>
      <dsp:txXfrm>
        <a:off x="273390" y="1419848"/>
        <a:ext cx="3619958"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6A4D-1A96-4CBE-9373-D0A0C163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359A844D</Template>
  <TotalTime>0</TotalTime>
  <Pages>19</Pages>
  <Words>6559</Words>
  <Characters>36049</Characters>
  <Application>Microsoft Office Word</Application>
  <DocSecurity>4</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42523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Creet</dc:creator>
  <cp:lastModifiedBy>Stephen Ruddell</cp:lastModifiedBy>
  <cp:revision>2</cp:revision>
  <cp:lastPrinted>2015-03-11T00:19:00Z</cp:lastPrinted>
  <dcterms:created xsi:type="dcterms:W3CDTF">2015-06-15T23:18:00Z</dcterms:created>
  <dcterms:modified xsi:type="dcterms:W3CDTF">2015-06-15T23:18:00Z</dcterms:modified>
</cp:coreProperties>
</file>