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98" w:rsidRPr="00E05B98" w:rsidRDefault="00E05B98" w:rsidP="00F81D50">
      <w:pPr>
        <w:pStyle w:val="Heading1"/>
      </w:pPr>
      <w:bookmarkStart w:id="0" w:name="_GoBack"/>
      <w:bookmarkEnd w:id="0"/>
      <w:r w:rsidRPr="00E05B98">
        <w:t>D</w:t>
      </w:r>
      <w:r w:rsidR="00B9476F">
        <w:t xml:space="preserve">ivision </w:t>
      </w:r>
      <w:r w:rsidR="00F62459">
        <w:t>I</w:t>
      </w:r>
      <w:r w:rsidR="00B9476F">
        <w:t xml:space="preserve"> – General Rules</w:t>
      </w:r>
    </w:p>
    <w:p w:rsidR="00E05B98" w:rsidRPr="00E05B98" w:rsidRDefault="00E05B98" w:rsidP="00E05B98">
      <w:pPr>
        <w:spacing w:after="60"/>
        <w:rPr>
          <w:rFonts w:cs="Times New Roman Mäori"/>
        </w:rPr>
      </w:pPr>
      <w:r w:rsidRPr="00E05B98">
        <w:rPr>
          <w:rFonts w:cs="Times New Roman Mäori"/>
        </w:rPr>
        <w:t>Part 1 Interpretation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2 Application of Rules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3 Tips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4 Advice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5 Side Bets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6 Disputes/Complaints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7 Use of Calculators and Other Devices Prohibited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8 Invalidation of Games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9 Wagers</w:t>
      </w:r>
    </w:p>
    <w:p w:rsidR="00E05B98" w:rsidRPr="00E05B98" w:rsidRDefault="00E05B98" w:rsidP="00E05B98">
      <w:pPr>
        <w:spacing w:before="60" w:after="60"/>
        <w:rPr>
          <w:rFonts w:cs="Times New Roman Mäori"/>
        </w:rPr>
      </w:pPr>
      <w:r w:rsidRPr="00E05B98">
        <w:rPr>
          <w:rFonts w:cs="Times New Roman Mäori"/>
        </w:rPr>
        <w:t>Part 10 Payment of Winning Wagers</w:t>
      </w:r>
    </w:p>
    <w:p w:rsidR="00E05B98" w:rsidRPr="00E05B98" w:rsidRDefault="00E05B98" w:rsidP="00E05B98">
      <w:pPr>
        <w:spacing w:before="60"/>
        <w:rPr>
          <w:rFonts w:cs="Times New Roman Mäori"/>
        </w:rPr>
      </w:pPr>
      <w:r w:rsidRPr="00E05B98">
        <w:rPr>
          <w:rFonts w:cs="Times New Roman Mäori"/>
        </w:rPr>
        <w:t>Part 11 Unclaimed Wagers and Winnings</w:t>
      </w:r>
    </w:p>
    <w:p w:rsidR="00E05B98" w:rsidRPr="00F81D50" w:rsidRDefault="00F81D50" w:rsidP="00F81D50">
      <w:pPr>
        <w:pStyle w:val="Heading2"/>
      </w:pPr>
      <w:r>
        <w:t>1.0</w:t>
      </w:r>
      <w:r>
        <w:tab/>
      </w:r>
      <w:r w:rsidR="00E05B98" w:rsidRPr="00F81D50">
        <w:t>Interpreta</w:t>
      </w:r>
      <w:r w:rsidR="00D76C67" w:rsidRPr="00F81D50">
        <w:t>tion</w:t>
      </w:r>
    </w:p>
    <w:p w:rsidR="00E05B98" w:rsidRPr="00E05B98" w:rsidRDefault="009F3DBC" w:rsidP="00E05B98">
      <w:pPr>
        <w:spacing w:after="80"/>
        <w:rPr>
          <w:rFonts w:cs="Times New Roman Mäori"/>
        </w:rPr>
      </w:pPr>
      <w:r>
        <w:rPr>
          <w:rFonts w:cs="Times New Roman Mäori"/>
        </w:rPr>
        <w:t>1.1</w:t>
      </w:r>
      <w:r>
        <w:rPr>
          <w:rFonts w:cs="Times New Roman Mäori"/>
        </w:rPr>
        <w:tab/>
      </w:r>
      <w:r w:rsidR="00E05B98" w:rsidRPr="00E05B98">
        <w:rPr>
          <w:rFonts w:cs="Times New Roman Mäori"/>
        </w:rPr>
        <w:t>In these rules, unless the contrary intention appears: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Act</w:t>
      </w:r>
      <w:r w:rsidRPr="00E05B98">
        <w:rPr>
          <w:rFonts w:cs="Times New Roman Mäori"/>
        </w:rPr>
        <w:t>” means the Casino Control Act 1990;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Approved Procedures</w:t>
      </w:r>
      <w:r w:rsidRPr="00E05B98">
        <w:rPr>
          <w:rFonts w:cs="Times New Roman Mäori"/>
        </w:rPr>
        <w:t>” in relation to a casino, means procedures approved by the Authority for the time being in relation to the casino;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Authority</w:t>
      </w:r>
      <w:r w:rsidRPr="00E05B98">
        <w:rPr>
          <w:rFonts w:cs="Times New Roman Mäori"/>
        </w:rPr>
        <w:t>” means the Casino Control Authority established by section 7 of the Act;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Casino</w:t>
      </w:r>
      <w:r w:rsidRPr="00E05B98">
        <w:rPr>
          <w:rFonts w:cs="Times New Roman Mäori"/>
        </w:rPr>
        <w:t>” means a casino licensed under the Act;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Casino Operator</w:t>
      </w:r>
      <w:r w:rsidRPr="00E05B98">
        <w:rPr>
          <w:rFonts w:cs="Times New Roman Mäori"/>
        </w:rPr>
        <w:t>”, in relation to a casino, means the operator for the time being of the casino, being the holder of a casino operator’s licence;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Certificate of Approval</w:t>
      </w:r>
      <w:r w:rsidRPr="00E05B98">
        <w:rPr>
          <w:rFonts w:cs="Times New Roman Mäori"/>
        </w:rPr>
        <w:t>” means a certificate of approval as an employee in a casino issued under section 57 of the Act;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Chips</w:t>
      </w:r>
      <w:r w:rsidRPr="00E05B98">
        <w:rPr>
          <w:rFonts w:cs="Times New Roman Mäori"/>
        </w:rPr>
        <w:t>” means any tokens used or capable of being used in a casino in the conduct of gaming and approved for the purpose by the Authority. The Authority may approve the use of particular types of chip in a casino for particular purposes, for example keno, gaming machines, table games generally, one or more particular table games, or a combination of any or all of the above;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Electronic Gaming Machine</w:t>
      </w:r>
      <w:r w:rsidRPr="00E05B98">
        <w:rPr>
          <w:rFonts w:cs="Times New Roman Mäori"/>
        </w:rPr>
        <w:t>” means:</w:t>
      </w:r>
    </w:p>
    <w:p w:rsidR="00E05B98" w:rsidRPr="00E05B98" w:rsidRDefault="00E05B98" w:rsidP="00623F3F">
      <w:pPr>
        <w:pStyle w:val="Bullet"/>
        <w:ind w:left="709" w:hanging="425"/>
      </w:pPr>
      <w:r w:rsidRPr="00E05B98">
        <w:t>a mechanical, electrical, electro-mechanical or electronic machine or</w:t>
      </w:r>
      <w:r w:rsidR="009F3DBC">
        <w:t xml:space="preserve"> </w:t>
      </w:r>
      <w:r w:rsidRPr="00E05B98">
        <w:t>device played, used or operated for the purpose of obtaining by chance,</w:t>
      </w:r>
      <w:r w:rsidR="009F3DBC">
        <w:t xml:space="preserve"> </w:t>
      </w:r>
      <w:r w:rsidRPr="00E05B98">
        <w:t>or by a combination of chance and skill, money or goods or services,</w:t>
      </w:r>
      <w:r w:rsidR="009F3DBC">
        <w:t xml:space="preserve"> </w:t>
      </w:r>
      <w:r w:rsidRPr="00E05B98">
        <w:t>or tokens or chips or credits representing money or goods or services,</w:t>
      </w:r>
      <w:r w:rsidR="009F3DBC">
        <w:t xml:space="preserve"> </w:t>
      </w:r>
      <w:r w:rsidRPr="00E05B98">
        <w:t>and</w:t>
      </w:r>
    </w:p>
    <w:p w:rsidR="00E05B98" w:rsidRPr="00E05B98" w:rsidRDefault="00E05B98" w:rsidP="00623F3F">
      <w:pPr>
        <w:pStyle w:val="Bullet"/>
        <w:ind w:left="709" w:hanging="425"/>
      </w:pPr>
      <w:r w:rsidRPr="00E05B98">
        <w:t>in respect of which direct or indirect consideration is paid to</w:t>
      </w:r>
      <w:r w:rsidR="009F3DBC">
        <w:t xml:space="preserve"> </w:t>
      </w:r>
      <w:r w:rsidRPr="00E05B98">
        <w:t>participate,</w:t>
      </w:r>
    </w:p>
    <w:p w:rsidR="00E05B98" w:rsidRPr="00E05B98" w:rsidRDefault="00E05B98" w:rsidP="00F81D50">
      <w:pPr>
        <w:keepLines w:val="0"/>
        <w:widowControl w:val="0"/>
        <w:spacing w:after="80"/>
        <w:rPr>
          <w:rFonts w:cs="Times New Roman Mäori"/>
        </w:rPr>
      </w:pPr>
      <w:r w:rsidRPr="00E05B98">
        <w:rPr>
          <w:rFonts w:cs="Times New Roman Mäori"/>
        </w:rPr>
        <w:lastRenderedPageBreak/>
        <w:t>but does not include a random selection device used in the game of keno or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random number generator software used in the game of Racing Game;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Gaming Machine</w:t>
      </w:r>
      <w:r w:rsidRPr="00E05B98">
        <w:rPr>
          <w:rFonts w:cs="Times New Roman Mäori"/>
        </w:rPr>
        <w:t>” means an electronic gaming machine;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Government Inspector</w:t>
      </w:r>
      <w:r w:rsidRPr="00E05B98">
        <w:rPr>
          <w:rFonts w:cs="Times New Roman Mäori"/>
        </w:rPr>
        <w:t>” means an inspector appointed under section 80 of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the Act;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Secretary</w:t>
      </w:r>
      <w:r w:rsidRPr="00E05B98">
        <w:rPr>
          <w:rFonts w:cs="Times New Roman Mäori"/>
        </w:rPr>
        <w:t>” means the Secretary to the Authority;</w:t>
      </w:r>
    </w:p>
    <w:p w:rsidR="00E05B98" w:rsidRPr="00E05B98" w:rsidRDefault="00E05B98" w:rsidP="00623F3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Void</w:t>
      </w:r>
      <w:r w:rsidRPr="00E05B98">
        <w:rPr>
          <w:rFonts w:cs="Times New Roman Mäori"/>
        </w:rPr>
        <w:t>” means:</w:t>
      </w:r>
    </w:p>
    <w:p w:rsidR="00E05B98" w:rsidRPr="00E05B98" w:rsidRDefault="00E05B98" w:rsidP="00077DEB">
      <w:pPr>
        <w:pStyle w:val="Bullet"/>
        <w:numPr>
          <w:ilvl w:val="0"/>
          <w:numId w:val="16"/>
        </w:numPr>
        <w:ind w:left="709" w:hanging="425"/>
      </w:pPr>
      <w:r w:rsidRPr="00E05B98">
        <w:t>in relation to a wager, that the wager shall be invalid and shall neither win</w:t>
      </w:r>
      <w:r w:rsidR="009F3DBC">
        <w:t xml:space="preserve"> </w:t>
      </w:r>
      <w:r w:rsidRPr="00E05B98">
        <w:t>nor lose,</w:t>
      </w:r>
    </w:p>
    <w:p w:rsidR="00E05B98" w:rsidRPr="00E05B98" w:rsidRDefault="00E05B98" w:rsidP="00077DEB">
      <w:pPr>
        <w:pStyle w:val="Bullet"/>
        <w:numPr>
          <w:ilvl w:val="0"/>
          <w:numId w:val="16"/>
        </w:numPr>
        <w:ind w:left="709" w:hanging="425"/>
      </w:pPr>
      <w:r w:rsidRPr="00E05B98">
        <w:t>in relation to a hand, round or keno draw, an invalid hand, round or draw</w:t>
      </w:r>
      <w:r w:rsidR="009F3DBC">
        <w:t xml:space="preserve"> </w:t>
      </w:r>
      <w:r w:rsidRPr="00E05B98">
        <w:t>with no result.</w:t>
      </w:r>
    </w:p>
    <w:p w:rsidR="00E05B98" w:rsidRPr="00E05B98" w:rsidRDefault="00E05B98" w:rsidP="00623F3F">
      <w:pPr>
        <w:rPr>
          <w:rFonts w:cs="Times New Roman Mäori"/>
        </w:rPr>
      </w:pPr>
      <w:r w:rsidRPr="00E05B98">
        <w:rPr>
          <w:rFonts w:cs="Times New Roman Mäori"/>
        </w:rPr>
        <w:t>“</w:t>
      </w:r>
      <w:r w:rsidRPr="00E05B98">
        <w:rPr>
          <w:rFonts w:cs="Times New Roman Mäori"/>
          <w:b/>
        </w:rPr>
        <w:t>Winnings</w:t>
      </w:r>
      <w:r w:rsidRPr="00E05B98">
        <w:rPr>
          <w:rFonts w:cs="Times New Roman Mäori"/>
        </w:rPr>
        <w:t>” includes any non-monetary prize won on a wager.</w:t>
      </w:r>
    </w:p>
    <w:p w:rsidR="00E05B98" w:rsidRPr="00E05B98" w:rsidRDefault="00F81D50" w:rsidP="00F81D50">
      <w:pPr>
        <w:pStyle w:val="Heading2"/>
      </w:pPr>
      <w:r>
        <w:t>2.0</w:t>
      </w:r>
      <w:r>
        <w:tab/>
        <w:t xml:space="preserve">Application </w:t>
      </w:r>
      <w:r w:rsidR="00E05B98" w:rsidRPr="00E05B98">
        <w:t>of Rules</w:t>
      </w:r>
    </w:p>
    <w:p w:rsidR="00E05B98" w:rsidRPr="00E05B98" w:rsidRDefault="009F3DBC" w:rsidP="009F3DBC">
      <w:pPr>
        <w:ind w:left="564" w:hanging="564"/>
        <w:rPr>
          <w:rFonts w:cs="Times New Roman Mäori"/>
        </w:rPr>
      </w:pPr>
      <w:r>
        <w:rPr>
          <w:rFonts w:cs="Times New Roman Mäori"/>
        </w:rPr>
        <w:t>2.1</w:t>
      </w:r>
      <w:r>
        <w:rPr>
          <w:rFonts w:cs="Times New Roman Mäori"/>
        </w:rPr>
        <w:tab/>
      </w:r>
      <w:r w:rsidR="00E05B98" w:rsidRPr="00E05B98">
        <w:rPr>
          <w:rFonts w:cs="Times New Roman Mäori"/>
        </w:rPr>
        <w:t>These rules shall apply to the games described herein, and shall be binding on</w:t>
      </w:r>
      <w:r>
        <w:rPr>
          <w:rFonts w:cs="Times New Roman Mäori"/>
        </w:rPr>
        <w:t xml:space="preserve"> </w:t>
      </w:r>
      <w:r w:rsidR="00E05B98" w:rsidRPr="00E05B98">
        <w:rPr>
          <w:rFonts w:cs="Times New Roman Mäori"/>
        </w:rPr>
        <w:t>the casino operator and its employees and agents.</w:t>
      </w:r>
    </w:p>
    <w:p w:rsidR="00E05B98" w:rsidRPr="00E05B98" w:rsidRDefault="00E05B98" w:rsidP="009F3DBC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>2.2</w:t>
      </w:r>
      <w:r w:rsidR="009F3DBC">
        <w:rPr>
          <w:rFonts w:cs="Times New Roman Mäori"/>
        </w:rPr>
        <w:tab/>
      </w:r>
      <w:r w:rsidRPr="00E05B98">
        <w:rPr>
          <w:rFonts w:cs="Times New Roman Mäori"/>
        </w:rPr>
        <w:t>By participating in a game a player undertakes to comply with and be bound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by these rules and to accept as binding the decisions made by the casino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operator and its employees and agents pursuant to these rules.</w:t>
      </w:r>
    </w:p>
    <w:p w:rsidR="00E05B98" w:rsidRPr="00E05B98" w:rsidRDefault="00E05B98" w:rsidP="00F81D50">
      <w:pPr>
        <w:pStyle w:val="Heading2"/>
      </w:pPr>
      <w:r w:rsidRPr="00E05B98">
        <w:t xml:space="preserve">3.0 </w:t>
      </w:r>
      <w:r w:rsidR="009F3DBC">
        <w:tab/>
      </w:r>
      <w:r w:rsidRPr="00F81D50">
        <w:t>Tips</w:t>
      </w:r>
    </w:p>
    <w:p w:rsidR="00E05B98" w:rsidRPr="00E05B98" w:rsidRDefault="00E05B98" w:rsidP="009F3DBC">
      <w:pPr>
        <w:ind w:left="567"/>
        <w:rPr>
          <w:rFonts w:cs="Times New Roman Mäori"/>
        </w:rPr>
      </w:pPr>
      <w:r w:rsidRPr="00E05B98">
        <w:rPr>
          <w:rFonts w:cs="Times New Roman Mäori"/>
        </w:rPr>
        <w:t>No person employed in a casino in any capacity relating to the conduct of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gaming, and no other holder of a certificate of approval employed in or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associated with a casino, may solicit or accept any tip, gratuity, consideration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or other benefit from any player or customer in the casino.</w:t>
      </w:r>
    </w:p>
    <w:p w:rsidR="00E05B98" w:rsidRPr="00E05B98" w:rsidRDefault="00E05B98" w:rsidP="00F81D50">
      <w:pPr>
        <w:pStyle w:val="Heading2"/>
      </w:pPr>
      <w:r w:rsidRPr="00E05B98">
        <w:t xml:space="preserve">4.0 </w:t>
      </w:r>
      <w:r w:rsidR="009F3DBC">
        <w:tab/>
      </w:r>
      <w:r w:rsidRPr="00E05B98">
        <w:t>Advice</w:t>
      </w:r>
    </w:p>
    <w:p w:rsidR="00E05B98" w:rsidRPr="00E05B98" w:rsidRDefault="00E05B98" w:rsidP="009F3DBC">
      <w:pPr>
        <w:ind w:left="567"/>
        <w:rPr>
          <w:rFonts w:cs="Times New Roman Mäori"/>
        </w:rPr>
      </w:pPr>
      <w:r w:rsidRPr="00E05B98">
        <w:rPr>
          <w:rFonts w:cs="Times New Roman Mäori"/>
        </w:rPr>
        <w:t>A player shall not be advised by an employee of the casino on how to play,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except to ensure compliance with these rules.</w:t>
      </w:r>
    </w:p>
    <w:p w:rsidR="00E05B98" w:rsidRPr="00E05B98" w:rsidRDefault="00E05B98" w:rsidP="00F81D50">
      <w:pPr>
        <w:pStyle w:val="Heading2"/>
      </w:pPr>
      <w:r w:rsidRPr="00E05B98">
        <w:t xml:space="preserve">5.0 </w:t>
      </w:r>
      <w:r w:rsidR="009F3DBC">
        <w:tab/>
      </w:r>
      <w:r w:rsidRPr="00E05B98">
        <w:t>Side Bets</w:t>
      </w:r>
    </w:p>
    <w:p w:rsidR="00E05B98" w:rsidRPr="00E05B98" w:rsidRDefault="00E05B98" w:rsidP="009F3DBC">
      <w:pPr>
        <w:ind w:firstLine="567"/>
        <w:rPr>
          <w:rFonts w:cs="Times New Roman Mäori"/>
        </w:rPr>
      </w:pPr>
      <w:r w:rsidRPr="00E05B98">
        <w:rPr>
          <w:rFonts w:cs="Times New Roman Mäori"/>
        </w:rPr>
        <w:t>Players and spectators are not permitted to have side bets with or against each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other.</w:t>
      </w:r>
    </w:p>
    <w:p w:rsidR="00E05B98" w:rsidRPr="00E05B98" w:rsidRDefault="00E05B98" w:rsidP="00F81D50">
      <w:pPr>
        <w:pStyle w:val="Heading2"/>
      </w:pPr>
      <w:r w:rsidRPr="00E05B98">
        <w:t xml:space="preserve">6.0 </w:t>
      </w:r>
      <w:r w:rsidR="009F3DBC">
        <w:tab/>
      </w:r>
      <w:r w:rsidRPr="00E05B98">
        <w:t>Disputes/Complaints</w:t>
      </w:r>
    </w:p>
    <w:p w:rsidR="00E05B98" w:rsidRPr="00E05B98" w:rsidRDefault="00E05B98" w:rsidP="009F3DBC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6.1 </w:t>
      </w:r>
      <w:r w:rsidR="009F3DBC">
        <w:rPr>
          <w:rFonts w:cs="Times New Roman Mäori"/>
        </w:rPr>
        <w:tab/>
      </w:r>
      <w:r w:rsidRPr="00E05B98">
        <w:rPr>
          <w:rFonts w:cs="Times New Roman Mäori"/>
        </w:rPr>
        <w:t>Complainants in all unresolved disputes shall be advised of their right to make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a complaint to a Government inspector in relation to the conduct of gaming.</w:t>
      </w:r>
    </w:p>
    <w:p w:rsidR="00E05B98" w:rsidRPr="00E05B98" w:rsidRDefault="00E05B98" w:rsidP="009F3DBC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6.2 </w:t>
      </w:r>
      <w:r w:rsidR="009F3DBC">
        <w:rPr>
          <w:rFonts w:cs="Times New Roman Mäori"/>
        </w:rPr>
        <w:tab/>
      </w:r>
      <w:r w:rsidRPr="00E05B98">
        <w:rPr>
          <w:rFonts w:cs="Times New Roman Mäori"/>
        </w:rPr>
        <w:t>The casino operator shall make a copy of these rules available for examination</w:t>
      </w:r>
      <w:r w:rsidR="009F3DBC">
        <w:rPr>
          <w:rFonts w:cs="Times New Roman Mäori"/>
        </w:rPr>
        <w:t xml:space="preserve"> </w:t>
      </w:r>
      <w:r w:rsidRPr="00E05B98">
        <w:rPr>
          <w:rFonts w:cs="Times New Roman Mäori"/>
        </w:rPr>
        <w:t>upon request.</w:t>
      </w:r>
    </w:p>
    <w:p w:rsidR="00E05B98" w:rsidRPr="00E05B98" w:rsidRDefault="00E05B98" w:rsidP="00F81D50">
      <w:pPr>
        <w:pStyle w:val="Heading2"/>
      </w:pPr>
      <w:r w:rsidRPr="00E05B98">
        <w:lastRenderedPageBreak/>
        <w:t xml:space="preserve">7.0 </w:t>
      </w:r>
      <w:r w:rsidR="005A010F">
        <w:tab/>
      </w:r>
      <w:r w:rsidRPr="00E05B98">
        <w:t>Use of Calculators and Other Devices Prohibited</w:t>
      </w:r>
    </w:p>
    <w:p w:rsidR="00E05B98" w:rsidRPr="00E05B98" w:rsidRDefault="00E05B98" w:rsidP="005A010F">
      <w:pPr>
        <w:keepLines w:val="0"/>
        <w:widowControl w:val="0"/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7.1 </w:t>
      </w:r>
      <w:r w:rsidR="005A010F">
        <w:rPr>
          <w:rFonts w:cs="Times New Roman Mäori"/>
        </w:rPr>
        <w:tab/>
      </w:r>
      <w:r w:rsidRPr="00E05B98">
        <w:rPr>
          <w:rFonts w:cs="Times New Roman Mäori"/>
        </w:rPr>
        <w:t>No person shall, either alone or in concert with any other person, use or have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in his/her possession or control, at or near any gaming machine or location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related to the playing of a gaming machine, a calculator, computer, or other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electronic, electrical or mechanical apparatus or device that is capable, with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respect to the gaming machine or a part thereof, of interfering with the proper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or normal operation of the machine or a part thereof.</w:t>
      </w:r>
    </w:p>
    <w:p w:rsidR="00E05B98" w:rsidRPr="00E05B98" w:rsidRDefault="00E05B98" w:rsidP="005A010F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 xml:space="preserve">7.2 </w:t>
      </w:r>
      <w:r w:rsidR="005A010F">
        <w:rPr>
          <w:rFonts w:cs="Times New Roman Mäori"/>
        </w:rPr>
        <w:tab/>
      </w:r>
      <w:r w:rsidRPr="00E05B98">
        <w:rPr>
          <w:rFonts w:cs="Times New Roman Mäori"/>
        </w:rPr>
        <w:t>Where the casino operator is satisfied that a player has contravened rule 7.1 it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may:</w:t>
      </w:r>
    </w:p>
    <w:p w:rsidR="00E05B98" w:rsidRPr="00E05B98" w:rsidRDefault="00E05B98" w:rsidP="00077DEB">
      <w:pPr>
        <w:pStyle w:val="Bullet"/>
        <w:numPr>
          <w:ilvl w:val="0"/>
          <w:numId w:val="17"/>
        </w:numPr>
      </w:pPr>
      <w:r w:rsidRPr="00E05B98">
        <w:t>declare that any wager made by the player shall be void; and</w:t>
      </w:r>
    </w:p>
    <w:p w:rsidR="00E05B98" w:rsidRPr="00E05B98" w:rsidRDefault="00E05B98" w:rsidP="00077DEB">
      <w:pPr>
        <w:pStyle w:val="Bullet"/>
        <w:numPr>
          <w:ilvl w:val="0"/>
          <w:numId w:val="17"/>
        </w:numPr>
        <w:spacing w:after="240"/>
        <w:ind w:left="1281" w:hanging="357"/>
      </w:pPr>
      <w:r w:rsidRPr="00E05B98">
        <w:t>direct that the player be excluded from further participation in the</w:t>
      </w:r>
      <w:r w:rsidR="005A010F">
        <w:t xml:space="preserve"> </w:t>
      </w:r>
      <w:r w:rsidRPr="00E05B98">
        <w:t>game.</w:t>
      </w:r>
    </w:p>
    <w:p w:rsidR="00E05B98" w:rsidRPr="00E05B98" w:rsidRDefault="00E05B98" w:rsidP="005A010F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7.3 </w:t>
      </w:r>
      <w:r w:rsidR="005A010F">
        <w:rPr>
          <w:rFonts w:cs="Times New Roman Mäori"/>
        </w:rPr>
        <w:tab/>
      </w:r>
      <w:r w:rsidRPr="00E05B98">
        <w:rPr>
          <w:rFonts w:cs="Times New Roman Mäori"/>
        </w:rPr>
        <w:t>Rule 7.1 of this division shall not apply to possession, use or control by an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agent or employee of the casino operator, a Government inspector or a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member of the Police, where such person is acting in the course of his/her</w:t>
      </w:r>
      <w:r w:rsidR="005A010F">
        <w:rPr>
          <w:rFonts w:cs="Times New Roman Mäori"/>
        </w:rPr>
        <w:t xml:space="preserve"> </w:t>
      </w:r>
      <w:r w:rsidRPr="00E05B98">
        <w:rPr>
          <w:rFonts w:cs="Times New Roman Mäori"/>
        </w:rPr>
        <w:t>duty.</w:t>
      </w:r>
    </w:p>
    <w:p w:rsidR="00E05B98" w:rsidRPr="00E05B98" w:rsidRDefault="00E05B98" w:rsidP="00F81D50">
      <w:pPr>
        <w:pStyle w:val="Heading2"/>
      </w:pPr>
      <w:r w:rsidRPr="00E05B98">
        <w:t>8.0 Invalidation of Games</w:t>
      </w:r>
    </w:p>
    <w:p w:rsidR="00E05B98" w:rsidRPr="00E05B98" w:rsidRDefault="00E05B98" w:rsidP="00995B28">
      <w:pPr>
        <w:spacing w:after="80"/>
        <w:rPr>
          <w:rFonts w:cs="Times New Roman Mäori"/>
        </w:rPr>
      </w:pPr>
      <w:r w:rsidRPr="00E05B98">
        <w:rPr>
          <w:rFonts w:cs="Times New Roman Mäori"/>
        </w:rPr>
        <w:t xml:space="preserve">8.1 </w:t>
      </w:r>
      <w:r w:rsidR="00995B28">
        <w:rPr>
          <w:rFonts w:cs="Times New Roman Mäori"/>
        </w:rPr>
        <w:tab/>
      </w:r>
      <w:r w:rsidRPr="00E05B98">
        <w:rPr>
          <w:rFonts w:cs="Times New Roman Mäori"/>
        </w:rPr>
        <w:t>The casino operator may invalidate the outcome of a game if:</w:t>
      </w:r>
    </w:p>
    <w:p w:rsidR="00E05B98" w:rsidRPr="00E05B98" w:rsidRDefault="00E05B98" w:rsidP="00077DEB">
      <w:pPr>
        <w:pStyle w:val="Bullet"/>
        <w:numPr>
          <w:ilvl w:val="0"/>
          <w:numId w:val="18"/>
        </w:numPr>
      </w:pPr>
      <w:r w:rsidRPr="00E05B98">
        <w:t>the game is disrupted by civil commotion, fire, riot, brawl, robbery, or</w:t>
      </w:r>
      <w:r w:rsidR="00995B28">
        <w:t xml:space="preserve"> </w:t>
      </w:r>
      <w:r w:rsidRPr="00E05B98">
        <w:t>an act of God; or</w:t>
      </w:r>
    </w:p>
    <w:p w:rsidR="00E05B98" w:rsidRPr="00E05B98" w:rsidRDefault="00E05B98" w:rsidP="00077DEB">
      <w:pPr>
        <w:pStyle w:val="Bullet"/>
        <w:numPr>
          <w:ilvl w:val="0"/>
          <w:numId w:val="18"/>
        </w:numPr>
        <w:spacing w:after="240"/>
        <w:ind w:left="1281" w:hanging="357"/>
      </w:pPr>
      <w:r w:rsidRPr="00E05B98">
        <w:t>any fraudulent act is perpetrated by any person that, in the sole opinion</w:t>
      </w:r>
      <w:r w:rsidR="00995B28">
        <w:t xml:space="preserve"> </w:t>
      </w:r>
      <w:r w:rsidRPr="00E05B98">
        <w:t>of the casino operator, affects the outcome of the game.</w:t>
      </w:r>
    </w:p>
    <w:p w:rsidR="00E05B98" w:rsidRPr="00E05B98" w:rsidRDefault="00E05B98" w:rsidP="00B87C67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8.2 </w:t>
      </w:r>
      <w:r w:rsidR="00B87C67">
        <w:rPr>
          <w:rFonts w:cs="Times New Roman Mäori"/>
        </w:rPr>
        <w:tab/>
      </w:r>
      <w:r w:rsidRPr="00E05B98">
        <w:rPr>
          <w:rFonts w:cs="Times New Roman Mäori"/>
        </w:rPr>
        <w:t>Where the outcome of a game is invalidated pursuant to rule 8.1 of this</w:t>
      </w:r>
      <w:r w:rsidR="00B87C67">
        <w:rPr>
          <w:rFonts w:cs="Times New Roman Mäori"/>
        </w:rPr>
        <w:t xml:space="preserve"> </w:t>
      </w:r>
      <w:r w:rsidRPr="00E05B98">
        <w:rPr>
          <w:rFonts w:cs="Times New Roman Mäori"/>
        </w:rPr>
        <w:t>division, all wagers made by the players for that particular result shall be</w:t>
      </w:r>
      <w:r w:rsidR="00B87C67">
        <w:rPr>
          <w:rFonts w:cs="Times New Roman Mäori"/>
        </w:rPr>
        <w:t xml:space="preserve"> </w:t>
      </w:r>
      <w:r w:rsidRPr="00E05B98">
        <w:rPr>
          <w:rFonts w:cs="Times New Roman Mäori"/>
        </w:rPr>
        <w:t>refunded, provided that the casino operator may direct that the wager of any</w:t>
      </w:r>
      <w:r w:rsidR="00B87C67">
        <w:rPr>
          <w:rFonts w:cs="Times New Roman Mäori"/>
        </w:rPr>
        <w:t xml:space="preserve"> </w:t>
      </w:r>
      <w:r w:rsidRPr="00E05B98">
        <w:rPr>
          <w:rFonts w:cs="Times New Roman Mäori"/>
        </w:rPr>
        <w:t>person referred to in rule 8.1(b), being a player, be forfeited.</w:t>
      </w:r>
    </w:p>
    <w:p w:rsidR="00E05B98" w:rsidRPr="00E05B98" w:rsidRDefault="00E05B98" w:rsidP="00F81D50">
      <w:pPr>
        <w:pStyle w:val="Heading2"/>
      </w:pPr>
      <w:r w:rsidRPr="00E05B98">
        <w:t xml:space="preserve">9.0 </w:t>
      </w:r>
      <w:r w:rsidR="00081C4C">
        <w:tab/>
      </w:r>
      <w:r w:rsidRPr="00E05B98">
        <w:t>Wagers</w:t>
      </w:r>
    </w:p>
    <w:p w:rsidR="00E05B98" w:rsidRPr="00E05B98" w:rsidRDefault="00E05B98" w:rsidP="00081C4C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9.1 </w:t>
      </w:r>
      <w:r w:rsidR="00081C4C">
        <w:rPr>
          <w:rFonts w:cs="Times New Roman Mäori"/>
        </w:rPr>
        <w:tab/>
      </w:r>
      <w:r w:rsidRPr="00E05B98">
        <w:rPr>
          <w:rFonts w:cs="Times New Roman Mäori"/>
        </w:rPr>
        <w:t>A player shall not make, and the casino operator, its employees and agents</w:t>
      </w:r>
      <w:r w:rsidR="00081C4C">
        <w:rPr>
          <w:rFonts w:cs="Times New Roman Mäori"/>
        </w:rPr>
        <w:t xml:space="preserve"> </w:t>
      </w:r>
      <w:r w:rsidRPr="00E05B98">
        <w:rPr>
          <w:rFonts w:cs="Times New Roman Mäori"/>
        </w:rPr>
        <w:t>shall not accept, in connection with any game, a wager if the wager is not</w:t>
      </w:r>
      <w:r w:rsidR="00081C4C">
        <w:rPr>
          <w:rFonts w:cs="Times New Roman Mäori"/>
        </w:rPr>
        <w:t xml:space="preserve"> </w:t>
      </w:r>
      <w:r w:rsidRPr="00E05B98">
        <w:rPr>
          <w:rFonts w:cs="Times New Roman Mäori"/>
        </w:rPr>
        <w:t>expressly permitted by the rules of the game.</w:t>
      </w:r>
    </w:p>
    <w:p w:rsidR="00E05B98" w:rsidRPr="00E05B98" w:rsidRDefault="00E05B98" w:rsidP="00081C4C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9.2 </w:t>
      </w:r>
      <w:r w:rsidR="00081C4C">
        <w:rPr>
          <w:rFonts w:cs="Times New Roman Mäori"/>
        </w:rPr>
        <w:tab/>
      </w:r>
      <w:r w:rsidRPr="00E05B98">
        <w:rPr>
          <w:rFonts w:cs="Times New Roman Mäori"/>
        </w:rPr>
        <w:t>Where the rules of a game provide for wagers to be made with or represented</w:t>
      </w:r>
      <w:r w:rsidR="00081C4C">
        <w:rPr>
          <w:rFonts w:cs="Times New Roman Mäori"/>
        </w:rPr>
        <w:t xml:space="preserve"> </w:t>
      </w:r>
      <w:r w:rsidRPr="00E05B98">
        <w:rPr>
          <w:rFonts w:cs="Times New Roman Mäori"/>
        </w:rPr>
        <w:t>by chips, such chips shall be value chips (i.e. marked with denominations of</w:t>
      </w:r>
      <w:r w:rsidR="00081C4C">
        <w:rPr>
          <w:rFonts w:cs="Times New Roman Mäori"/>
        </w:rPr>
        <w:t xml:space="preserve"> </w:t>
      </w:r>
      <w:r w:rsidRPr="00E05B98">
        <w:rPr>
          <w:rFonts w:cs="Times New Roman Mäori"/>
        </w:rPr>
        <w:t>value) unless the rules permit non-value chips (i.e. chips without denomination</w:t>
      </w:r>
      <w:r w:rsidR="00081C4C">
        <w:rPr>
          <w:rFonts w:cs="Times New Roman Mäori"/>
        </w:rPr>
        <w:t xml:space="preserve"> </w:t>
      </w:r>
      <w:r w:rsidRPr="00E05B98">
        <w:rPr>
          <w:rFonts w:cs="Times New Roman Mäori"/>
        </w:rPr>
        <w:t>markings) to be used.</w:t>
      </w:r>
    </w:p>
    <w:p w:rsidR="00E05B98" w:rsidRPr="00E05B98" w:rsidRDefault="00E05B98" w:rsidP="00F81D50">
      <w:pPr>
        <w:pStyle w:val="Heading2"/>
      </w:pPr>
      <w:r w:rsidRPr="00E05B98">
        <w:t>10.0 Payment of Winning Wagers</w:t>
      </w:r>
    </w:p>
    <w:p w:rsidR="00E05B98" w:rsidRPr="00E05B98" w:rsidRDefault="00E05B98" w:rsidP="00F81D50">
      <w:pPr>
        <w:rPr>
          <w:rFonts w:cs="Times New Roman Mäori"/>
        </w:rPr>
      </w:pPr>
      <w:r w:rsidRPr="00E05B98">
        <w:rPr>
          <w:rFonts w:cs="Times New Roman Mäori"/>
        </w:rPr>
        <w:t>All wagers placed with a casino operator shall be paid, taken or disposed of by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the casino operator strictly in accordance with these rules. A player’s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entitlement to winnings shall be governed by and determined in accordance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with the rules, irrespective of any overpayment by the casino operator, and the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casino operator shall be entitled to recover any such overpayment.</w:t>
      </w:r>
    </w:p>
    <w:p w:rsidR="00E05B98" w:rsidRPr="00E05B98" w:rsidRDefault="00E05B98" w:rsidP="00F81D50">
      <w:pPr>
        <w:pStyle w:val="Heading2"/>
      </w:pPr>
      <w:r w:rsidRPr="00E05B98">
        <w:lastRenderedPageBreak/>
        <w:t>11.0 Unclaimed Wagers and Winnings</w:t>
      </w:r>
    </w:p>
    <w:p w:rsidR="00E05B98" w:rsidRPr="00E05B98" w:rsidRDefault="00E05B98" w:rsidP="00D76C67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11.1 </w:t>
      </w:r>
      <w:r w:rsidR="00D76C67">
        <w:rPr>
          <w:rFonts w:cs="Times New Roman Mäori"/>
        </w:rPr>
        <w:tab/>
      </w:r>
      <w:r w:rsidRPr="00E05B98">
        <w:rPr>
          <w:rFonts w:cs="Times New Roman Mäori"/>
        </w:rPr>
        <w:t>Players are responsible for claiming and collecting winning wagers, winnings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and gaming machine credits due to them pursuant to these rules.</w:t>
      </w:r>
    </w:p>
    <w:p w:rsidR="00E05B98" w:rsidRPr="00E05B98" w:rsidRDefault="00E05B98" w:rsidP="00D76C67">
      <w:pPr>
        <w:ind w:left="564" w:hanging="564"/>
        <w:rPr>
          <w:rFonts w:cs="Times New Roman Mäori"/>
        </w:rPr>
      </w:pPr>
      <w:r w:rsidRPr="00E05B98">
        <w:rPr>
          <w:rFonts w:cs="Times New Roman Mäori"/>
        </w:rPr>
        <w:t xml:space="preserve">11.2 </w:t>
      </w:r>
      <w:r w:rsidR="00D76C67">
        <w:rPr>
          <w:rFonts w:cs="Times New Roman Mäori"/>
        </w:rPr>
        <w:tab/>
      </w:r>
      <w:r w:rsidRPr="00E05B98">
        <w:rPr>
          <w:rFonts w:cs="Times New Roman Mäori"/>
        </w:rPr>
        <w:t>Subject to any express provision in these rules that may apply, where a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winning wager or gaming machine credit is, or winnings are, not collected by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a player, the casino operator shall hold and dispose of it or them in accordance</w:t>
      </w:r>
      <w:r w:rsidR="00D76C67">
        <w:rPr>
          <w:rFonts w:cs="Times New Roman Mäori"/>
        </w:rPr>
        <w:t xml:space="preserve"> </w:t>
      </w:r>
      <w:r w:rsidRPr="00E05B98">
        <w:rPr>
          <w:rFonts w:cs="Times New Roman Mäori"/>
        </w:rPr>
        <w:t>with approved procedures.</w:t>
      </w:r>
    </w:p>
    <w:p w:rsidR="008031DF" w:rsidRPr="00E05B98" w:rsidRDefault="008031DF" w:rsidP="00E05B98"/>
    <w:sectPr w:rsidR="008031DF" w:rsidRPr="00E05B98" w:rsidSect="00F81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992" w:left="1418" w:header="283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EB" w:rsidRDefault="00077DEB">
      <w:r>
        <w:separator/>
      </w:r>
    </w:p>
    <w:p w:rsidR="00077DEB" w:rsidRDefault="00077DEB"/>
    <w:p w:rsidR="00077DEB" w:rsidRDefault="00077DEB"/>
  </w:endnote>
  <w:endnote w:type="continuationSeparator" w:id="0">
    <w:p w:rsidR="00077DEB" w:rsidRDefault="00077DEB">
      <w:r>
        <w:continuationSeparator/>
      </w:r>
    </w:p>
    <w:p w:rsidR="00077DEB" w:rsidRDefault="00077DEB"/>
    <w:p w:rsidR="00077DEB" w:rsidRDefault="00077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1" w:rsidRDefault="00FA5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6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6B4" w:rsidRDefault="00D63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6B4" w:rsidRDefault="006319FF" w:rsidP="00126FDE">
    <w:pPr>
      <w:pStyle w:val="Footer"/>
      <w:tabs>
        <w:tab w:val="right" w:pos="9071"/>
      </w:tabs>
      <w:ind w:right="-1"/>
    </w:pPr>
    <w:r>
      <w:t>Consolidated 15 June 2004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1" w:rsidRDefault="00FA5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EB" w:rsidRDefault="00077DEB" w:rsidP="00FB1990">
      <w:pPr>
        <w:pStyle w:val="Spacer"/>
      </w:pPr>
      <w:r>
        <w:separator/>
      </w:r>
    </w:p>
    <w:p w:rsidR="00077DEB" w:rsidRDefault="00077DEB" w:rsidP="00FB1990">
      <w:pPr>
        <w:pStyle w:val="Spacer"/>
      </w:pPr>
    </w:p>
  </w:footnote>
  <w:footnote w:type="continuationSeparator" w:id="0">
    <w:p w:rsidR="00077DEB" w:rsidRDefault="00077DEB">
      <w:r>
        <w:continuationSeparator/>
      </w:r>
    </w:p>
    <w:p w:rsidR="00077DEB" w:rsidRDefault="00077DEB"/>
    <w:p w:rsidR="00077DEB" w:rsidRDefault="00077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F1" w:rsidRDefault="00FA5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B4" w:rsidRDefault="00D636B4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B4" w:rsidRDefault="006C1AB4" w:rsidP="00F44E29">
    <w:pPr>
      <w:pStyle w:val="Header"/>
      <w:tabs>
        <w:tab w:val="right" w:pos="9072"/>
      </w:tabs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>
          <wp:simplePos x="0" y="0"/>
          <wp:positionH relativeFrom="page">
            <wp:posOffset>3348355</wp:posOffset>
          </wp:positionH>
          <wp:positionV relativeFrom="page">
            <wp:posOffset>504190</wp:posOffset>
          </wp:positionV>
          <wp:extent cx="3708000" cy="655200"/>
          <wp:effectExtent l="0" t="0" r="0" b="0"/>
          <wp:wrapTopAndBottom/>
          <wp:docPr id="1" name="Picture 1" descr="\\officetemplates.dia.govt.nz\diatemplates$\Templates\Images\Logo -  DIA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D50" w:rsidRDefault="00F81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FD40A31"/>
    <w:multiLevelType w:val="multilevel"/>
    <w:tmpl w:val="E7D0D9A8"/>
    <w:lvl w:ilvl="0">
      <w:start w:val="1"/>
      <w:numFmt w:val="lowerLetter"/>
      <w:pStyle w:val="Bullet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64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17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8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9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17"/>
  </w:num>
  <w:num w:numId="13">
    <w:abstractNumId w:val="19"/>
  </w:num>
  <w:num w:numId="14">
    <w:abstractNumId w:val="7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3"/>
  </w:num>
  <w:num w:numId="22">
    <w:abstractNumId w:val="11"/>
  </w:num>
  <w:num w:numId="23">
    <w:abstractNumId w:val="8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6"/>
    <w:rsid w:val="00003360"/>
    <w:rsid w:val="00003FC7"/>
    <w:rsid w:val="00005919"/>
    <w:rsid w:val="00007C42"/>
    <w:rsid w:val="00015020"/>
    <w:rsid w:val="0001647B"/>
    <w:rsid w:val="00020010"/>
    <w:rsid w:val="00022D68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77DEB"/>
    <w:rsid w:val="00081C4C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40ED2"/>
    <w:rsid w:val="00143E7C"/>
    <w:rsid w:val="001536C9"/>
    <w:rsid w:val="0016433D"/>
    <w:rsid w:val="00165B44"/>
    <w:rsid w:val="00184C0F"/>
    <w:rsid w:val="001A5F55"/>
    <w:rsid w:val="001C0031"/>
    <w:rsid w:val="001C0C30"/>
    <w:rsid w:val="001D0111"/>
    <w:rsid w:val="001D7EAE"/>
    <w:rsid w:val="001E64FC"/>
    <w:rsid w:val="001F0724"/>
    <w:rsid w:val="001F6F2A"/>
    <w:rsid w:val="002007DF"/>
    <w:rsid w:val="00205FE8"/>
    <w:rsid w:val="00206BA3"/>
    <w:rsid w:val="00215160"/>
    <w:rsid w:val="002224B4"/>
    <w:rsid w:val="00226D5E"/>
    <w:rsid w:val="00237A3D"/>
    <w:rsid w:val="00240E83"/>
    <w:rsid w:val="00245346"/>
    <w:rsid w:val="002502D1"/>
    <w:rsid w:val="00260A17"/>
    <w:rsid w:val="00270EEC"/>
    <w:rsid w:val="002806A2"/>
    <w:rsid w:val="00297CC7"/>
    <w:rsid w:val="002A194F"/>
    <w:rsid w:val="002A4BD9"/>
    <w:rsid w:val="002A4FE7"/>
    <w:rsid w:val="002B1CEB"/>
    <w:rsid w:val="002B5B8C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7DB"/>
    <w:rsid w:val="00375B80"/>
    <w:rsid w:val="00377352"/>
    <w:rsid w:val="003A10DA"/>
    <w:rsid w:val="003A12C8"/>
    <w:rsid w:val="003A397F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6068"/>
    <w:rsid w:val="004763B3"/>
    <w:rsid w:val="00477619"/>
    <w:rsid w:val="00486E6E"/>
    <w:rsid w:val="004875DF"/>
    <w:rsid w:val="00487C1D"/>
    <w:rsid w:val="00494C6F"/>
    <w:rsid w:val="004A5823"/>
    <w:rsid w:val="004B0090"/>
    <w:rsid w:val="004B0AAF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501C4B"/>
    <w:rsid w:val="005078B7"/>
    <w:rsid w:val="00510D73"/>
    <w:rsid w:val="00512ACB"/>
    <w:rsid w:val="0052216D"/>
    <w:rsid w:val="00526115"/>
    <w:rsid w:val="00533FAF"/>
    <w:rsid w:val="005366B6"/>
    <w:rsid w:val="00541552"/>
    <w:rsid w:val="00543A5A"/>
    <w:rsid w:val="00554BCD"/>
    <w:rsid w:val="00555F60"/>
    <w:rsid w:val="00560B3C"/>
    <w:rsid w:val="00561A97"/>
    <w:rsid w:val="00563DAC"/>
    <w:rsid w:val="005675E0"/>
    <w:rsid w:val="00570A71"/>
    <w:rsid w:val="00570C00"/>
    <w:rsid w:val="0058206B"/>
    <w:rsid w:val="00585690"/>
    <w:rsid w:val="00595B33"/>
    <w:rsid w:val="0059662F"/>
    <w:rsid w:val="005A010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23F3F"/>
    <w:rsid w:val="006319FF"/>
    <w:rsid w:val="00637426"/>
    <w:rsid w:val="00637753"/>
    <w:rsid w:val="00660CE4"/>
    <w:rsid w:val="006620B2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B574F"/>
    <w:rsid w:val="006C195E"/>
    <w:rsid w:val="006C1AB4"/>
    <w:rsid w:val="006D0F4C"/>
    <w:rsid w:val="006D638F"/>
    <w:rsid w:val="006D7384"/>
    <w:rsid w:val="006E7BF7"/>
    <w:rsid w:val="007068C8"/>
    <w:rsid w:val="00715B8F"/>
    <w:rsid w:val="0073106E"/>
    <w:rsid w:val="00755142"/>
    <w:rsid w:val="00756BB7"/>
    <w:rsid w:val="0075764B"/>
    <w:rsid w:val="00760C01"/>
    <w:rsid w:val="00761293"/>
    <w:rsid w:val="00765B76"/>
    <w:rsid w:val="00767C04"/>
    <w:rsid w:val="007736A2"/>
    <w:rsid w:val="007A6226"/>
    <w:rsid w:val="007B3C61"/>
    <w:rsid w:val="007D1918"/>
    <w:rsid w:val="007F03F2"/>
    <w:rsid w:val="008031DF"/>
    <w:rsid w:val="008065D7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7FEE"/>
    <w:rsid w:val="008F2F06"/>
    <w:rsid w:val="008F31F5"/>
    <w:rsid w:val="008F67F5"/>
    <w:rsid w:val="008F6BCE"/>
    <w:rsid w:val="00900216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648E0"/>
    <w:rsid w:val="00973A6D"/>
    <w:rsid w:val="00983735"/>
    <w:rsid w:val="009865AA"/>
    <w:rsid w:val="00987080"/>
    <w:rsid w:val="0098765A"/>
    <w:rsid w:val="00987E5B"/>
    <w:rsid w:val="00991620"/>
    <w:rsid w:val="00995B28"/>
    <w:rsid w:val="009968B0"/>
    <w:rsid w:val="009A1911"/>
    <w:rsid w:val="009A6CB2"/>
    <w:rsid w:val="009B0982"/>
    <w:rsid w:val="009B4C99"/>
    <w:rsid w:val="009C13FB"/>
    <w:rsid w:val="009D28CF"/>
    <w:rsid w:val="009E5D36"/>
    <w:rsid w:val="009E6375"/>
    <w:rsid w:val="009E7CA0"/>
    <w:rsid w:val="009F3DBC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22F2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87C67"/>
    <w:rsid w:val="00B91098"/>
    <w:rsid w:val="00B91904"/>
    <w:rsid w:val="00B92735"/>
    <w:rsid w:val="00B9476F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36B4"/>
    <w:rsid w:val="00D65145"/>
    <w:rsid w:val="00D73D87"/>
    <w:rsid w:val="00D74314"/>
    <w:rsid w:val="00D76C67"/>
    <w:rsid w:val="00D81410"/>
    <w:rsid w:val="00D92505"/>
    <w:rsid w:val="00DA267C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3F5C"/>
    <w:rsid w:val="00DF77A2"/>
    <w:rsid w:val="00E05B98"/>
    <w:rsid w:val="00E367C5"/>
    <w:rsid w:val="00E37E63"/>
    <w:rsid w:val="00E37E71"/>
    <w:rsid w:val="00E42486"/>
    <w:rsid w:val="00E42847"/>
    <w:rsid w:val="00E46064"/>
    <w:rsid w:val="00E604A1"/>
    <w:rsid w:val="00E6184C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2459"/>
    <w:rsid w:val="00F727A5"/>
    <w:rsid w:val="00F81D50"/>
    <w:rsid w:val="00F847A9"/>
    <w:rsid w:val="00FA5FE9"/>
    <w:rsid w:val="00FA5FF1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50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1D50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F81D50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81D5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F81D50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81D50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81D50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81D50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81D50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81D50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81D50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F81D50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81D50"/>
    <w:rPr>
      <w:b/>
      <w:bCs/>
    </w:rPr>
  </w:style>
  <w:style w:type="paragraph" w:styleId="Subtitle">
    <w:name w:val="Subtitle"/>
    <w:basedOn w:val="Normal"/>
    <w:uiPriority w:val="1"/>
    <w:semiHidden/>
    <w:qFormat/>
    <w:rsid w:val="00F81D50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1D50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81D50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3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3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9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20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F81D50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F81D50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F81D5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81D50"/>
    <w:pPr>
      <w:numPr>
        <w:ilvl w:val="1"/>
        <w:numId w:val="19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81D50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81D50"/>
    <w:rPr>
      <w:i/>
      <w:iCs/>
    </w:rPr>
  </w:style>
  <w:style w:type="character" w:styleId="IntenseEmphasis">
    <w:name w:val="Intense Emphasis"/>
    <w:uiPriority w:val="99"/>
    <w:semiHidden/>
    <w:qFormat/>
    <w:rsid w:val="00F81D50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F81D50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81D50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81D50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81D50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81D50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81D50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81D50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F81D50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81D50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81D50"/>
    <w:pPr>
      <w:numPr>
        <w:ilvl w:val="2"/>
        <w:numId w:val="19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81D50"/>
    <w:pPr>
      <w:numPr>
        <w:ilvl w:val="1"/>
        <w:numId w:val="20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81D50"/>
    <w:pPr>
      <w:numPr>
        <w:ilvl w:val="2"/>
        <w:numId w:val="20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F81D50"/>
    <w:pPr>
      <w:keepNext/>
      <w:numPr>
        <w:numId w:val="21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81D50"/>
    <w:pPr>
      <w:numPr>
        <w:ilvl w:val="1"/>
        <w:numId w:val="21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81D50"/>
    <w:pPr>
      <w:numPr>
        <w:ilvl w:val="2"/>
        <w:numId w:val="21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81D50"/>
    <w:pPr>
      <w:numPr>
        <w:ilvl w:val="3"/>
        <w:numId w:val="21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F81D50"/>
    <w:pPr>
      <w:spacing w:after="120"/>
      <w:ind w:left="567"/>
    </w:pPr>
  </w:style>
  <w:style w:type="paragraph" w:customStyle="1" w:styleId="Spacer">
    <w:name w:val="Spacer"/>
    <w:basedOn w:val="Normal"/>
    <w:qFormat/>
    <w:rsid w:val="00F81D50"/>
    <w:pPr>
      <w:spacing w:before="0" w:after="0"/>
    </w:pPr>
  </w:style>
  <w:style w:type="paragraph" w:customStyle="1" w:styleId="Page">
    <w:name w:val="Page"/>
    <w:basedOn w:val="Spacer"/>
    <w:semiHidden/>
    <w:qFormat/>
    <w:rsid w:val="00F81D50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81D50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81D50"/>
  </w:style>
  <w:style w:type="paragraph" w:customStyle="1" w:styleId="Documentationpageheading">
    <w:name w:val="Documentation page heading"/>
    <w:basedOn w:val="Normal"/>
    <w:semiHidden/>
    <w:qFormat/>
    <w:rsid w:val="00F81D50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81D50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81D50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81D50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F81D50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F81D50"/>
    <w:pPr>
      <w:numPr>
        <w:numId w:val="22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F81D50"/>
    <w:pPr>
      <w:numPr>
        <w:ilvl w:val="1"/>
        <w:numId w:val="22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F81D50"/>
    <w:pPr>
      <w:numPr>
        <w:ilvl w:val="2"/>
        <w:numId w:val="22"/>
      </w:numPr>
      <w:spacing w:after="120"/>
    </w:pPr>
  </w:style>
  <w:style w:type="paragraph" w:customStyle="1" w:styleId="Title2">
    <w:name w:val="Title 2"/>
    <w:basedOn w:val="Title"/>
    <w:qFormat/>
    <w:rsid w:val="00F81D50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F81D50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81D50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3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F81D50"/>
    <w:pPr>
      <w:keepNext/>
      <w:numPr>
        <w:numId w:val="23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F81D50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F81D50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F81D50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F81D50"/>
    <w:pPr>
      <w:numPr>
        <w:numId w:val="24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F81D50"/>
    <w:pPr>
      <w:numPr>
        <w:ilvl w:val="1"/>
        <w:numId w:val="24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F81D50"/>
    <w:pPr>
      <w:numPr>
        <w:ilvl w:val="2"/>
        <w:numId w:val="24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F81D50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50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1D50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F81D50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81D5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F81D50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81D50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81D50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81D50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81D50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81D50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81D50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F81D50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81D50"/>
    <w:rPr>
      <w:b/>
      <w:bCs/>
    </w:rPr>
  </w:style>
  <w:style w:type="paragraph" w:styleId="Subtitle">
    <w:name w:val="Subtitle"/>
    <w:basedOn w:val="Normal"/>
    <w:uiPriority w:val="1"/>
    <w:semiHidden/>
    <w:qFormat/>
    <w:rsid w:val="00F81D50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1D50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81D50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3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3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9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20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F81D50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F81D50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F81D5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81D50"/>
    <w:pPr>
      <w:numPr>
        <w:ilvl w:val="1"/>
        <w:numId w:val="19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81D50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81D50"/>
    <w:rPr>
      <w:i/>
      <w:iCs/>
    </w:rPr>
  </w:style>
  <w:style w:type="character" w:styleId="IntenseEmphasis">
    <w:name w:val="Intense Emphasis"/>
    <w:uiPriority w:val="99"/>
    <w:semiHidden/>
    <w:qFormat/>
    <w:rsid w:val="00F81D50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F81D50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81D50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81D50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81D50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81D50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81D50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81D50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F81D50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81D50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81D50"/>
    <w:pPr>
      <w:numPr>
        <w:ilvl w:val="2"/>
        <w:numId w:val="19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81D50"/>
    <w:pPr>
      <w:numPr>
        <w:ilvl w:val="1"/>
        <w:numId w:val="20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81D50"/>
    <w:pPr>
      <w:numPr>
        <w:ilvl w:val="2"/>
        <w:numId w:val="20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F81D50"/>
    <w:pPr>
      <w:keepNext/>
      <w:numPr>
        <w:numId w:val="21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81D50"/>
    <w:pPr>
      <w:numPr>
        <w:ilvl w:val="1"/>
        <w:numId w:val="21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81D50"/>
    <w:pPr>
      <w:numPr>
        <w:ilvl w:val="2"/>
        <w:numId w:val="21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81D50"/>
    <w:pPr>
      <w:numPr>
        <w:ilvl w:val="3"/>
        <w:numId w:val="21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F81D50"/>
    <w:pPr>
      <w:spacing w:after="120"/>
      <w:ind w:left="567"/>
    </w:pPr>
  </w:style>
  <w:style w:type="paragraph" w:customStyle="1" w:styleId="Spacer">
    <w:name w:val="Spacer"/>
    <w:basedOn w:val="Normal"/>
    <w:qFormat/>
    <w:rsid w:val="00F81D50"/>
    <w:pPr>
      <w:spacing w:before="0" w:after="0"/>
    </w:pPr>
  </w:style>
  <w:style w:type="paragraph" w:customStyle="1" w:styleId="Page">
    <w:name w:val="Page"/>
    <w:basedOn w:val="Spacer"/>
    <w:semiHidden/>
    <w:qFormat/>
    <w:rsid w:val="00F81D50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81D50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81D50"/>
  </w:style>
  <w:style w:type="paragraph" w:customStyle="1" w:styleId="Documentationpageheading">
    <w:name w:val="Documentation page heading"/>
    <w:basedOn w:val="Normal"/>
    <w:semiHidden/>
    <w:qFormat/>
    <w:rsid w:val="00F81D50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81D50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81D50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81D50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F81D50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F81D50"/>
    <w:pPr>
      <w:numPr>
        <w:numId w:val="22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F81D50"/>
    <w:pPr>
      <w:numPr>
        <w:ilvl w:val="1"/>
        <w:numId w:val="22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F81D50"/>
    <w:pPr>
      <w:numPr>
        <w:ilvl w:val="2"/>
        <w:numId w:val="22"/>
      </w:numPr>
      <w:spacing w:after="120"/>
    </w:pPr>
  </w:style>
  <w:style w:type="paragraph" w:customStyle="1" w:styleId="Title2">
    <w:name w:val="Title 2"/>
    <w:basedOn w:val="Title"/>
    <w:qFormat/>
    <w:rsid w:val="00F81D50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F81D50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81D50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3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F81D50"/>
    <w:pPr>
      <w:keepNext/>
      <w:numPr>
        <w:numId w:val="23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F81D50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F81D50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F81D50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F81D50"/>
    <w:pPr>
      <w:numPr>
        <w:numId w:val="24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F81D50"/>
    <w:pPr>
      <w:numPr>
        <w:ilvl w:val="1"/>
        <w:numId w:val="24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F81D50"/>
    <w:pPr>
      <w:numPr>
        <w:ilvl w:val="2"/>
        <w:numId w:val="24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F81D50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8F47-2E39-4205-A554-0DB31546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21FC14E5</Template>
  <TotalTime>0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2015-08-13T00:31:00Z</dcterms:created>
  <dcterms:modified xsi:type="dcterms:W3CDTF">2015-08-13T00:31:00Z</dcterms:modified>
</cp:coreProperties>
</file>