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BE3AA" w14:textId="2A05937C" w:rsidR="00350EB3" w:rsidRDefault="00316A3D" w:rsidP="006C6D20">
      <w:pPr>
        <w:sectPr w:rsidR="00350EB3" w:rsidSect="00542CB0">
          <w:headerReference w:type="default" r:id="rId12"/>
          <w:footerReference w:type="default" r:id="rId13"/>
          <w:pgSz w:w="11900" w:h="16840"/>
          <w:pgMar w:top="1080" w:right="985" w:bottom="1080" w:left="1134" w:header="708" w:footer="708" w:gutter="0"/>
          <w:cols w:space="708"/>
          <w:docGrid w:linePitch="299"/>
        </w:sectPr>
      </w:pPr>
      <w:r>
        <w:rPr>
          <w:noProof/>
          <w:lang w:eastAsia="en-NZ"/>
        </w:rPr>
        <mc:AlternateContent>
          <mc:Choice Requires="wps">
            <w:drawing>
              <wp:anchor distT="0" distB="0" distL="114300" distR="114300" simplePos="0" relativeHeight="251648512" behindDoc="0" locked="0" layoutInCell="1" allowOverlap="1" wp14:anchorId="5879F847" wp14:editId="0D63E308">
                <wp:simplePos x="0" y="0"/>
                <wp:positionH relativeFrom="column">
                  <wp:posOffset>-737741</wp:posOffset>
                </wp:positionH>
                <wp:positionV relativeFrom="paragraph">
                  <wp:posOffset>6436360</wp:posOffset>
                </wp:positionV>
                <wp:extent cx="7595870" cy="2807970"/>
                <wp:effectExtent l="0" t="0" r="5080" b="0"/>
                <wp:wrapNone/>
                <wp:docPr id="6" name="object 3"/>
                <wp:cNvGraphicFramePr/>
                <a:graphic xmlns:a="http://schemas.openxmlformats.org/drawingml/2006/main">
                  <a:graphicData uri="http://schemas.microsoft.com/office/word/2010/wordprocessingShape">
                    <wps:wsp>
                      <wps:cNvSpPr/>
                      <wps:spPr>
                        <a:xfrm>
                          <a:off x="0" y="0"/>
                          <a:ext cx="7595870" cy="2807970"/>
                        </a:xfrm>
                        <a:custGeom>
                          <a:avLst/>
                          <a:gdLst/>
                          <a:ahLst/>
                          <a:cxnLst/>
                          <a:rect l="l" t="t" r="r" b="b"/>
                          <a:pathLst>
                            <a:path w="10692130" h="903604">
                              <a:moveTo>
                                <a:pt x="0" y="903033"/>
                              </a:moveTo>
                              <a:lnTo>
                                <a:pt x="10692003" y="903033"/>
                              </a:lnTo>
                              <a:lnTo>
                                <a:pt x="10692003" y="0"/>
                              </a:lnTo>
                              <a:lnTo>
                                <a:pt x="0" y="0"/>
                              </a:lnTo>
                              <a:lnTo>
                                <a:pt x="0" y="903033"/>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0EC0E7" id="object 3" o:spid="_x0000_s1026" style="position:absolute;margin-left:-58.1pt;margin-top:506.8pt;width:598.1pt;height:221.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692130,90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HlGAIAAIEEAAAOAAAAZHJzL2Uyb0RvYy54bWysVE2P2yAQvVfqf0DcG5Okmy/F2cOutqpU&#10;tSvt9gdgjGMqzFAgsfPvO+CQZNueql7MYB7Pb97MeHs/dJocpfMKTEmnE0aJNAJqZfYl/f769GFF&#10;iQ/c1FyDkSU9SU/vd+/fbXu7kTNoQdfSESQxftPbkrYh2E1ReNHKjvsJWGnwsAHX8YBbty9qx3tk&#10;73QxY2xR9OBq60BI7/Ht43hId4m/aaQI35rGy0B0SVFbSE+XnlV8Frst3+wdt60SZxn8H1R0XBn8&#10;6IXqkQdODk79QdUp4cBDEyYCugKaRgmZcsBspuy3bF5abmXKBc3x9mKT/3+04uvx2RFVl3RBieEd&#10;lgiqH2gbmUdveus3CHmxz+688xjGRIfGdXHFFMiQ/Dxd/JRDIAJfLu/Wd6sl2i7wbLZiyzVukKe4&#10;XhcHHz5JSFT8+MWHsSB1jnibIzGYHLqoDwuqU0EDJVhQRwkWtBoLanmI96K+GJIeW5Mt1rPpHMW0&#10;JV2z+YJ9TAXr4ChfISHDNREEsHlyALVeIdrcQhMlY3NKML03NzIurzZRv8FnIzIkryMUZWY7UUA+&#10;y+st5q/fFRq8HI2O+SfHL54g4a3rHrSqn5TW0YM0d/JBO3LkaDAXQpowPdfsBlnExhhbIUYV1Cds&#10;ox7nqKT+54E7SYn+bLBR49DlwOWgyoEL+gHSaEa1kQr7PMk9z2QcpNt9Ql3/HLtfAAAA//8DAFBL&#10;AwQUAAYACAAAACEAGDnLE+MAAAAPAQAADwAAAGRycy9kb3ducmV2LnhtbEyPUUvDMBSF3wX/Q7iC&#10;L7Ilra50XdMhoiKKyOZ+QNbEptjclCZr67/37knf7uF8nHtOuZ1dx0YzhNajhGQpgBmsvW6xkXD4&#10;fFrkwEJUqFXn0Uj4MQG21eVFqQrtJ9yZcR8bRiEYCiXBxtgXnIfaGqfC0vcGyfvyg1OR5NBwPaiJ&#10;wl3HUyEy7lSL9MGq3jxYU3/vT07Cc4rJ9Lo7vKNt/E27fhzf7MuHlNdX8/0GWDRz/IPhXJ+qQ0Wd&#10;jv6EOrBOwiJJspRYckRymwE7MyIXNPBI191qlQOvSv5/R/ULAAD//wMAUEsBAi0AFAAGAAgAAAAh&#10;ALaDOJL+AAAA4QEAABMAAAAAAAAAAAAAAAAAAAAAAFtDb250ZW50X1R5cGVzXS54bWxQSwECLQAU&#10;AAYACAAAACEAOP0h/9YAAACUAQAACwAAAAAAAAAAAAAAAAAvAQAAX3JlbHMvLnJlbHNQSwECLQAU&#10;AAYACAAAACEACjZx5RgCAACBBAAADgAAAAAAAAAAAAAAAAAuAgAAZHJzL2Uyb0RvYy54bWxQSwEC&#10;LQAUAAYACAAAACEAGDnLE+MAAAAPAQAADwAAAAAAAAAAAAAAAAByBAAAZHJzL2Rvd25yZXYueG1s&#10;UEsFBgAAAAAEAAQA8wAAAIIFAAAAAA==&#10;" path="m,903033r10692003,l10692003,,,,,903033xe" fillcolor="#002941 [3204]" stroked="f">
                <v:path arrowok="t"/>
              </v:shape>
            </w:pict>
          </mc:Fallback>
        </mc:AlternateContent>
      </w:r>
      <w:r>
        <w:rPr>
          <w:noProof/>
          <w:lang w:eastAsia="en-NZ"/>
        </w:rPr>
        <mc:AlternateContent>
          <mc:Choice Requires="wps">
            <w:drawing>
              <wp:anchor distT="0" distB="0" distL="114300" distR="114300" simplePos="0" relativeHeight="251651584" behindDoc="0" locked="0" layoutInCell="1" allowOverlap="1" wp14:anchorId="7BC3B1C3" wp14:editId="4C0968EC">
                <wp:simplePos x="0" y="0"/>
                <wp:positionH relativeFrom="column">
                  <wp:posOffset>-744984</wp:posOffset>
                </wp:positionH>
                <wp:positionV relativeFrom="paragraph">
                  <wp:posOffset>6244590</wp:posOffset>
                </wp:positionV>
                <wp:extent cx="7595870" cy="247015"/>
                <wp:effectExtent l="0" t="0" r="5080" b="635"/>
                <wp:wrapNone/>
                <wp:docPr id="7" name="object 4"/>
                <wp:cNvGraphicFramePr/>
                <a:graphic xmlns:a="http://schemas.openxmlformats.org/drawingml/2006/main">
                  <a:graphicData uri="http://schemas.microsoft.com/office/word/2010/wordprocessingShape">
                    <wps:wsp>
                      <wps:cNvSpPr/>
                      <wps:spPr>
                        <a:xfrm>
                          <a:off x="0" y="0"/>
                          <a:ext cx="7595870" cy="247015"/>
                        </a:xfrm>
                        <a:custGeom>
                          <a:avLst/>
                          <a:gdLst/>
                          <a:ahLst/>
                          <a:cxnLst/>
                          <a:rect l="l" t="t" r="r" b="b"/>
                          <a:pathLst>
                            <a:path w="10692130" h="273050">
                              <a:moveTo>
                                <a:pt x="0" y="272554"/>
                              </a:moveTo>
                              <a:lnTo>
                                <a:pt x="10692003" y="272554"/>
                              </a:lnTo>
                              <a:lnTo>
                                <a:pt x="10692003" y="0"/>
                              </a:lnTo>
                              <a:lnTo>
                                <a:pt x="0" y="0"/>
                              </a:lnTo>
                              <a:lnTo>
                                <a:pt x="0" y="272554"/>
                              </a:lnTo>
                              <a:close/>
                            </a:path>
                          </a:pathLst>
                        </a:custGeom>
                        <a:solidFill>
                          <a:srgbClr val="A6CE39"/>
                        </a:solidFill>
                      </wps:spPr>
                      <wps:bodyPr wrap="square" lIns="0" tIns="0" rIns="0" bIns="0" rtlCol="0"/>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CA140" id="object 4" o:spid="_x0000_s1026" style="position:absolute;margin-left:-58.65pt;margin-top:491.7pt;width:598.1pt;height:19.45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069213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K4GQIAAH0EAAAOAAAAZHJzL2Uyb0RvYy54bWysVNFu2yAUfZ+0f0C8L3acOm6iONWUrtOk&#10;aa3U7gMwxrEnzGVA4uTvd8EhybZKlaa9wMUcDueee/Hq7tBLshfGdqBKOp2klAjFoe7UtqTfXx4+&#10;3FJiHVM1k6BESY/C0rv1+3erQS9FBi3IWhiCJMouB13S1jm9TBLLW9EzOwEtFG42YHrmcGm2SW3Y&#10;gOy9TLI0nScDmFob4MJa/Ho/btJ14G8awd1j01jhiCwpanNhNGGs/JisV2y5NUy3HT/JYP+gomed&#10;wkvPVPfMMbIz3V9UfccNWGjchEOfQNN0XIQcMJtp+kc2zy3TIuSC5lh9tsn+P1r+bf9kSFeXtKBE&#10;sR5LBNUPtI3ceG8GbZcIedZP5rSyGPpED43p/YwpkEPw83j2Uxwc4fixyBf5bYG2c9zLbop0mnvS&#10;5HKa76z7LCAwsf1X68Z61DFibYz4QcXQeHlYTxnq6SjBehpKsJ7VWE/NnD/n5fmQDNiZ6XyRTWeo&#10;pUUpxSzN01CvHvbiBQLSXfLIiizPgwGo9QKR6hoaKNN0RonP7vpExMVZB+rf8KHzkDxC4jxCUWZ0&#10;8w3Mq/dyCVaMRvv8g+NnT5Dw2nULsqsfOim9B9Zsq400ZM/Q3o/zzafZ4lSwK1jim2JsAx9VUB+x&#10;hQZ8QyW1P3fMCErkF4VN6h9cDEwMqhgYJzcQnqWX6qmwx4PW03v0j+h6HVCXv8b6FwAAAP//AwBQ&#10;SwMEFAAGAAgAAAAhAFgrWSHkAAAADgEAAA8AAABkcnMvZG93bnJldi54bWxMj01LxDAQhu+C/yGM&#10;4G03/RC3rU2XVfAgCOKq6DHbjE1pM6lNtlv99aYnvc0wD+88b7mdTc8mHF1rSUC8joAh1Va11Ah4&#10;fblfZcCcl6RkbwkFfKODbXV+VspC2RM947T3DQsh5AopQHs/FJy7WqORbm0HpHD7tKORPqxjw9Uo&#10;TyHc9DyJomtuZEvhg5YD3mmsu/3RCPjJn76yW92+vT/qj+6h23Eez5MQlxfz7gaYx9n/wbDoB3Wo&#10;gtPBHkk51gtYxfEmDayAPEuvgC1ItMlyYIdlSpIUeFXy/zWqXwAAAP//AwBQSwECLQAUAAYACAAA&#10;ACEAtoM4kv4AAADhAQAAEwAAAAAAAAAAAAAAAAAAAAAAW0NvbnRlbnRfVHlwZXNdLnhtbFBLAQIt&#10;ABQABgAIAAAAIQA4/SH/1gAAAJQBAAALAAAAAAAAAAAAAAAAAC8BAABfcmVscy8ucmVsc1BLAQIt&#10;ABQABgAIAAAAIQCdgVK4GQIAAH0EAAAOAAAAAAAAAAAAAAAAAC4CAABkcnMvZTJvRG9jLnhtbFBL&#10;AQItABQABgAIAAAAIQBYK1kh5AAAAA4BAAAPAAAAAAAAAAAAAAAAAHMEAABkcnMvZG93bnJldi54&#10;bWxQSwUGAAAAAAQABADzAAAAhAUAAAAA&#10;" path="m,272554r10692003,l10692003,,,,,272554xe" fillcolor="#a6ce39" stroked="f">
                <v:path arrowok="t"/>
              </v:shape>
            </w:pict>
          </mc:Fallback>
        </mc:AlternateContent>
      </w:r>
      <w:r w:rsidR="00C70CFF">
        <w:rPr>
          <w:noProof/>
          <w:lang w:eastAsia="en-NZ"/>
        </w:rPr>
        <w:drawing>
          <wp:anchor distT="0" distB="0" distL="114300" distR="114300" simplePos="0" relativeHeight="251655680" behindDoc="0" locked="0" layoutInCell="1" allowOverlap="1" wp14:anchorId="34218C42" wp14:editId="32F7BC69">
            <wp:simplePos x="0" y="0"/>
            <wp:positionH relativeFrom="page">
              <wp:posOffset>5451365</wp:posOffset>
            </wp:positionH>
            <wp:positionV relativeFrom="page">
              <wp:posOffset>499828</wp:posOffset>
            </wp:positionV>
            <wp:extent cx="1590675" cy="1863090"/>
            <wp:effectExtent l="0" t="0" r="9525" b="3810"/>
            <wp:wrapTight wrapText="bothSides">
              <wp:wrapPolygon edited="0">
                <wp:start x="0" y="0"/>
                <wp:lineTo x="0" y="21423"/>
                <wp:lineTo x="21471" y="21423"/>
                <wp:lineTo x="21471" y="0"/>
                <wp:lineTo x="0" y="0"/>
              </wp:wrapPolygon>
            </wp:wrapTight>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son Low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90675" cy="1863090"/>
                    </a:xfrm>
                    <a:prstGeom prst="rect">
                      <a:avLst/>
                    </a:prstGeom>
                  </pic:spPr>
                </pic:pic>
              </a:graphicData>
            </a:graphic>
            <wp14:sizeRelH relativeFrom="margin">
              <wp14:pctWidth>0</wp14:pctWidth>
            </wp14:sizeRelH>
            <wp14:sizeRelV relativeFrom="margin">
              <wp14:pctHeight>0</wp14:pctHeight>
            </wp14:sizeRelV>
          </wp:anchor>
        </w:drawing>
      </w:r>
      <w:r w:rsidR="00291045">
        <w:rPr>
          <w:noProof/>
          <w:lang w:eastAsia="en-NZ"/>
        </w:rPr>
        <mc:AlternateContent>
          <mc:Choice Requires="wps">
            <w:drawing>
              <wp:anchor distT="0" distB="0" distL="114300" distR="114300" simplePos="0" relativeHeight="251654656" behindDoc="0" locked="0" layoutInCell="1" allowOverlap="1" wp14:anchorId="708D8401" wp14:editId="2EFEDDBE">
                <wp:simplePos x="0" y="0"/>
                <wp:positionH relativeFrom="page">
                  <wp:posOffset>1188720</wp:posOffset>
                </wp:positionH>
                <wp:positionV relativeFrom="page">
                  <wp:posOffset>8423910</wp:posOffset>
                </wp:positionV>
                <wp:extent cx="6002655" cy="1802130"/>
                <wp:effectExtent l="0" t="0" r="0" b="0"/>
                <wp:wrapTight wrapText="bothSides">
                  <wp:wrapPolygon edited="0">
                    <wp:start x="137" y="685"/>
                    <wp:lineTo x="137" y="20778"/>
                    <wp:lineTo x="21387" y="20778"/>
                    <wp:lineTo x="21387" y="685"/>
                    <wp:lineTo x="137" y="685"/>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0D48" w14:textId="716A4462" w:rsidR="007C0AF1" w:rsidRPr="00B41998" w:rsidRDefault="007C0AF1" w:rsidP="00B41998">
                            <w:pPr>
                              <w:spacing w:after="120"/>
                              <w:jc w:val="right"/>
                              <w:rPr>
                                <w:rFonts w:asciiTheme="majorHAnsi" w:hAnsiTheme="majorHAnsi"/>
                                <w:b/>
                                <w:color w:val="FFFFFF" w:themeColor="background1"/>
                                <w:sz w:val="56"/>
                              </w:rPr>
                            </w:pPr>
                            <w:r>
                              <w:rPr>
                                <w:rFonts w:asciiTheme="majorHAnsi" w:hAnsiTheme="majorHAnsi"/>
                                <w:b/>
                                <w:color w:val="FFFFFF" w:themeColor="background1"/>
                                <w:sz w:val="56"/>
                              </w:rPr>
                              <w:t>Department of Internal Affairs</w:t>
                            </w:r>
                          </w:p>
                          <w:p w14:paraId="42E084EF" w14:textId="4D30C380" w:rsidR="007C0AF1" w:rsidRPr="00B41998" w:rsidRDefault="007C0AF1" w:rsidP="00B41998">
                            <w:pPr>
                              <w:jc w:val="right"/>
                              <w:rPr>
                                <w:rFonts w:asciiTheme="majorHAnsi" w:hAnsiTheme="majorHAnsi"/>
                                <w:color w:val="FFFFFF" w:themeColor="background1"/>
                                <w:sz w:val="48"/>
                              </w:rPr>
                            </w:pPr>
                            <w:r>
                              <w:rPr>
                                <w:rFonts w:asciiTheme="majorHAnsi" w:hAnsiTheme="majorHAnsi"/>
                                <w:color w:val="FFFFFF" w:themeColor="background1"/>
                                <w:sz w:val="48"/>
                              </w:rPr>
                              <w:t>Costs and funding of local government</w:t>
                            </w:r>
                          </w:p>
                          <w:p w14:paraId="3A588F61" w14:textId="3336719B" w:rsidR="007C0AF1" w:rsidRPr="00B41998" w:rsidRDefault="007C0AF1" w:rsidP="002F550E">
                            <w:pPr>
                              <w:jc w:val="right"/>
                              <w:rPr>
                                <w:rFonts w:asciiTheme="majorHAnsi" w:hAnsiTheme="majorHAnsi"/>
                                <w:b/>
                                <w:color w:val="FFFFFF" w:themeColor="background1"/>
                                <w:sz w:val="32"/>
                              </w:rPr>
                            </w:pPr>
                            <w:r>
                              <w:rPr>
                                <w:rFonts w:asciiTheme="majorHAnsi" w:hAnsiTheme="majorHAnsi"/>
                                <w:b/>
                                <w:color w:val="FFFFFF" w:themeColor="background1"/>
                                <w:sz w:val="32"/>
                              </w:rPr>
                              <w:t>July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93.6pt;margin-top:663.3pt;width:472.65pt;height:14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AswIAALoFAAAOAAAAZHJzL2Uyb0RvYy54bWysVMlu2zAQvRfoPxC8K1pCK5IQOUgsqyiQ&#10;LkDSD6AlyiIqkSpJW06D/nuHlLckl6ItDwSX4Zt5M49zfbPrO7RlSnMpchxeBBgxUcmai3WOvz2W&#10;XoKRNlTUtJOC5fiJaXwzf//uehwyFslWdjVTCECEzsYhx60xQ+b7umpZT/WFHJiAy0aqnhrYqrVf&#10;KzoCet/5URDE/ihVPShZMa3htJgu8dzhNw2rzJem0cygLscQm3GzcvPKzv78mmZrRYeWV/sw6F9E&#10;0VMuwOkRqqCGoo3ib6B6XimpZWMuKtn7sml4xRwHYBMGr9g8tHRgjgskRw/HNOn/B1t93n5ViNc5&#10;vsRI0B5K9Mh2Bt3JHSI2O+OgMzB6GMDM7OAYquyY6uFeVt81EnLRUrFmt0rJsWW0huhC+9I/ezrh&#10;aAuyGj/JGtzQjZEOaNeo3qYOkoEAHar0dKyMDaWCwzgIong2w6iCuzAJovDS1c6n2eH5oLT5wGSP&#10;7CLHCkrv4On2XhsbDs0OJtabkCXvOlf+Trw4AMPpBJzDU3tnw3DVfE6DdJksE+KRKF56JCgK77Zc&#10;EC8uw6tZcVksFkX4y/oNSdbyumbCujkoKyR/Vrm9xidNHLWlZcdrC2dD0mq9WnQKbSkou3TDJR1u&#10;Tmb+yzBcEoDLK0phRIK7KPXKOLnySElmXnoVJF4QpndpHJCUFOVLSvdcsH+nhMYcp7NoNqnpFPQr&#10;boEbb7nRrOcGekfH+xwnRyOaWQ0uRe1KayjvpvVZKmz4p1RAuQ+Fdoq1Ip3kanarHaBYGa9k/QTa&#10;VRKUBQKFhgeLVqqfGI3QPHKsf2yoYhh1HwXoPw0Jsd3mfKPON6vzDRUVQOXYYDQtF2bqUJtB8XUL&#10;nqYfJ+Qt/JmGOzWfotr/NGgQjtS+mdkOdL53VqeWO/8NAAD//wMAUEsDBBQABgAIAAAAIQAhy6y1&#10;3gAAAA4BAAAPAAAAZHJzL2Rvd25yZXYueG1sTI/NTsMwEITvSLyDtUjcqNNAkyiNU6EiHoCCxNWJ&#10;3TiqvY5i54c+PdsT3Ga0o9lvqsPqLJv1GHqPArabBJjG1qseOwFfn+9PBbAQJSppPWoBPzrAob6/&#10;q2Sp/IIfej7FjlEJhlIKMDEOJeehNdrJsPGDRrqd/ehkJDt2XI1yoXJneZokGXeyR/pg5KCPRreX&#10;0+QEtNfprTj2zbxc8++8WY3dndEK8fiwvu6BRb3GvzDc8AkdamJq/IQqMEu+yFOKknhOswzYLUJy&#10;B6whlW2TF+B1xf/PqH8BAAD//wMAUEsBAi0AFAAGAAgAAAAhALaDOJL+AAAA4QEAABMAAAAAAAAA&#10;AAAAAAAAAAAAAFtDb250ZW50X1R5cGVzXS54bWxQSwECLQAUAAYACAAAACEAOP0h/9YAAACUAQAA&#10;CwAAAAAAAAAAAAAAAAAvAQAAX3JlbHMvLnJlbHNQSwECLQAUAAYACAAAACEAvyzJQLMCAAC6BQAA&#10;DgAAAAAAAAAAAAAAAAAuAgAAZHJzL2Uyb0RvYy54bWxQSwECLQAUAAYACAAAACEAIcustd4AAAAO&#10;AQAADwAAAAAAAAAAAAAAAAANBQAAZHJzL2Rvd25yZXYueG1sUEsFBgAAAAAEAAQA8wAAABgGAAAA&#10;AA==&#10;" filled="f" stroked="f">
                <v:textbox inset=",7.2pt,,7.2pt">
                  <w:txbxContent>
                    <w:p w14:paraId="73CE0D48" w14:textId="716A4462" w:rsidR="007C0AF1" w:rsidRPr="00B41998" w:rsidRDefault="007C0AF1" w:rsidP="00B41998">
                      <w:pPr>
                        <w:spacing w:after="120"/>
                        <w:jc w:val="right"/>
                        <w:rPr>
                          <w:rFonts w:asciiTheme="majorHAnsi" w:hAnsiTheme="majorHAnsi"/>
                          <w:b/>
                          <w:color w:val="FFFFFF" w:themeColor="background1"/>
                          <w:sz w:val="56"/>
                        </w:rPr>
                      </w:pPr>
                      <w:r>
                        <w:rPr>
                          <w:rFonts w:asciiTheme="majorHAnsi" w:hAnsiTheme="majorHAnsi"/>
                          <w:b/>
                          <w:color w:val="FFFFFF" w:themeColor="background1"/>
                          <w:sz w:val="56"/>
                        </w:rPr>
                        <w:t>Department of Internal Affairs</w:t>
                      </w:r>
                    </w:p>
                    <w:p w14:paraId="42E084EF" w14:textId="4D30C380" w:rsidR="007C0AF1" w:rsidRPr="00B41998" w:rsidRDefault="007C0AF1" w:rsidP="00B41998">
                      <w:pPr>
                        <w:jc w:val="right"/>
                        <w:rPr>
                          <w:rFonts w:asciiTheme="majorHAnsi" w:hAnsiTheme="majorHAnsi"/>
                          <w:color w:val="FFFFFF" w:themeColor="background1"/>
                          <w:sz w:val="48"/>
                        </w:rPr>
                      </w:pPr>
                      <w:r>
                        <w:rPr>
                          <w:rFonts w:asciiTheme="majorHAnsi" w:hAnsiTheme="majorHAnsi"/>
                          <w:color w:val="FFFFFF" w:themeColor="background1"/>
                          <w:sz w:val="48"/>
                        </w:rPr>
                        <w:t>Costs and funding of local government</w:t>
                      </w:r>
                    </w:p>
                    <w:p w14:paraId="3A588F61" w14:textId="3336719B" w:rsidR="007C0AF1" w:rsidRPr="00B41998" w:rsidRDefault="007C0AF1" w:rsidP="002F550E">
                      <w:pPr>
                        <w:jc w:val="right"/>
                        <w:rPr>
                          <w:rFonts w:asciiTheme="majorHAnsi" w:hAnsiTheme="majorHAnsi"/>
                          <w:b/>
                          <w:color w:val="FFFFFF" w:themeColor="background1"/>
                          <w:sz w:val="32"/>
                        </w:rPr>
                      </w:pPr>
                      <w:r>
                        <w:rPr>
                          <w:rFonts w:asciiTheme="majorHAnsi" w:hAnsiTheme="majorHAnsi"/>
                          <w:b/>
                          <w:color w:val="FFFFFF" w:themeColor="background1"/>
                          <w:sz w:val="32"/>
                        </w:rPr>
                        <w:t>July 2018</w:t>
                      </w:r>
                    </w:p>
                  </w:txbxContent>
                </v:textbox>
                <w10:wrap type="tight" anchorx="page" anchory="page"/>
              </v:shape>
            </w:pict>
          </mc:Fallback>
        </mc:AlternateContent>
      </w:r>
    </w:p>
    <w:p w14:paraId="6F2E6C6C" w14:textId="77777777" w:rsidR="002B6084" w:rsidRDefault="002B6084" w:rsidP="00542CB0"/>
    <w:p w14:paraId="630265BE" w14:textId="77777777" w:rsidR="002B6084" w:rsidRDefault="002B6084" w:rsidP="00542CB0"/>
    <w:p w14:paraId="6E060343" w14:textId="77777777" w:rsidR="002B6084" w:rsidRDefault="002B6084" w:rsidP="00542CB0"/>
    <w:p w14:paraId="77B807FD" w14:textId="77777777" w:rsidR="002B6084" w:rsidRDefault="002B6084" w:rsidP="00542CB0"/>
    <w:p w14:paraId="6A176F44" w14:textId="77777777" w:rsidR="002B6084" w:rsidRDefault="002B6084" w:rsidP="00542CB0"/>
    <w:p w14:paraId="2014755F" w14:textId="77777777" w:rsidR="002B6084" w:rsidRDefault="002B6084" w:rsidP="00542CB0"/>
    <w:p w14:paraId="4BE7860B" w14:textId="77777777" w:rsidR="002B6084" w:rsidRDefault="002B6084" w:rsidP="00542CB0"/>
    <w:p w14:paraId="0C0E273F" w14:textId="77777777" w:rsidR="002B6084" w:rsidRDefault="002B6084" w:rsidP="00542CB0"/>
    <w:p w14:paraId="160447CC" w14:textId="77777777" w:rsidR="002B6084" w:rsidRDefault="002B6084" w:rsidP="00542CB0"/>
    <w:p w14:paraId="3D432185" w14:textId="77777777" w:rsidR="002B6084" w:rsidRDefault="002B6084" w:rsidP="00542CB0">
      <w:pPr>
        <w:rPr>
          <w:sz w:val="28"/>
        </w:rPr>
      </w:pPr>
    </w:p>
    <w:p w14:paraId="5369BEEF" w14:textId="77777777" w:rsidR="002B6084" w:rsidRPr="0066103F" w:rsidRDefault="002B6084" w:rsidP="00542CB0">
      <w:pPr>
        <w:rPr>
          <w:color w:val="4E4E4E"/>
        </w:rPr>
      </w:pPr>
    </w:p>
    <w:tbl>
      <w:tblPr>
        <w:tblStyle w:val="TableGrid"/>
        <w:tblpPr w:leftFromText="180" w:rightFromText="180" w:vertAnchor="text" w:horzAnchor="margin" w:tblpY="590"/>
        <w:tblW w:w="0" w:type="auto"/>
        <w:tblLook w:val="04A0" w:firstRow="1" w:lastRow="0" w:firstColumn="1" w:lastColumn="0" w:noHBand="0" w:noVBand="1"/>
      </w:tblPr>
      <w:tblGrid>
        <w:gridCol w:w="1242"/>
        <w:gridCol w:w="6379"/>
        <w:gridCol w:w="2160"/>
      </w:tblGrid>
      <w:tr w:rsidR="0066103F" w:rsidRPr="0066103F" w14:paraId="0A728C5C" w14:textId="77777777" w:rsidTr="00B9166E">
        <w:trPr>
          <w:trHeight w:val="454"/>
        </w:trPr>
        <w:tc>
          <w:tcPr>
            <w:tcW w:w="9781" w:type="dxa"/>
            <w:gridSpan w:val="3"/>
            <w:tcBorders>
              <w:top w:val="nil"/>
              <w:left w:val="nil"/>
              <w:bottom w:val="single" w:sz="2" w:space="0" w:color="CECED0" w:themeColor="text1" w:themeTint="40"/>
              <w:right w:val="nil"/>
            </w:tcBorders>
            <w:vAlign w:val="center"/>
          </w:tcPr>
          <w:p w14:paraId="1ACECBF1" w14:textId="77777777" w:rsidR="002B6084" w:rsidRPr="0066103F" w:rsidRDefault="002B6084" w:rsidP="00542CB0">
            <w:pPr>
              <w:spacing w:before="0" w:after="0"/>
              <w:rPr>
                <w:b/>
                <w:color w:val="4E4E4E"/>
                <w:sz w:val="20"/>
                <w:szCs w:val="20"/>
              </w:rPr>
            </w:pPr>
            <w:r w:rsidRPr="0066103F">
              <w:rPr>
                <w:b/>
                <w:color w:val="4E4E4E"/>
                <w:sz w:val="20"/>
                <w:szCs w:val="20"/>
              </w:rPr>
              <w:t>Document status</w:t>
            </w:r>
          </w:p>
        </w:tc>
      </w:tr>
      <w:tr w:rsidR="0066103F" w:rsidRPr="0066103F" w14:paraId="7B5FA111" w14:textId="77777777" w:rsidTr="00443F71">
        <w:trPr>
          <w:trHeight w:val="20"/>
        </w:trPr>
        <w:tc>
          <w:tcPr>
            <w:tcW w:w="1242" w:type="dxa"/>
            <w:tcBorders>
              <w:top w:val="single" w:sz="2" w:space="0" w:color="CECED0" w:themeColor="text1" w:themeTint="40"/>
              <w:left w:val="single" w:sz="2" w:space="0" w:color="CECED0" w:themeColor="text1" w:themeTint="40"/>
              <w:bottom w:val="single" w:sz="6" w:space="0" w:color="CECED0" w:themeColor="text1" w:themeTint="40"/>
              <w:right w:val="single" w:sz="6" w:space="0" w:color="CECED0" w:themeColor="text1" w:themeTint="40"/>
            </w:tcBorders>
            <w:shd w:val="clear" w:color="auto" w:fill="F2F2F2" w:themeFill="background1" w:themeFillShade="F2"/>
          </w:tcPr>
          <w:p w14:paraId="677F548D" w14:textId="77777777" w:rsidR="003B6745" w:rsidRPr="0066103F" w:rsidRDefault="003B6745" w:rsidP="00542CB0">
            <w:pPr>
              <w:spacing w:before="40" w:after="40"/>
              <w:rPr>
                <w:b/>
                <w:color w:val="4E4E4E"/>
                <w:sz w:val="20"/>
                <w:szCs w:val="20"/>
              </w:rPr>
            </w:pPr>
            <w:r w:rsidRPr="0066103F">
              <w:rPr>
                <w:b/>
                <w:color w:val="4E4E4E"/>
                <w:sz w:val="20"/>
                <w:szCs w:val="20"/>
              </w:rPr>
              <w:t>Ref</w:t>
            </w:r>
          </w:p>
        </w:tc>
        <w:tc>
          <w:tcPr>
            <w:tcW w:w="6379" w:type="dxa"/>
            <w:tcBorders>
              <w:top w:val="single" w:sz="2" w:space="0" w:color="CECED0" w:themeColor="text1" w:themeTint="40"/>
              <w:left w:val="single" w:sz="6" w:space="0" w:color="CECED0" w:themeColor="text1" w:themeTint="40"/>
              <w:bottom w:val="single" w:sz="6" w:space="0" w:color="CECED0" w:themeColor="text1" w:themeTint="40"/>
              <w:right w:val="single" w:sz="6" w:space="0" w:color="CECED0" w:themeColor="text1" w:themeTint="40"/>
            </w:tcBorders>
            <w:shd w:val="clear" w:color="auto" w:fill="F2F2F2" w:themeFill="background1" w:themeFillShade="F2"/>
          </w:tcPr>
          <w:p w14:paraId="731929CC" w14:textId="6EF9D965" w:rsidR="003B6745" w:rsidRPr="0066103F" w:rsidRDefault="003B6745" w:rsidP="00542CB0">
            <w:pPr>
              <w:spacing w:before="40" w:after="40"/>
              <w:rPr>
                <w:b/>
                <w:color w:val="4E4E4E"/>
                <w:sz w:val="20"/>
                <w:szCs w:val="20"/>
              </w:rPr>
            </w:pPr>
            <w:r w:rsidRPr="0066103F">
              <w:rPr>
                <w:b/>
                <w:color w:val="4E4E4E"/>
                <w:sz w:val="20"/>
                <w:szCs w:val="20"/>
              </w:rPr>
              <w:t xml:space="preserve">Approving </w:t>
            </w:r>
            <w:r w:rsidR="00C70CFF" w:rsidRPr="0066103F">
              <w:rPr>
                <w:b/>
                <w:color w:val="4E4E4E"/>
                <w:sz w:val="20"/>
                <w:szCs w:val="20"/>
              </w:rPr>
              <w:t>D</w:t>
            </w:r>
            <w:r w:rsidRPr="0066103F">
              <w:rPr>
                <w:b/>
                <w:color w:val="4E4E4E"/>
                <w:sz w:val="20"/>
                <w:szCs w:val="20"/>
              </w:rPr>
              <w:t>irector</w:t>
            </w:r>
          </w:p>
        </w:tc>
        <w:tc>
          <w:tcPr>
            <w:tcW w:w="2160" w:type="dxa"/>
            <w:tcBorders>
              <w:top w:val="single" w:sz="2" w:space="0" w:color="CECED0" w:themeColor="text1" w:themeTint="40"/>
              <w:left w:val="single" w:sz="6" w:space="0" w:color="CECED0" w:themeColor="text1" w:themeTint="40"/>
              <w:bottom w:val="single" w:sz="6" w:space="0" w:color="CECED0" w:themeColor="text1" w:themeTint="40"/>
              <w:right w:val="single" w:sz="2" w:space="0" w:color="CECED0" w:themeColor="text1" w:themeTint="40"/>
            </w:tcBorders>
            <w:shd w:val="clear" w:color="auto" w:fill="F2F2F2" w:themeFill="background1" w:themeFillShade="F2"/>
          </w:tcPr>
          <w:p w14:paraId="27657C55" w14:textId="77777777" w:rsidR="003B6745" w:rsidRPr="0066103F" w:rsidRDefault="003B6745" w:rsidP="00542CB0">
            <w:pPr>
              <w:spacing w:before="40" w:after="40"/>
              <w:rPr>
                <w:b/>
                <w:color w:val="4E4E4E"/>
                <w:sz w:val="20"/>
                <w:szCs w:val="20"/>
              </w:rPr>
            </w:pPr>
            <w:r w:rsidRPr="0066103F">
              <w:rPr>
                <w:b/>
                <w:color w:val="4E4E4E"/>
                <w:sz w:val="20"/>
                <w:szCs w:val="20"/>
              </w:rPr>
              <w:t>Date</w:t>
            </w:r>
          </w:p>
        </w:tc>
      </w:tr>
      <w:tr w:rsidR="00896705" w:rsidRPr="0066103F" w14:paraId="68AAF97B" w14:textId="77777777" w:rsidTr="003B6745">
        <w:trPr>
          <w:trHeight w:val="20"/>
        </w:trPr>
        <w:tc>
          <w:tcPr>
            <w:tcW w:w="1242" w:type="dxa"/>
            <w:tcBorders>
              <w:top w:val="single" w:sz="6" w:space="0" w:color="CECED0" w:themeColor="text1" w:themeTint="40"/>
              <w:left w:val="single" w:sz="2" w:space="0" w:color="CECED0" w:themeColor="text1" w:themeTint="40"/>
              <w:bottom w:val="single" w:sz="6" w:space="0" w:color="CECED0" w:themeColor="text1" w:themeTint="40"/>
              <w:right w:val="single" w:sz="6" w:space="0" w:color="CECED0" w:themeColor="text1" w:themeTint="40"/>
            </w:tcBorders>
          </w:tcPr>
          <w:p w14:paraId="1EB3015D" w14:textId="6FB7E6D3" w:rsidR="00896705" w:rsidRPr="0066103F" w:rsidRDefault="00896705" w:rsidP="00896705">
            <w:pPr>
              <w:spacing w:before="40" w:after="40"/>
              <w:rPr>
                <w:color w:val="4E4E4E"/>
                <w:sz w:val="20"/>
                <w:szCs w:val="20"/>
              </w:rPr>
            </w:pPr>
            <w:r>
              <w:rPr>
                <w:color w:val="4E4E4E"/>
                <w:sz w:val="20"/>
                <w:szCs w:val="20"/>
              </w:rPr>
              <w:t>2366</w:t>
            </w:r>
            <w:r w:rsidR="005F594C">
              <w:rPr>
                <w:color w:val="4E4E4E"/>
                <w:sz w:val="20"/>
                <w:szCs w:val="20"/>
              </w:rPr>
              <w:t>v1</w:t>
            </w:r>
          </w:p>
        </w:tc>
        <w:tc>
          <w:tcPr>
            <w:tcW w:w="6379" w:type="dxa"/>
            <w:tcBorders>
              <w:top w:val="single" w:sz="6" w:space="0" w:color="CECED0" w:themeColor="text1" w:themeTint="40"/>
              <w:left w:val="single" w:sz="6" w:space="0" w:color="CECED0" w:themeColor="text1" w:themeTint="40"/>
              <w:bottom w:val="single" w:sz="6" w:space="0" w:color="CECED0" w:themeColor="text1" w:themeTint="40"/>
              <w:right w:val="single" w:sz="6" w:space="0" w:color="CECED0" w:themeColor="text1" w:themeTint="40"/>
            </w:tcBorders>
          </w:tcPr>
          <w:p w14:paraId="6B4444BB" w14:textId="4288DF20" w:rsidR="00896705" w:rsidRPr="0066103F" w:rsidRDefault="00896705" w:rsidP="00896705">
            <w:pPr>
              <w:spacing w:before="40" w:after="40"/>
              <w:rPr>
                <w:color w:val="4E4E4E"/>
                <w:sz w:val="20"/>
                <w:szCs w:val="20"/>
              </w:rPr>
            </w:pPr>
            <w:r>
              <w:rPr>
                <w:color w:val="4E4E4E"/>
                <w:sz w:val="20"/>
                <w:szCs w:val="20"/>
              </w:rPr>
              <w:t>D Bonifant</w:t>
            </w:r>
          </w:p>
        </w:tc>
        <w:tc>
          <w:tcPr>
            <w:tcW w:w="2160" w:type="dxa"/>
            <w:tcBorders>
              <w:top w:val="single" w:sz="6" w:space="0" w:color="CECED0" w:themeColor="text1" w:themeTint="40"/>
              <w:left w:val="single" w:sz="6" w:space="0" w:color="CECED0" w:themeColor="text1" w:themeTint="40"/>
              <w:bottom w:val="single" w:sz="6" w:space="0" w:color="CECED0" w:themeColor="text1" w:themeTint="40"/>
              <w:right w:val="single" w:sz="2" w:space="0" w:color="CECED0" w:themeColor="text1" w:themeTint="40"/>
            </w:tcBorders>
          </w:tcPr>
          <w:p w14:paraId="350DACCD" w14:textId="17E49D4D" w:rsidR="00896705" w:rsidRPr="0066103F" w:rsidRDefault="00896705" w:rsidP="00896705">
            <w:pPr>
              <w:spacing w:before="40" w:after="40"/>
              <w:rPr>
                <w:color w:val="4E4E4E"/>
                <w:sz w:val="20"/>
                <w:szCs w:val="20"/>
              </w:rPr>
            </w:pPr>
            <w:r>
              <w:rPr>
                <w:color w:val="4E4E4E"/>
                <w:sz w:val="20"/>
                <w:szCs w:val="20"/>
              </w:rPr>
              <w:t>June 2018</w:t>
            </w:r>
          </w:p>
        </w:tc>
      </w:tr>
      <w:tr w:rsidR="002F550E" w:rsidRPr="0066103F" w14:paraId="5100C55F" w14:textId="77777777" w:rsidTr="005F594C">
        <w:trPr>
          <w:trHeight w:val="20"/>
        </w:trPr>
        <w:tc>
          <w:tcPr>
            <w:tcW w:w="1242" w:type="dxa"/>
            <w:tcBorders>
              <w:top w:val="single" w:sz="6" w:space="0" w:color="CECED0" w:themeColor="text1" w:themeTint="40"/>
              <w:left w:val="single" w:sz="2" w:space="0" w:color="CECED0" w:themeColor="text1" w:themeTint="40"/>
              <w:bottom w:val="single" w:sz="6" w:space="0" w:color="CECED0" w:themeColor="text1" w:themeTint="40"/>
              <w:right w:val="single" w:sz="6" w:space="0" w:color="CECED0" w:themeColor="text1" w:themeTint="40"/>
            </w:tcBorders>
          </w:tcPr>
          <w:p w14:paraId="0231C8B1" w14:textId="2EF78B85" w:rsidR="002F550E" w:rsidRPr="0066103F" w:rsidRDefault="002F550E" w:rsidP="002F550E">
            <w:pPr>
              <w:spacing w:before="40" w:after="40"/>
              <w:rPr>
                <w:color w:val="4E4E4E"/>
                <w:sz w:val="20"/>
                <w:szCs w:val="20"/>
              </w:rPr>
            </w:pPr>
            <w:r>
              <w:rPr>
                <w:color w:val="4E4E4E"/>
                <w:sz w:val="20"/>
                <w:szCs w:val="20"/>
              </w:rPr>
              <w:t>2366</w:t>
            </w:r>
            <w:r w:rsidR="005F594C">
              <w:rPr>
                <w:color w:val="4E4E4E"/>
                <w:sz w:val="20"/>
                <w:szCs w:val="20"/>
              </w:rPr>
              <w:t>v2</w:t>
            </w:r>
          </w:p>
        </w:tc>
        <w:tc>
          <w:tcPr>
            <w:tcW w:w="6379" w:type="dxa"/>
            <w:tcBorders>
              <w:top w:val="single" w:sz="6" w:space="0" w:color="CECED0" w:themeColor="text1" w:themeTint="40"/>
              <w:left w:val="single" w:sz="6" w:space="0" w:color="CECED0" w:themeColor="text1" w:themeTint="40"/>
              <w:bottom w:val="single" w:sz="6" w:space="0" w:color="CECED0" w:themeColor="text1" w:themeTint="40"/>
              <w:right w:val="single" w:sz="6" w:space="0" w:color="CECED0" w:themeColor="text1" w:themeTint="40"/>
            </w:tcBorders>
          </w:tcPr>
          <w:p w14:paraId="7BC3EACB" w14:textId="02CCFCC6" w:rsidR="002F550E" w:rsidRPr="0066103F" w:rsidRDefault="002F550E" w:rsidP="002F550E">
            <w:pPr>
              <w:spacing w:before="40" w:after="40"/>
              <w:rPr>
                <w:color w:val="4E4E4E"/>
                <w:sz w:val="20"/>
                <w:szCs w:val="20"/>
              </w:rPr>
            </w:pPr>
            <w:r>
              <w:rPr>
                <w:color w:val="4E4E4E"/>
                <w:sz w:val="20"/>
                <w:szCs w:val="20"/>
              </w:rPr>
              <w:t>D Bonifant</w:t>
            </w:r>
          </w:p>
        </w:tc>
        <w:tc>
          <w:tcPr>
            <w:tcW w:w="2160" w:type="dxa"/>
            <w:tcBorders>
              <w:top w:val="single" w:sz="6" w:space="0" w:color="CECED0" w:themeColor="text1" w:themeTint="40"/>
              <w:left w:val="single" w:sz="6" w:space="0" w:color="CECED0" w:themeColor="text1" w:themeTint="40"/>
              <w:bottom w:val="single" w:sz="6" w:space="0" w:color="CECED0" w:themeColor="text1" w:themeTint="40"/>
              <w:right w:val="single" w:sz="2" w:space="0" w:color="CECED0" w:themeColor="text1" w:themeTint="40"/>
            </w:tcBorders>
          </w:tcPr>
          <w:p w14:paraId="2613646F" w14:textId="33BD02B1" w:rsidR="002F550E" w:rsidRPr="0066103F" w:rsidRDefault="002F550E" w:rsidP="002F550E">
            <w:pPr>
              <w:spacing w:before="40" w:after="40"/>
              <w:rPr>
                <w:color w:val="4E4E4E"/>
                <w:sz w:val="20"/>
                <w:szCs w:val="20"/>
              </w:rPr>
            </w:pPr>
            <w:r>
              <w:rPr>
                <w:color w:val="4E4E4E"/>
                <w:sz w:val="20"/>
                <w:szCs w:val="20"/>
              </w:rPr>
              <w:t>July 2018</w:t>
            </w:r>
          </w:p>
        </w:tc>
      </w:tr>
      <w:tr w:rsidR="005F594C" w:rsidRPr="0066103F" w14:paraId="7A3D3B83" w14:textId="77777777" w:rsidTr="003B6745">
        <w:trPr>
          <w:trHeight w:val="20"/>
        </w:trPr>
        <w:tc>
          <w:tcPr>
            <w:tcW w:w="1242" w:type="dxa"/>
            <w:tcBorders>
              <w:top w:val="single" w:sz="6" w:space="0" w:color="CECED0" w:themeColor="text1" w:themeTint="40"/>
              <w:left w:val="single" w:sz="2" w:space="0" w:color="CECED0" w:themeColor="text1" w:themeTint="40"/>
              <w:bottom w:val="single" w:sz="2" w:space="0" w:color="CECED0" w:themeColor="text1" w:themeTint="40"/>
              <w:right w:val="single" w:sz="6" w:space="0" w:color="CECED0" w:themeColor="text1" w:themeTint="40"/>
            </w:tcBorders>
          </w:tcPr>
          <w:p w14:paraId="555CCBD7" w14:textId="6D69D9D3" w:rsidR="005F594C" w:rsidRDefault="005F594C" w:rsidP="005F594C">
            <w:pPr>
              <w:spacing w:before="40" w:after="40"/>
              <w:rPr>
                <w:color w:val="4E4E4E"/>
                <w:sz w:val="20"/>
                <w:szCs w:val="20"/>
              </w:rPr>
            </w:pPr>
            <w:r>
              <w:rPr>
                <w:color w:val="4E4E4E"/>
                <w:sz w:val="20"/>
                <w:szCs w:val="20"/>
              </w:rPr>
              <w:t>2366v3</w:t>
            </w:r>
          </w:p>
        </w:tc>
        <w:tc>
          <w:tcPr>
            <w:tcW w:w="6379" w:type="dxa"/>
            <w:tcBorders>
              <w:top w:val="single" w:sz="6" w:space="0" w:color="CECED0" w:themeColor="text1" w:themeTint="40"/>
              <w:left w:val="single" w:sz="6" w:space="0" w:color="CECED0" w:themeColor="text1" w:themeTint="40"/>
              <w:bottom w:val="single" w:sz="2" w:space="0" w:color="CECED0" w:themeColor="text1" w:themeTint="40"/>
              <w:right w:val="single" w:sz="6" w:space="0" w:color="CECED0" w:themeColor="text1" w:themeTint="40"/>
            </w:tcBorders>
          </w:tcPr>
          <w:p w14:paraId="6404E253" w14:textId="6429C61D" w:rsidR="005F594C" w:rsidRDefault="005F594C" w:rsidP="005F594C">
            <w:pPr>
              <w:spacing w:before="40" w:after="40"/>
              <w:rPr>
                <w:color w:val="4E4E4E"/>
                <w:sz w:val="20"/>
                <w:szCs w:val="20"/>
              </w:rPr>
            </w:pPr>
            <w:r>
              <w:rPr>
                <w:color w:val="4E4E4E"/>
                <w:sz w:val="20"/>
                <w:szCs w:val="20"/>
              </w:rPr>
              <w:t>D Bonifant</w:t>
            </w:r>
          </w:p>
        </w:tc>
        <w:tc>
          <w:tcPr>
            <w:tcW w:w="2160" w:type="dxa"/>
            <w:tcBorders>
              <w:top w:val="single" w:sz="6" w:space="0" w:color="CECED0" w:themeColor="text1" w:themeTint="40"/>
              <w:left w:val="single" w:sz="6" w:space="0" w:color="CECED0" w:themeColor="text1" w:themeTint="40"/>
              <w:bottom w:val="single" w:sz="2" w:space="0" w:color="CECED0" w:themeColor="text1" w:themeTint="40"/>
              <w:right w:val="single" w:sz="2" w:space="0" w:color="CECED0" w:themeColor="text1" w:themeTint="40"/>
            </w:tcBorders>
          </w:tcPr>
          <w:p w14:paraId="2A6B8795" w14:textId="31A24158" w:rsidR="005F594C" w:rsidRDefault="005F594C" w:rsidP="005F594C">
            <w:pPr>
              <w:spacing w:before="40" w:after="40"/>
              <w:rPr>
                <w:color w:val="4E4E4E"/>
                <w:sz w:val="20"/>
                <w:szCs w:val="20"/>
              </w:rPr>
            </w:pPr>
            <w:r>
              <w:rPr>
                <w:color w:val="4E4E4E"/>
                <w:sz w:val="20"/>
                <w:szCs w:val="20"/>
              </w:rPr>
              <w:t>July 2018</w:t>
            </w:r>
          </w:p>
        </w:tc>
      </w:tr>
    </w:tbl>
    <w:p w14:paraId="25A0BF8E" w14:textId="77777777" w:rsidR="002B6084" w:rsidRPr="0066103F" w:rsidRDefault="002B6084" w:rsidP="00542CB0">
      <w:pPr>
        <w:rPr>
          <w:color w:val="4E4E4E"/>
        </w:rPr>
      </w:pPr>
    </w:p>
    <w:p w14:paraId="3236ED8D" w14:textId="77777777" w:rsidR="00B9166E" w:rsidRPr="0066103F" w:rsidRDefault="00B9166E" w:rsidP="00542CB0">
      <w:pPr>
        <w:spacing w:after="120"/>
        <w:rPr>
          <w:rFonts w:asciiTheme="majorHAnsi" w:hAnsiTheme="majorHAnsi"/>
          <w:b/>
          <w:color w:val="4E4E4E"/>
          <w:sz w:val="36"/>
        </w:rPr>
        <w:sectPr w:rsidR="00B9166E" w:rsidRPr="0066103F" w:rsidSect="00542CB0">
          <w:footerReference w:type="default" r:id="rId15"/>
          <w:headerReference w:type="first" r:id="rId16"/>
          <w:footerReference w:type="first" r:id="rId17"/>
          <w:pgSz w:w="11900" w:h="16840"/>
          <w:pgMar w:top="1812" w:right="985" w:bottom="1080" w:left="1134" w:header="426" w:footer="433" w:gutter="0"/>
          <w:pgNumType w:fmt="lowerRoman" w:start="1"/>
          <w:cols w:space="708"/>
          <w:docGrid w:linePitch="299"/>
        </w:sectPr>
      </w:pPr>
    </w:p>
    <w:p w14:paraId="09C494CB" w14:textId="3FD03967" w:rsidR="006432C7" w:rsidRPr="0020336E" w:rsidRDefault="006432C7" w:rsidP="00443F71">
      <w:pPr>
        <w:pStyle w:val="Subtitle"/>
        <w:spacing w:before="0" w:after="240"/>
      </w:pPr>
      <w:r w:rsidRPr="0020336E">
        <w:lastRenderedPageBreak/>
        <w:t>Contents</w:t>
      </w:r>
    </w:p>
    <w:p w14:paraId="0A9C6168" w14:textId="13F1FC38" w:rsidR="009D38AF" w:rsidRDefault="00462553">
      <w:pPr>
        <w:pStyle w:val="TOC1"/>
        <w:rPr>
          <w:rFonts w:asciiTheme="minorHAnsi" w:eastAsiaTheme="minorEastAsia" w:hAnsiTheme="minorHAnsi" w:cstheme="minorBidi"/>
          <w:color w:val="auto"/>
          <w:lang w:eastAsia="en-NZ"/>
        </w:rPr>
      </w:pPr>
      <w:r>
        <w:rPr>
          <w:b/>
        </w:rPr>
        <w:fldChar w:fldCharType="begin"/>
      </w:r>
      <w:r>
        <w:rPr>
          <w:b/>
        </w:rPr>
        <w:instrText xml:space="preserve"> TOC \o "1-2" \h \z \u </w:instrText>
      </w:r>
      <w:r>
        <w:rPr>
          <w:b/>
        </w:rPr>
        <w:fldChar w:fldCharType="separate"/>
      </w:r>
      <w:hyperlink w:anchor="_Toc520703176" w:history="1">
        <w:r w:rsidR="009D38AF" w:rsidRPr="00F83D34">
          <w:rPr>
            <w:rStyle w:val="Hyperlink"/>
          </w:rPr>
          <w:t>Executive Summary</w:t>
        </w:r>
        <w:r w:rsidR="009D38AF">
          <w:rPr>
            <w:webHidden/>
          </w:rPr>
          <w:tab/>
        </w:r>
        <w:r w:rsidR="009D38AF">
          <w:rPr>
            <w:webHidden/>
          </w:rPr>
          <w:fldChar w:fldCharType="begin"/>
        </w:r>
        <w:r w:rsidR="009D38AF">
          <w:rPr>
            <w:webHidden/>
          </w:rPr>
          <w:instrText xml:space="preserve"> PAGEREF _Toc520703176 \h </w:instrText>
        </w:r>
        <w:r w:rsidR="009D38AF">
          <w:rPr>
            <w:webHidden/>
          </w:rPr>
        </w:r>
        <w:r w:rsidR="009D38AF">
          <w:rPr>
            <w:webHidden/>
          </w:rPr>
          <w:fldChar w:fldCharType="separate"/>
        </w:r>
        <w:r w:rsidR="00A00D18">
          <w:rPr>
            <w:webHidden/>
          </w:rPr>
          <w:t>1</w:t>
        </w:r>
        <w:r w:rsidR="009D38AF">
          <w:rPr>
            <w:webHidden/>
          </w:rPr>
          <w:fldChar w:fldCharType="end"/>
        </w:r>
      </w:hyperlink>
    </w:p>
    <w:p w14:paraId="2C518B81" w14:textId="37FFD6BF" w:rsidR="009D38AF" w:rsidRDefault="00A00D18">
      <w:pPr>
        <w:pStyle w:val="TOC1"/>
        <w:rPr>
          <w:rFonts w:asciiTheme="minorHAnsi" w:eastAsiaTheme="minorEastAsia" w:hAnsiTheme="minorHAnsi" w:cstheme="minorBidi"/>
          <w:color w:val="auto"/>
          <w:lang w:eastAsia="en-NZ"/>
        </w:rPr>
      </w:pPr>
      <w:hyperlink w:anchor="_Toc520703177" w:history="1">
        <w:r w:rsidR="009D38AF" w:rsidRPr="00F83D34">
          <w:rPr>
            <w:rStyle w:val="Hyperlink"/>
          </w:rPr>
          <w:t>Background and Introduction</w:t>
        </w:r>
        <w:r w:rsidR="009D38AF">
          <w:rPr>
            <w:webHidden/>
          </w:rPr>
          <w:tab/>
        </w:r>
        <w:r w:rsidR="009D38AF">
          <w:rPr>
            <w:webHidden/>
          </w:rPr>
          <w:fldChar w:fldCharType="begin"/>
        </w:r>
        <w:r w:rsidR="009D38AF">
          <w:rPr>
            <w:webHidden/>
          </w:rPr>
          <w:instrText xml:space="preserve"> PAGEREF _Toc520703177 \h </w:instrText>
        </w:r>
        <w:r w:rsidR="009D38AF">
          <w:rPr>
            <w:webHidden/>
          </w:rPr>
        </w:r>
        <w:r w:rsidR="009D38AF">
          <w:rPr>
            <w:webHidden/>
          </w:rPr>
          <w:fldChar w:fldCharType="separate"/>
        </w:r>
        <w:r>
          <w:rPr>
            <w:webHidden/>
          </w:rPr>
          <w:t>7</w:t>
        </w:r>
        <w:r w:rsidR="009D38AF">
          <w:rPr>
            <w:webHidden/>
          </w:rPr>
          <w:fldChar w:fldCharType="end"/>
        </w:r>
      </w:hyperlink>
    </w:p>
    <w:p w14:paraId="4F619A98" w14:textId="21D19693" w:rsidR="009D38AF" w:rsidRDefault="00A00D18">
      <w:pPr>
        <w:pStyle w:val="TOC1"/>
        <w:rPr>
          <w:rFonts w:asciiTheme="minorHAnsi" w:eastAsiaTheme="minorEastAsia" w:hAnsiTheme="minorHAnsi" w:cstheme="minorBidi"/>
          <w:color w:val="auto"/>
          <w:lang w:eastAsia="en-NZ"/>
        </w:rPr>
      </w:pPr>
      <w:hyperlink w:anchor="_Toc520703178" w:history="1">
        <w:r w:rsidR="009D38AF" w:rsidRPr="00F83D34">
          <w:rPr>
            <w:rStyle w:val="Hyperlink"/>
          </w:rPr>
          <w:t>Council Revenue</w:t>
        </w:r>
        <w:r w:rsidR="009D38AF">
          <w:rPr>
            <w:webHidden/>
          </w:rPr>
          <w:tab/>
        </w:r>
        <w:r w:rsidR="009D38AF">
          <w:rPr>
            <w:webHidden/>
          </w:rPr>
          <w:fldChar w:fldCharType="begin"/>
        </w:r>
        <w:r w:rsidR="009D38AF">
          <w:rPr>
            <w:webHidden/>
          </w:rPr>
          <w:instrText xml:space="preserve"> PAGEREF _Toc520703178 \h </w:instrText>
        </w:r>
        <w:r w:rsidR="009D38AF">
          <w:rPr>
            <w:webHidden/>
          </w:rPr>
        </w:r>
        <w:r w:rsidR="009D38AF">
          <w:rPr>
            <w:webHidden/>
          </w:rPr>
          <w:fldChar w:fldCharType="separate"/>
        </w:r>
        <w:r>
          <w:rPr>
            <w:webHidden/>
          </w:rPr>
          <w:t>8</w:t>
        </w:r>
        <w:r w:rsidR="009D38AF">
          <w:rPr>
            <w:webHidden/>
          </w:rPr>
          <w:fldChar w:fldCharType="end"/>
        </w:r>
      </w:hyperlink>
    </w:p>
    <w:p w14:paraId="6E74A50A" w14:textId="5541388B" w:rsidR="009D38AF" w:rsidRDefault="00A00D18">
      <w:pPr>
        <w:pStyle w:val="TOC2"/>
        <w:rPr>
          <w:rFonts w:asciiTheme="minorHAnsi" w:eastAsiaTheme="minorEastAsia" w:hAnsiTheme="minorHAnsi" w:cstheme="minorBidi"/>
          <w:noProof/>
          <w:color w:val="auto"/>
          <w:lang w:eastAsia="en-NZ"/>
        </w:rPr>
      </w:pPr>
      <w:hyperlink w:anchor="_Toc520703179" w:history="1">
        <w:r w:rsidR="009D38AF" w:rsidRPr="00F83D34">
          <w:rPr>
            <w:rStyle w:val="Hyperlink"/>
            <w:noProof/>
          </w:rPr>
          <w:t>Types of Revenue</w:t>
        </w:r>
        <w:r w:rsidR="009D38AF">
          <w:rPr>
            <w:noProof/>
            <w:webHidden/>
          </w:rPr>
          <w:tab/>
        </w:r>
        <w:r w:rsidR="009D38AF">
          <w:rPr>
            <w:noProof/>
            <w:webHidden/>
          </w:rPr>
          <w:fldChar w:fldCharType="begin"/>
        </w:r>
        <w:r w:rsidR="009D38AF">
          <w:rPr>
            <w:noProof/>
            <w:webHidden/>
          </w:rPr>
          <w:instrText xml:space="preserve"> PAGEREF _Toc520703179 \h </w:instrText>
        </w:r>
        <w:r w:rsidR="009D38AF">
          <w:rPr>
            <w:noProof/>
            <w:webHidden/>
          </w:rPr>
        </w:r>
        <w:r w:rsidR="009D38AF">
          <w:rPr>
            <w:noProof/>
            <w:webHidden/>
          </w:rPr>
          <w:fldChar w:fldCharType="separate"/>
        </w:r>
        <w:r>
          <w:rPr>
            <w:noProof/>
            <w:webHidden/>
          </w:rPr>
          <w:t>8</w:t>
        </w:r>
        <w:r w:rsidR="009D38AF">
          <w:rPr>
            <w:noProof/>
            <w:webHidden/>
          </w:rPr>
          <w:fldChar w:fldCharType="end"/>
        </w:r>
      </w:hyperlink>
    </w:p>
    <w:p w14:paraId="0BEC5916" w14:textId="54F62B88" w:rsidR="009D38AF" w:rsidRDefault="00A00D18">
      <w:pPr>
        <w:pStyle w:val="TOC2"/>
        <w:rPr>
          <w:rFonts w:asciiTheme="minorHAnsi" w:eastAsiaTheme="minorEastAsia" w:hAnsiTheme="minorHAnsi" w:cstheme="minorBidi"/>
          <w:noProof/>
          <w:color w:val="auto"/>
          <w:lang w:eastAsia="en-NZ"/>
        </w:rPr>
      </w:pPr>
      <w:hyperlink w:anchor="_Toc520703180" w:history="1">
        <w:r w:rsidR="009D38AF" w:rsidRPr="00F83D34">
          <w:rPr>
            <w:rStyle w:val="Hyperlink"/>
            <w:noProof/>
          </w:rPr>
          <w:t>Rates</w:t>
        </w:r>
        <w:r w:rsidR="009D38AF">
          <w:rPr>
            <w:noProof/>
            <w:webHidden/>
          </w:rPr>
          <w:tab/>
        </w:r>
        <w:r w:rsidR="009D38AF">
          <w:rPr>
            <w:noProof/>
            <w:webHidden/>
          </w:rPr>
          <w:fldChar w:fldCharType="begin"/>
        </w:r>
        <w:r w:rsidR="009D38AF">
          <w:rPr>
            <w:noProof/>
            <w:webHidden/>
          </w:rPr>
          <w:instrText xml:space="preserve"> PAGEREF _Toc520703180 \h </w:instrText>
        </w:r>
        <w:r w:rsidR="009D38AF">
          <w:rPr>
            <w:noProof/>
            <w:webHidden/>
          </w:rPr>
        </w:r>
        <w:r w:rsidR="009D38AF">
          <w:rPr>
            <w:noProof/>
            <w:webHidden/>
          </w:rPr>
          <w:fldChar w:fldCharType="separate"/>
        </w:r>
        <w:r>
          <w:rPr>
            <w:noProof/>
            <w:webHidden/>
          </w:rPr>
          <w:t>11</w:t>
        </w:r>
        <w:r w:rsidR="009D38AF">
          <w:rPr>
            <w:noProof/>
            <w:webHidden/>
          </w:rPr>
          <w:fldChar w:fldCharType="end"/>
        </w:r>
      </w:hyperlink>
    </w:p>
    <w:p w14:paraId="05225C6A" w14:textId="6F55B902" w:rsidR="009D38AF" w:rsidRDefault="00A00D18">
      <w:pPr>
        <w:pStyle w:val="TOC1"/>
        <w:rPr>
          <w:rFonts w:asciiTheme="minorHAnsi" w:eastAsiaTheme="minorEastAsia" w:hAnsiTheme="minorHAnsi" w:cstheme="minorBidi"/>
          <w:color w:val="auto"/>
          <w:lang w:eastAsia="en-NZ"/>
        </w:rPr>
      </w:pPr>
      <w:hyperlink w:anchor="_Toc520703181" w:history="1">
        <w:r w:rsidR="009D38AF" w:rsidRPr="00F83D34">
          <w:rPr>
            <w:rStyle w:val="Hyperlink"/>
          </w:rPr>
          <w:t>Councils’ Costs</w:t>
        </w:r>
        <w:r w:rsidR="009D38AF">
          <w:rPr>
            <w:webHidden/>
          </w:rPr>
          <w:tab/>
        </w:r>
        <w:r w:rsidR="009D38AF">
          <w:rPr>
            <w:webHidden/>
          </w:rPr>
          <w:fldChar w:fldCharType="begin"/>
        </w:r>
        <w:r w:rsidR="009D38AF">
          <w:rPr>
            <w:webHidden/>
          </w:rPr>
          <w:instrText xml:space="preserve"> PAGEREF _Toc520703181 \h </w:instrText>
        </w:r>
        <w:r w:rsidR="009D38AF">
          <w:rPr>
            <w:webHidden/>
          </w:rPr>
        </w:r>
        <w:r w:rsidR="009D38AF">
          <w:rPr>
            <w:webHidden/>
          </w:rPr>
          <w:fldChar w:fldCharType="separate"/>
        </w:r>
        <w:r>
          <w:rPr>
            <w:webHidden/>
          </w:rPr>
          <w:t>20</w:t>
        </w:r>
        <w:r w:rsidR="009D38AF">
          <w:rPr>
            <w:webHidden/>
          </w:rPr>
          <w:fldChar w:fldCharType="end"/>
        </w:r>
      </w:hyperlink>
    </w:p>
    <w:p w14:paraId="1240038F" w14:textId="23CE891A" w:rsidR="009D38AF" w:rsidRDefault="00A00D18">
      <w:pPr>
        <w:pStyle w:val="TOC2"/>
        <w:rPr>
          <w:rFonts w:asciiTheme="minorHAnsi" w:eastAsiaTheme="minorEastAsia" w:hAnsiTheme="minorHAnsi" w:cstheme="minorBidi"/>
          <w:noProof/>
          <w:color w:val="auto"/>
          <w:lang w:eastAsia="en-NZ"/>
        </w:rPr>
      </w:pPr>
      <w:hyperlink w:anchor="_Toc520703182" w:history="1">
        <w:r w:rsidR="009D38AF" w:rsidRPr="00F83D34">
          <w:rPr>
            <w:rStyle w:val="Hyperlink"/>
            <w:noProof/>
          </w:rPr>
          <w:t>Renewal costs and depreciation</w:t>
        </w:r>
        <w:r w:rsidR="009D38AF">
          <w:rPr>
            <w:noProof/>
            <w:webHidden/>
          </w:rPr>
          <w:tab/>
        </w:r>
        <w:r w:rsidR="009D38AF">
          <w:rPr>
            <w:noProof/>
            <w:webHidden/>
          </w:rPr>
          <w:fldChar w:fldCharType="begin"/>
        </w:r>
        <w:r w:rsidR="009D38AF">
          <w:rPr>
            <w:noProof/>
            <w:webHidden/>
          </w:rPr>
          <w:instrText xml:space="preserve"> PAGEREF _Toc520703182 \h </w:instrText>
        </w:r>
        <w:r w:rsidR="009D38AF">
          <w:rPr>
            <w:noProof/>
            <w:webHidden/>
          </w:rPr>
        </w:r>
        <w:r w:rsidR="009D38AF">
          <w:rPr>
            <w:noProof/>
            <w:webHidden/>
          </w:rPr>
          <w:fldChar w:fldCharType="separate"/>
        </w:r>
        <w:r>
          <w:rPr>
            <w:noProof/>
            <w:webHidden/>
          </w:rPr>
          <w:t>23</w:t>
        </w:r>
        <w:r w:rsidR="009D38AF">
          <w:rPr>
            <w:noProof/>
            <w:webHidden/>
          </w:rPr>
          <w:fldChar w:fldCharType="end"/>
        </w:r>
      </w:hyperlink>
    </w:p>
    <w:p w14:paraId="3CD54F81" w14:textId="363B56BA" w:rsidR="009D38AF" w:rsidRDefault="00A00D18">
      <w:pPr>
        <w:pStyle w:val="TOC2"/>
        <w:rPr>
          <w:rFonts w:asciiTheme="minorHAnsi" w:eastAsiaTheme="minorEastAsia" w:hAnsiTheme="minorHAnsi" w:cstheme="minorBidi"/>
          <w:noProof/>
          <w:color w:val="auto"/>
          <w:lang w:eastAsia="en-NZ"/>
        </w:rPr>
      </w:pPr>
      <w:hyperlink w:anchor="_Toc520703183" w:history="1">
        <w:r w:rsidR="009D38AF" w:rsidRPr="00F83D34">
          <w:rPr>
            <w:rStyle w:val="Hyperlink"/>
            <w:noProof/>
          </w:rPr>
          <w:t>Costs of Delivering Key Services</w:t>
        </w:r>
        <w:r w:rsidR="009D38AF">
          <w:rPr>
            <w:noProof/>
            <w:webHidden/>
          </w:rPr>
          <w:tab/>
        </w:r>
        <w:r w:rsidR="009D38AF">
          <w:rPr>
            <w:noProof/>
            <w:webHidden/>
          </w:rPr>
          <w:fldChar w:fldCharType="begin"/>
        </w:r>
        <w:r w:rsidR="009D38AF">
          <w:rPr>
            <w:noProof/>
            <w:webHidden/>
          </w:rPr>
          <w:instrText xml:space="preserve"> PAGEREF _Toc520703183 \h </w:instrText>
        </w:r>
        <w:r w:rsidR="009D38AF">
          <w:rPr>
            <w:noProof/>
            <w:webHidden/>
          </w:rPr>
        </w:r>
        <w:r w:rsidR="009D38AF">
          <w:rPr>
            <w:noProof/>
            <w:webHidden/>
          </w:rPr>
          <w:fldChar w:fldCharType="separate"/>
        </w:r>
        <w:r>
          <w:rPr>
            <w:noProof/>
            <w:webHidden/>
          </w:rPr>
          <w:t>37</w:t>
        </w:r>
        <w:r w:rsidR="009D38AF">
          <w:rPr>
            <w:noProof/>
            <w:webHidden/>
          </w:rPr>
          <w:fldChar w:fldCharType="end"/>
        </w:r>
      </w:hyperlink>
    </w:p>
    <w:p w14:paraId="5E57D770" w14:textId="0F1983D9" w:rsidR="009D38AF" w:rsidRDefault="00A00D18">
      <w:pPr>
        <w:pStyle w:val="TOC1"/>
        <w:rPr>
          <w:rFonts w:asciiTheme="minorHAnsi" w:eastAsiaTheme="minorEastAsia" w:hAnsiTheme="minorHAnsi" w:cstheme="minorBidi"/>
          <w:color w:val="auto"/>
          <w:lang w:eastAsia="en-NZ"/>
        </w:rPr>
      </w:pPr>
      <w:hyperlink w:anchor="_Toc520703184" w:history="1">
        <w:r w:rsidR="009D38AF" w:rsidRPr="00F83D34">
          <w:rPr>
            <w:rStyle w:val="Hyperlink"/>
          </w:rPr>
          <w:t>Debt</w:t>
        </w:r>
        <w:r w:rsidR="009D38AF">
          <w:rPr>
            <w:webHidden/>
          </w:rPr>
          <w:tab/>
        </w:r>
        <w:r w:rsidR="009D38AF">
          <w:rPr>
            <w:webHidden/>
          </w:rPr>
          <w:tab/>
        </w:r>
        <w:r w:rsidR="009D38AF">
          <w:rPr>
            <w:webHidden/>
          </w:rPr>
          <w:fldChar w:fldCharType="begin"/>
        </w:r>
        <w:r w:rsidR="009D38AF">
          <w:rPr>
            <w:webHidden/>
          </w:rPr>
          <w:instrText xml:space="preserve"> PAGEREF _Toc520703184 \h </w:instrText>
        </w:r>
        <w:r w:rsidR="009D38AF">
          <w:rPr>
            <w:webHidden/>
          </w:rPr>
        </w:r>
        <w:r w:rsidR="009D38AF">
          <w:rPr>
            <w:webHidden/>
          </w:rPr>
          <w:fldChar w:fldCharType="separate"/>
        </w:r>
        <w:r>
          <w:rPr>
            <w:webHidden/>
          </w:rPr>
          <w:t>48</w:t>
        </w:r>
        <w:r w:rsidR="009D38AF">
          <w:rPr>
            <w:webHidden/>
          </w:rPr>
          <w:fldChar w:fldCharType="end"/>
        </w:r>
      </w:hyperlink>
    </w:p>
    <w:p w14:paraId="6AF0B9C7" w14:textId="211B9E46" w:rsidR="009D38AF" w:rsidRDefault="00A00D18">
      <w:pPr>
        <w:pStyle w:val="TOC1"/>
        <w:rPr>
          <w:rFonts w:asciiTheme="minorHAnsi" w:eastAsiaTheme="minorEastAsia" w:hAnsiTheme="minorHAnsi" w:cstheme="minorBidi"/>
          <w:color w:val="auto"/>
          <w:lang w:eastAsia="en-NZ"/>
        </w:rPr>
      </w:pPr>
      <w:hyperlink w:anchor="_Toc520703185" w:history="1">
        <w:r w:rsidR="009D38AF" w:rsidRPr="00F83D34">
          <w:rPr>
            <w:rStyle w:val="Hyperlink"/>
          </w:rPr>
          <w:t>Other Issues Creating Cost Pressures</w:t>
        </w:r>
        <w:r w:rsidR="009D38AF">
          <w:rPr>
            <w:webHidden/>
          </w:rPr>
          <w:tab/>
        </w:r>
        <w:r w:rsidR="009D38AF">
          <w:rPr>
            <w:webHidden/>
          </w:rPr>
          <w:fldChar w:fldCharType="begin"/>
        </w:r>
        <w:r w:rsidR="009D38AF">
          <w:rPr>
            <w:webHidden/>
          </w:rPr>
          <w:instrText xml:space="preserve"> PAGEREF _Toc520703185 \h </w:instrText>
        </w:r>
        <w:r w:rsidR="009D38AF">
          <w:rPr>
            <w:webHidden/>
          </w:rPr>
        </w:r>
        <w:r w:rsidR="009D38AF">
          <w:rPr>
            <w:webHidden/>
          </w:rPr>
          <w:fldChar w:fldCharType="separate"/>
        </w:r>
        <w:r>
          <w:rPr>
            <w:webHidden/>
          </w:rPr>
          <w:t>53</w:t>
        </w:r>
        <w:r w:rsidR="009D38AF">
          <w:rPr>
            <w:webHidden/>
          </w:rPr>
          <w:fldChar w:fldCharType="end"/>
        </w:r>
      </w:hyperlink>
    </w:p>
    <w:p w14:paraId="3013FC2F" w14:textId="2CC57DC4" w:rsidR="009D38AF" w:rsidRDefault="00A00D18">
      <w:pPr>
        <w:pStyle w:val="TOC2"/>
        <w:rPr>
          <w:rFonts w:asciiTheme="minorHAnsi" w:eastAsiaTheme="minorEastAsia" w:hAnsiTheme="minorHAnsi" w:cstheme="minorBidi"/>
          <w:noProof/>
          <w:color w:val="auto"/>
          <w:lang w:eastAsia="en-NZ"/>
        </w:rPr>
      </w:pPr>
      <w:hyperlink w:anchor="_Toc520703186" w:history="1">
        <w:r w:rsidR="009D38AF" w:rsidRPr="00F83D34">
          <w:rPr>
            <w:rStyle w:val="Hyperlink"/>
            <w:noProof/>
          </w:rPr>
          <w:t>Population and demographic changes</w:t>
        </w:r>
        <w:r w:rsidR="009D38AF">
          <w:rPr>
            <w:noProof/>
            <w:webHidden/>
          </w:rPr>
          <w:tab/>
        </w:r>
        <w:r w:rsidR="009D38AF">
          <w:rPr>
            <w:noProof/>
            <w:webHidden/>
          </w:rPr>
          <w:fldChar w:fldCharType="begin"/>
        </w:r>
        <w:r w:rsidR="009D38AF">
          <w:rPr>
            <w:noProof/>
            <w:webHidden/>
          </w:rPr>
          <w:instrText xml:space="preserve"> PAGEREF _Toc520703186 \h </w:instrText>
        </w:r>
        <w:r w:rsidR="009D38AF">
          <w:rPr>
            <w:noProof/>
            <w:webHidden/>
          </w:rPr>
        </w:r>
        <w:r w:rsidR="009D38AF">
          <w:rPr>
            <w:noProof/>
            <w:webHidden/>
          </w:rPr>
          <w:fldChar w:fldCharType="separate"/>
        </w:r>
        <w:r>
          <w:rPr>
            <w:noProof/>
            <w:webHidden/>
          </w:rPr>
          <w:t>53</w:t>
        </w:r>
        <w:r w:rsidR="009D38AF">
          <w:rPr>
            <w:noProof/>
            <w:webHidden/>
          </w:rPr>
          <w:fldChar w:fldCharType="end"/>
        </w:r>
      </w:hyperlink>
    </w:p>
    <w:p w14:paraId="09BE5857" w14:textId="7513B316" w:rsidR="009D38AF" w:rsidRDefault="00A00D18">
      <w:pPr>
        <w:pStyle w:val="TOC2"/>
        <w:rPr>
          <w:rFonts w:asciiTheme="minorHAnsi" w:eastAsiaTheme="minorEastAsia" w:hAnsiTheme="minorHAnsi" w:cstheme="minorBidi"/>
          <w:noProof/>
          <w:color w:val="auto"/>
          <w:lang w:eastAsia="en-NZ"/>
        </w:rPr>
      </w:pPr>
      <w:hyperlink w:anchor="_Toc520703187" w:history="1">
        <w:r w:rsidR="009D38AF" w:rsidRPr="00F83D34">
          <w:rPr>
            <w:rStyle w:val="Hyperlink"/>
            <w:noProof/>
          </w:rPr>
          <w:t>Tourism pressures</w:t>
        </w:r>
        <w:r w:rsidR="009D38AF">
          <w:rPr>
            <w:noProof/>
            <w:webHidden/>
          </w:rPr>
          <w:tab/>
        </w:r>
        <w:r w:rsidR="009D38AF">
          <w:rPr>
            <w:noProof/>
            <w:webHidden/>
          </w:rPr>
          <w:fldChar w:fldCharType="begin"/>
        </w:r>
        <w:r w:rsidR="009D38AF">
          <w:rPr>
            <w:noProof/>
            <w:webHidden/>
          </w:rPr>
          <w:instrText xml:space="preserve"> PAGEREF _Toc520703187 \h </w:instrText>
        </w:r>
        <w:r w:rsidR="009D38AF">
          <w:rPr>
            <w:noProof/>
            <w:webHidden/>
          </w:rPr>
        </w:r>
        <w:r w:rsidR="009D38AF">
          <w:rPr>
            <w:noProof/>
            <w:webHidden/>
          </w:rPr>
          <w:fldChar w:fldCharType="separate"/>
        </w:r>
        <w:r>
          <w:rPr>
            <w:noProof/>
            <w:webHidden/>
          </w:rPr>
          <w:t>57</w:t>
        </w:r>
        <w:r w:rsidR="009D38AF">
          <w:rPr>
            <w:noProof/>
            <w:webHidden/>
          </w:rPr>
          <w:fldChar w:fldCharType="end"/>
        </w:r>
      </w:hyperlink>
    </w:p>
    <w:p w14:paraId="664FBD19" w14:textId="60E08BBC" w:rsidR="009D38AF" w:rsidRDefault="00A00D18">
      <w:pPr>
        <w:pStyle w:val="TOC2"/>
        <w:rPr>
          <w:rFonts w:asciiTheme="minorHAnsi" w:eastAsiaTheme="minorEastAsia" w:hAnsiTheme="minorHAnsi" w:cstheme="minorBidi"/>
          <w:noProof/>
          <w:color w:val="auto"/>
          <w:lang w:eastAsia="en-NZ"/>
        </w:rPr>
      </w:pPr>
      <w:hyperlink w:anchor="_Toc520703188" w:history="1">
        <w:r w:rsidR="009D38AF" w:rsidRPr="00F83D34">
          <w:rPr>
            <w:rStyle w:val="Hyperlink"/>
            <w:noProof/>
          </w:rPr>
          <w:t>Climate change</w:t>
        </w:r>
        <w:r w:rsidR="009D38AF">
          <w:rPr>
            <w:noProof/>
            <w:webHidden/>
          </w:rPr>
          <w:tab/>
        </w:r>
        <w:r w:rsidR="009D38AF">
          <w:rPr>
            <w:noProof/>
            <w:webHidden/>
          </w:rPr>
          <w:fldChar w:fldCharType="begin"/>
        </w:r>
        <w:r w:rsidR="009D38AF">
          <w:rPr>
            <w:noProof/>
            <w:webHidden/>
          </w:rPr>
          <w:instrText xml:space="preserve"> PAGEREF _Toc520703188 \h </w:instrText>
        </w:r>
        <w:r w:rsidR="009D38AF">
          <w:rPr>
            <w:noProof/>
            <w:webHidden/>
          </w:rPr>
        </w:r>
        <w:r w:rsidR="009D38AF">
          <w:rPr>
            <w:noProof/>
            <w:webHidden/>
          </w:rPr>
          <w:fldChar w:fldCharType="separate"/>
        </w:r>
        <w:r>
          <w:rPr>
            <w:noProof/>
            <w:webHidden/>
          </w:rPr>
          <w:t>58</w:t>
        </w:r>
        <w:r w:rsidR="009D38AF">
          <w:rPr>
            <w:noProof/>
            <w:webHidden/>
          </w:rPr>
          <w:fldChar w:fldCharType="end"/>
        </w:r>
      </w:hyperlink>
    </w:p>
    <w:p w14:paraId="1C164A77" w14:textId="1BD20100" w:rsidR="009D38AF" w:rsidRDefault="00A00D18">
      <w:pPr>
        <w:pStyle w:val="TOC2"/>
        <w:rPr>
          <w:rFonts w:asciiTheme="minorHAnsi" w:eastAsiaTheme="minorEastAsia" w:hAnsiTheme="minorHAnsi" w:cstheme="minorBidi"/>
          <w:noProof/>
          <w:color w:val="auto"/>
          <w:lang w:eastAsia="en-NZ"/>
        </w:rPr>
      </w:pPr>
      <w:hyperlink w:anchor="_Toc520703189" w:history="1">
        <w:r w:rsidR="009D38AF" w:rsidRPr="00F83D34">
          <w:rPr>
            <w:rStyle w:val="Hyperlink"/>
            <w:noProof/>
          </w:rPr>
          <w:t>Seismic strengthening</w:t>
        </w:r>
        <w:r w:rsidR="009D38AF">
          <w:rPr>
            <w:noProof/>
            <w:webHidden/>
          </w:rPr>
          <w:tab/>
        </w:r>
        <w:r w:rsidR="009D38AF">
          <w:rPr>
            <w:noProof/>
            <w:webHidden/>
          </w:rPr>
          <w:fldChar w:fldCharType="begin"/>
        </w:r>
        <w:r w:rsidR="009D38AF">
          <w:rPr>
            <w:noProof/>
            <w:webHidden/>
          </w:rPr>
          <w:instrText xml:space="preserve"> PAGEREF _Toc520703189 \h </w:instrText>
        </w:r>
        <w:r w:rsidR="009D38AF">
          <w:rPr>
            <w:noProof/>
            <w:webHidden/>
          </w:rPr>
        </w:r>
        <w:r w:rsidR="009D38AF">
          <w:rPr>
            <w:noProof/>
            <w:webHidden/>
          </w:rPr>
          <w:fldChar w:fldCharType="separate"/>
        </w:r>
        <w:r>
          <w:rPr>
            <w:noProof/>
            <w:webHidden/>
          </w:rPr>
          <w:t>59</w:t>
        </w:r>
        <w:r w:rsidR="009D38AF">
          <w:rPr>
            <w:noProof/>
            <w:webHidden/>
          </w:rPr>
          <w:fldChar w:fldCharType="end"/>
        </w:r>
      </w:hyperlink>
    </w:p>
    <w:p w14:paraId="1E337DAA" w14:textId="76C21DE4" w:rsidR="009D38AF" w:rsidRDefault="00A00D18">
      <w:pPr>
        <w:pStyle w:val="TOC2"/>
        <w:rPr>
          <w:rFonts w:asciiTheme="minorHAnsi" w:eastAsiaTheme="minorEastAsia" w:hAnsiTheme="minorHAnsi" w:cstheme="minorBidi"/>
          <w:noProof/>
          <w:color w:val="auto"/>
          <w:lang w:eastAsia="en-NZ"/>
        </w:rPr>
      </w:pPr>
      <w:hyperlink w:anchor="_Toc520703190" w:history="1">
        <w:r w:rsidR="009D38AF" w:rsidRPr="00F83D34">
          <w:rPr>
            <w:rStyle w:val="Hyperlink"/>
            <w:noProof/>
          </w:rPr>
          <w:t>Innovative funding mechanisms</w:t>
        </w:r>
        <w:r w:rsidR="009D38AF">
          <w:rPr>
            <w:noProof/>
            <w:webHidden/>
          </w:rPr>
          <w:tab/>
        </w:r>
        <w:r w:rsidR="009D38AF">
          <w:rPr>
            <w:noProof/>
            <w:webHidden/>
          </w:rPr>
          <w:fldChar w:fldCharType="begin"/>
        </w:r>
        <w:r w:rsidR="009D38AF">
          <w:rPr>
            <w:noProof/>
            <w:webHidden/>
          </w:rPr>
          <w:instrText xml:space="preserve"> PAGEREF _Toc520703190 \h </w:instrText>
        </w:r>
        <w:r w:rsidR="009D38AF">
          <w:rPr>
            <w:noProof/>
            <w:webHidden/>
          </w:rPr>
        </w:r>
        <w:r w:rsidR="009D38AF">
          <w:rPr>
            <w:noProof/>
            <w:webHidden/>
          </w:rPr>
          <w:fldChar w:fldCharType="separate"/>
        </w:r>
        <w:r>
          <w:rPr>
            <w:noProof/>
            <w:webHidden/>
          </w:rPr>
          <w:t>59</w:t>
        </w:r>
        <w:r w:rsidR="009D38AF">
          <w:rPr>
            <w:noProof/>
            <w:webHidden/>
          </w:rPr>
          <w:fldChar w:fldCharType="end"/>
        </w:r>
      </w:hyperlink>
    </w:p>
    <w:p w14:paraId="3868B2B5" w14:textId="28B2B347" w:rsidR="009D38AF" w:rsidRDefault="00A00D18">
      <w:pPr>
        <w:pStyle w:val="TOC2"/>
        <w:rPr>
          <w:rFonts w:asciiTheme="minorHAnsi" w:eastAsiaTheme="minorEastAsia" w:hAnsiTheme="minorHAnsi" w:cstheme="minorBidi"/>
          <w:noProof/>
          <w:color w:val="auto"/>
          <w:lang w:eastAsia="en-NZ"/>
        </w:rPr>
      </w:pPr>
      <w:hyperlink w:anchor="_Toc520703191" w:history="1">
        <w:r w:rsidR="009D38AF" w:rsidRPr="00F83D34">
          <w:rPr>
            <w:rStyle w:val="Hyperlink"/>
            <w:noProof/>
          </w:rPr>
          <w:t>Compliance costs</w:t>
        </w:r>
        <w:r w:rsidR="009D38AF">
          <w:rPr>
            <w:noProof/>
            <w:webHidden/>
          </w:rPr>
          <w:tab/>
        </w:r>
        <w:r w:rsidR="009D38AF">
          <w:rPr>
            <w:noProof/>
            <w:webHidden/>
          </w:rPr>
          <w:fldChar w:fldCharType="begin"/>
        </w:r>
        <w:r w:rsidR="009D38AF">
          <w:rPr>
            <w:noProof/>
            <w:webHidden/>
          </w:rPr>
          <w:instrText xml:space="preserve"> PAGEREF _Toc520703191 \h </w:instrText>
        </w:r>
        <w:r w:rsidR="009D38AF">
          <w:rPr>
            <w:noProof/>
            <w:webHidden/>
          </w:rPr>
        </w:r>
        <w:r w:rsidR="009D38AF">
          <w:rPr>
            <w:noProof/>
            <w:webHidden/>
          </w:rPr>
          <w:fldChar w:fldCharType="separate"/>
        </w:r>
        <w:r>
          <w:rPr>
            <w:noProof/>
            <w:webHidden/>
          </w:rPr>
          <w:t>60</w:t>
        </w:r>
        <w:r w:rsidR="009D38AF">
          <w:rPr>
            <w:noProof/>
            <w:webHidden/>
          </w:rPr>
          <w:fldChar w:fldCharType="end"/>
        </w:r>
      </w:hyperlink>
    </w:p>
    <w:p w14:paraId="239C9C54" w14:textId="5CEDC0D3" w:rsidR="009D38AF" w:rsidRDefault="00A00D18">
      <w:pPr>
        <w:pStyle w:val="TOC1"/>
        <w:tabs>
          <w:tab w:val="left" w:pos="1440"/>
        </w:tabs>
        <w:rPr>
          <w:rFonts w:asciiTheme="minorHAnsi" w:eastAsiaTheme="minorEastAsia" w:hAnsiTheme="minorHAnsi" w:cstheme="minorBidi"/>
          <w:color w:val="auto"/>
          <w:lang w:eastAsia="en-NZ"/>
        </w:rPr>
      </w:pPr>
      <w:hyperlink w:anchor="_Toc520703192" w:history="1">
        <w:r w:rsidR="009D38AF" w:rsidRPr="00F83D34">
          <w:rPr>
            <w:rStyle w:val="Hyperlink"/>
          </w:rPr>
          <w:t>Appendix A</w:t>
        </w:r>
        <w:r w:rsidR="009D38AF">
          <w:rPr>
            <w:rFonts w:asciiTheme="minorHAnsi" w:eastAsiaTheme="minorEastAsia" w:hAnsiTheme="minorHAnsi" w:cstheme="minorBidi"/>
            <w:color w:val="auto"/>
            <w:lang w:eastAsia="en-NZ"/>
          </w:rPr>
          <w:tab/>
        </w:r>
        <w:r w:rsidR="009D38AF" w:rsidRPr="00F83D34">
          <w:rPr>
            <w:rStyle w:val="Hyperlink"/>
          </w:rPr>
          <w:t>Methodology</w:t>
        </w:r>
        <w:r w:rsidR="009D38AF">
          <w:rPr>
            <w:webHidden/>
          </w:rPr>
          <w:tab/>
        </w:r>
        <w:r w:rsidR="009D38AF">
          <w:rPr>
            <w:webHidden/>
          </w:rPr>
          <w:fldChar w:fldCharType="begin"/>
        </w:r>
        <w:r w:rsidR="009D38AF">
          <w:rPr>
            <w:webHidden/>
          </w:rPr>
          <w:instrText xml:space="preserve"> PAGEREF _Toc520703192 \h </w:instrText>
        </w:r>
        <w:r w:rsidR="009D38AF">
          <w:rPr>
            <w:webHidden/>
          </w:rPr>
        </w:r>
        <w:r w:rsidR="009D38AF">
          <w:rPr>
            <w:webHidden/>
          </w:rPr>
          <w:fldChar w:fldCharType="separate"/>
        </w:r>
        <w:r>
          <w:rPr>
            <w:webHidden/>
          </w:rPr>
          <w:t>62</w:t>
        </w:r>
        <w:r w:rsidR="009D38AF">
          <w:rPr>
            <w:webHidden/>
          </w:rPr>
          <w:fldChar w:fldCharType="end"/>
        </w:r>
      </w:hyperlink>
    </w:p>
    <w:p w14:paraId="4A25FC6F" w14:textId="566B32EE" w:rsidR="009D38AF" w:rsidRDefault="00A00D18">
      <w:pPr>
        <w:pStyle w:val="TOC2"/>
        <w:rPr>
          <w:rFonts w:asciiTheme="minorHAnsi" w:eastAsiaTheme="minorEastAsia" w:hAnsiTheme="minorHAnsi" w:cstheme="minorBidi"/>
          <w:noProof/>
          <w:color w:val="auto"/>
          <w:lang w:eastAsia="en-NZ"/>
        </w:rPr>
      </w:pPr>
      <w:hyperlink w:anchor="_Toc520703193" w:history="1">
        <w:r w:rsidR="009D38AF" w:rsidRPr="00F83D34">
          <w:rPr>
            <w:rStyle w:val="Hyperlink"/>
            <w:noProof/>
          </w:rPr>
          <w:t>Our process</w:t>
        </w:r>
        <w:bookmarkStart w:id="0" w:name="_GoBack"/>
        <w:bookmarkEnd w:id="0"/>
        <w:r w:rsidR="009D38AF">
          <w:rPr>
            <w:noProof/>
            <w:webHidden/>
          </w:rPr>
          <w:tab/>
        </w:r>
        <w:r w:rsidR="009D38AF">
          <w:rPr>
            <w:noProof/>
            <w:webHidden/>
          </w:rPr>
          <w:fldChar w:fldCharType="begin"/>
        </w:r>
        <w:r w:rsidR="009D38AF">
          <w:rPr>
            <w:noProof/>
            <w:webHidden/>
          </w:rPr>
          <w:instrText xml:space="preserve"> PAGEREF _Toc520703193 \h </w:instrText>
        </w:r>
        <w:r w:rsidR="009D38AF">
          <w:rPr>
            <w:noProof/>
            <w:webHidden/>
          </w:rPr>
        </w:r>
        <w:r w:rsidR="009D38AF">
          <w:rPr>
            <w:noProof/>
            <w:webHidden/>
          </w:rPr>
          <w:fldChar w:fldCharType="separate"/>
        </w:r>
        <w:r>
          <w:rPr>
            <w:noProof/>
            <w:webHidden/>
          </w:rPr>
          <w:t>62</w:t>
        </w:r>
        <w:r w:rsidR="009D38AF">
          <w:rPr>
            <w:noProof/>
            <w:webHidden/>
          </w:rPr>
          <w:fldChar w:fldCharType="end"/>
        </w:r>
      </w:hyperlink>
    </w:p>
    <w:p w14:paraId="2E5217D3" w14:textId="7BA6AEAB" w:rsidR="009D38AF" w:rsidRDefault="00A00D18">
      <w:pPr>
        <w:pStyle w:val="TOC2"/>
        <w:rPr>
          <w:rFonts w:asciiTheme="minorHAnsi" w:eastAsiaTheme="minorEastAsia" w:hAnsiTheme="minorHAnsi" w:cstheme="minorBidi"/>
          <w:noProof/>
          <w:color w:val="auto"/>
          <w:lang w:eastAsia="en-NZ"/>
        </w:rPr>
      </w:pPr>
      <w:hyperlink w:anchor="_Toc520703194" w:history="1">
        <w:r w:rsidR="009D38AF" w:rsidRPr="00F83D34">
          <w:rPr>
            <w:rStyle w:val="Hyperlink"/>
            <w:noProof/>
          </w:rPr>
          <w:t>Analysis of all councils' summarised 2015 LTP data</w:t>
        </w:r>
        <w:r w:rsidR="009D38AF">
          <w:rPr>
            <w:noProof/>
            <w:webHidden/>
          </w:rPr>
          <w:tab/>
        </w:r>
        <w:r w:rsidR="009D38AF">
          <w:rPr>
            <w:noProof/>
            <w:webHidden/>
          </w:rPr>
          <w:fldChar w:fldCharType="begin"/>
        </w:r>
        <w:r w:rsidR="009D38AF">
          <w:rPr>
            <w:noProof/>
            <w:webHidden/>
          </w:rPr>
          <w:instrText xml:space="preserve"> PAGEREF _Toc520703194 \h </w:instrText>
        </w:r>
        <w:r w:rsidR="009D38AF">
          <w:rPr>
            <w:noProof/>
            <w:webHidden/>
          </w:rPr>
        </w:r>
        <w:r w:rsidR="009D38AF">
          <w:rPr>
            <w:noProof/>
            <w:webHidden/>
          </w:rPr>
          <w:fldChar w:fldCharType="separate"/>
        </w:r>
        <w:r>
          <w:rPr>
            <w:noProof/>
            <w:webHidden/>
          </w:rPr>
          <w:t>62</w:t>
        </w:r>
        <w:r w:rsidR="009D38AF">
          <w:rPr>
            <w:noProof/>
            <w:webHidden/>
          </w:rPr>
          <w:fldChar w:fldCharType="end"/>
        </w:r>
      </w:hyperlink>
    </w:p>
    <w:p w14:paraId="1E68C9E7" w14:textId="276FFFC5" w:rsidR="009D38AF" w:rsidRDefault="00A00D18">
      <w:pPr>
        <w:pStyle w:val="TOC2"/>
        <w:rPr>
          <w:rFonts w:asciiTheme="minorHAnsi" w:eastAsiaTheme="minorEastAsia" w:hAnsiTheme="minorHAnsi" w:cstheme="minorBidi"/>
          <w:noProof/>
          <w:color w:val="auto"/>
          <w:lang w:eastAsia="en-NZ"/>
        </w:rPr>
      </w:pPr>
      <w:hyperlink w:anchor="_Toc520703195" w:history="1">
        <w:r w:rsidR="009D38AF" w:rsidRPr="00F83D34">
          <w:rPr>
            <w:rStyle w:val="Hyperlink"/>
            <w:noProof/>
          </w:rPr>
          <w:t>Interaction and interpretation of ratios</w:t>
        </w:r>
        <w:r w:rsidR="009D38AF">
          <w:rPr>
            <w:noProof/>
            <w:webHidden/>
          </w:rPr>
          <w:tab/>
        </w:r>
        <w:r w:rsidR="009D38AF">
          <w:rPr>
            <w:noProof/>
            <w:webHidden/>
          </w:rPr>
          <w:fldChar w:fldCharType="begin"/>
        </w:r>
        <w:r w:rsidR="009D38AF">
          <w:rPr>
            <w:noProof/>
            <w:webHidden/>
          </w:rPr>
          <w:instrText xml:space="preserve"> PAGEREF _Toc520703195 \h </w:instrText>
        </w:r>
        <w:r w:rsidR="009D38AF">
          <w:rPr>
            <w:noProof/>
            <w:webHidden/>
          </w:rPr>
        </w:r>
        <w:r w:rsidR="009D38AF">
          <w:rPr>
            <w:noProof/>
            <w:webHidden/>
          </w:rPr>
          <w:fldChar w:fldCharType="separate"/>
        </w:r>
        <w:r>
          <w:rPr>
            <w:noProof/>
            <w:webHidden/>
          </w:rPr>
          <w:t>63</w:t>
        </w:r>
        <w:r w:rsidR="009D38AF">
          <w:rPr>
            <w:noProof/>
            <w:webHidden/>
          </w:rPr>
          <w:fldChar w:fldCharType="end"/>
        </w:r>
      </w:hyperlink>
    </w:p>
    <w:p w14:paraId="35166B00" w14:textId="280CE124" w:rsidR="009D38AF" w:rsidRDefault="00A00D18">
      <w:pPr>
        <w:pStyle w:val="TOC2"/>
        <w:rPr>
          <w:rFonts w:asciiTheme="minorHAnsi" w:eastAsiaTheme="minorEastAsia" w:hAnsiTheme="minorHAnsi" w:cstheme="minorBidi"/>
          <w:noProof/>
          <w:color w:val="auto"/>
          <w:lang w:eastAsia="en-NZ"/>
        </w:rPr>
      </w:pPr>
      <w:hyperlink w:anchor="_Toc520703196" w:history="1">
        <w:r w:rsidR="009D38AF" w:rsidRPr="00F83D34">
          <w:rPr>
            <w:rStyle w:val="Hyperlink"/>
            <w:noProof/>
          </w:rPr>
          <w:t>Differences in data sets</w:t>
        </w:r>
        <w:r w:rsidR="009D38AF">
          <w:rPr>
            <w:noProof/>
            <w:webHidden/>
          </w:rPr>
          <w:tab/>
        </w:r>
        <w:r w:rsidR="009D38AF">
          <w:rPr>
            <w:noProof/>
            <w:webHidden/>
          </w:rPr>
          <w:fldChar w:fldCharType="begin"/>
        </w:r>
        <w:r w:rsidR="009D38AF">
          <w:rPr>
            <w:noProof/>
            <w:webHidden/>
          </w:rPr>
          <w:instrText xml:space="preserve"> PAGEREF _Toc520703196 \h </w:instrText>
        </w:r>
        <w:r w:rsidR="009D38AF">
          <w:rPr>
            <w:noProof/>
            <w:webHidden/>
          </w:rPr>
        </w:r>
        <w:r w:rsidR="009D38AF">
          <w:rPr>
            <w:noProof/>
            <w:webHidden/>
          </w:rPr>
          <w:fldChar w:fldCharType="separate"/>
        </w:r>
        <w:r>
          <w:rPr>
            <w:noProof/>
            <w:webHidden/>
          </w:rPr>
          <w:t>63</w:t>
        </w:r>
        <w:r w:rsidR="009D38AF">
          <w:rPr>
            <w:noProof/>
            <w:webHidden/>
          </w:rPr>
          <w:fldChar w:fldCharType="end"/>
        </w:r>
      </w:hyperlink>
    </w:p>
    <w:p w14:paraId="3813AECD" w14:textId="7541C5F3" w:rsidR="009D38AF" w:rsidRDefault="00A00D18">
      <w:pPr>
        <w:pStyle w:val="TOC2"/>
        <w:rPr>
          <w:rFonts w:asciiTheme="minorHAnsi" w:eastAsiaTheme="minorEastAsia" w:hAnsiTheme="minorHAnsi" w:cstheme="minorBidi"/>
          <w:noProof/>
          <w:color w:val="auto"/>
          <w:lang w:eastAsia="en-NZ"/>
        </w:rPr>
      </w:pPr>
      <w:hyperlink w:anchor="_Toc520703197" w:history="1">
        <w:r w:rsidR="009D38AF" w:rsidRPr="00F83D34">
          <w:rPr>
            <w:rStyle w:val="Hyperlink"/>
            <w:noProof/>
          </w:rPr>
          <w:t>Council selection</w:t>
        </w:r>
        <w:r w:rsidR="009D38AF">
          <w:rPr>
            <w:noProof/>
            <w:webHidden/>
          </w:rPr>
          <w:tab/>
        </w:r>
        <w:r w:rsidR="009D38AF">
          <w:rPr>
            <w:noProof/>
            <w:webHidden/>
          </w:rPr>
          <w:fldChar w:fldCharType="begin"/>
        </w:r>
        <w:r w:rsidR="009D38AF">
          <w:rPr>
            <w:noProof/>
            <w:webHidden/>
          </w:rPr>
          <w:instrText xml:space="preserve"> PAGEREF _Toc520703197 \h </w:instrText>
        </w:r>
        <w:r w:rsidR="009D38AF">
          <w:rPr>
            <w:noProof/>
            <w:webHidden/>
          </w:rPr>
        </w:r>
        <w:r w:rsidR="009D38AF">
          <w:rPr>
            <w:noProof/>
            <w:webHidden/>
          </w:rPr>
          <w:fldChar w:fldCharType="separate"/>
        </w:r>
        <w:r>
          <w:rPr>
            <w:noProof/>
            <w:webHidden/>
          </w:rPr>
          <w:t>65</w:t>
        </w:r>
        <w:r w:rsidR="009D38AF">
          <w:rPr>
            <w:noProof/>
            <w:webHidden/>
          </w:rPr>
          <w:fldChar w:fldCharType="end"/>
        </w:r>
      </w:hyperlink>
    </w:p>
    <w:p w14:paraId="6625B31B" w14:textId="6C98875B" w:rsidR="009D38AF" w:rsidRDefault="00A00D18">
      <w:pPr>
        <w:pStyle w:val="TOC2"/>
        <w:rPr>
          <w:rFonts w:asciiTheme="minorHAnsi" w:eastAsiaTheme="minorEastAsia" w:hAnsiTheme="minorHAnsi" w:cstheme="minorBidi"/>
          <w:noProof/>
          <w:color w:val="auto"/>
          <w:lang w:eastAsia="en-NZ"/>
        </w:rPr>
      </w:pPr>
      <w:hyperlink w:anchor="_Toc520703198" w:history="1">
        <w:r w:rsidR="009D38AF" w:rsidRPr="00F83D34">
          <w:rPr>
            <w:rStyle w:val="Hyperlink"/>
            <w:noProof/>
          </w:rPr>
          <w:t>Analysis of selected councils 2015 LTP data</w:t>
        </w:r>
        <w:r w:rsidR="009D38AF">
          <w:rPr>
            <w:noProof/>
            <w:webHidden/>
          </w:rPr>
          <w:tab/>
        </w:r>
        <w:r w:rsidR="009D38AF">
          <w:rPr>
            <w:noProof/>
            <w:webHidden/>
          </w:rPr>
          <w:fldChar w:fldCharType="begin"/>
        </w:r>
        <w:r w:rsidR="009D38AF">
          <w:rPr>
            <w:noProof/>
            <w:webHidden/>
          </w:rPr>
          <w:instrText xml:space="preserve"> PAGEREF _Toc520703198 \h </w:instrText>
        </w:r>
        <w:r w:rsidR="009D38AF">
          <w:rPr>
            <w:noProof/>
            <w:webHidden/>
          </w:rPr>
        </w:r>
        <w:r w:rsidR="009D38AF">
          <w:rPr>
            <w:noProof/>
            <w:webHidden/>
          </w:rPr>
          <w:fldChar w:fldCharType="separate"/>
        </w:r>
        <w:r>
          <w:rPr>
            <w:noProof/>
            <w:webHidden/>
          </w:rPr>
          <w:t>66</w:t>
        </w:r>
        <w:r w:rsidR="009D38AF">
          <w:rPr>
            <w:noProof/>
            <w:webHidden/>
          </w:rPr>
          <w:fldChar w:fldCharType="end"/>
        </w:r>
      </w:hyperlink>
    </w:p>
    <w:p w14:paraId="4F54FB55" w14:textId="7E01AD80" w:rsidR="009D38AF" w:rsidRDefault="00A00D18">
      <w:pPr>
        <w:pStyle w:val="TOC2"/>
        <w:rPr>
          <w:rFonts w:asciiTheme="minorHAnsi" w:eastAsiaTheme="minorEastAsia" w:hAnsiTheme="minorHAnsi" w:cstheme="minorBidi"/>
          <w:noProof/>
          <w:color w:val="auto"/>
          <w:lang w:eastAsia="en-NZ"/>
        </w:rPr>
      </w:pPr>
      <w:hyperlink w:anchor="_Toc520703199" w:history="1">
        <w:r w:rsidR="009D38AF" w:rsidRPr="00F83D34">
          <w:rPr>
            <w:rStyle w:val="Hyperlink"/>
            <w:noProof/>
          </w:rPr>
          <w:t>Key ratios used within the report</w:t>
        </w:r>
        <w:r w:rsidR="009D38AF">
          <w:rPr>
            <w:noProof/>
            <w:webHidden/>
          </w:rPr>
          <w:tab/>
        </w:r>
        <w:r w:rsidR="009D38AF">
          <w:rPr>
            <w:noProof/>
            <w:webHidden/>
          </w:rPr>
          <w:fldChar w:fldCharType="begin"/>
        </w:r>
        <w:r w:rsidR="009D38AF">
          <w:rPr>
            <w:noProof/>
            <w:webHidden/>
          </w:rPr>
          <w:instrText xml:space="preserve"> PAGEREF _Toc520703199 \h </w:instrText>
        </w:r>
        <w:r w:rsidR="009D38AF">
          <w:rPr>
            <w:noProof/>
            <w:webHidden/>
          </w:rPr>
        </w:r>
        <w:r w:rsidR="009D38AF">
          <w:rPr>
            <w:noProof/>
            <w:webHidden/>
          </w:rPr>
          <w:fldChar w:fldCharType="separate"/>
        </w:r>
        <w:r>
          <w:rPr>
            <w:noProof/>
            <w:webHidden/>
          </w:rPr>
          <w:t>67</w:t>
        </w:r>
        <w:r w:rsidR="009D38AF">
          <w:rPr>
            <w:noProof/>
            <w:webHidden/>
          </w:rPr>
          <w:fldChar w:fldCharType="end"/>
        </w:r>
      </w:hyperlink>
    </w:p>
    <w:p w14:paraId="70AC0E27" w14:textId="28F3A860" w:rsidR="004C43AB" w:rsidRPr="00A63E65" w:rsidRDefault="00462553" w:rsidP="00316A3D">
      <w:pPr>
        <w:pStyle w:val="TOC1"/>
        <w:rPr>
          <w:sz w:val="16"/>
        </w:rPr>
      </w:pPr>
      <w:r>
        <w:fldChar w:fldCharType="end"/>
      </w:r>
    </w:p>
    <w:p w14:paraId="2A56C11A" w14:textId="77777777" w:rsidR="007E7228" w:rsidRDefault="002B6084" w:rsidP="009D38AF">
      <w:pPr>
        <w:pStyle w:val="Subtitle"/>
        <w:ind w:left="993" w:hanging="993"/>
        <w:rPr>
          <w:noProof/>
        </w:rPr>
      </w:pPr>
      <w:r w:rsidRPr="0020336E">
        <w:t>Tables</w:t>
      </w:r>
      <w:r w:rsidR="00F84B21">
        <w:fldChar w:fldCharType="begin"/>
      </w:r>
      <w:r w:rsidR="00F84B21">
        <w:instrText xml:space="preserve"> TOC \h \z \c "Table" </w:instrText>
      </w:r>
      <w:r w:rsidR="00F84B21">
        <w:fldChar w:fldCharType="separate"/>
      </w:r>
    </w:p>
    <w:p w14:paraId="5D3AC282" w14:textId="77777777" w:rsidR="007E7228" w:rsidRDefault="007E7228" w:rsidP="007E7228">
      <w:pPr>
        <w:pStyle w:val="TableofFigures"/>
        <w:tabs>
          <w:tab w:val="left" w:pos="960"/>
          <w:tab w:val="right" w:pos="9771"/>
        </w:tabs>
        <w:ind w:left="992" w:hanging="992"/>
        <w:rPr>
          <w:rFonts w:asciiTheme="minorHAnsi" w:eastAsiaTheme="minorEastAsia" w:hAnsiTheme="minorHAnsi" w:cstheme="minorBidi"/>
          <w:noProof/>
          <w:color w:val="auto"/>
          <w:szCs w:val="22"/>
          <w:lang w:val="en-NZ" w:eastAsia="en-NZ"/>
        </w:rPr>
      </w:pPr>
      <w:hyperlink w:anchor="_Toc520967499" w:history="1">
        <w:r w:rsidRPr="008B6DC7">
          <w:rPr>
            <w:rStyle w:val="Hyperlink"/>
            <w:noProof/>
          </w:rPr>
          <w:t>Table 1</w:t>
        </w:r>
        <w:r>
          <w:rPr>
            <w:rFonts w:asciiTheme="minorHAnsi" w:eastAsiaTheme="minorEastAsia" w:hAnsiTheme="minorHAnsi" w:cstheme="minorBidi"/>
            <w:noProof/>
            <w:color w:val="auto"/>
            <w:szCs w:val="22"/>
            <w:lang w:val="en-NZ" w:eastAsia="en-NZ"/>
          </w:rPr>
          <w:tab/>
        </w:r>
        <w:r w:rsidRPr="008B6DC7">
          <w:rPr>
            <w:rStyle w:val="Hyperlink"/>
            <w:noProof/>
          </w:rPr>
          <w:t>Total actual capital expenditure and variances against budget for capital expenditure by asset type and expenditure classification</w:t>
        </w:r>
        <w:r>
          <w:rPr>
            <w:noProof/>
            <w:webHidden/>
          </w:rPr>
          <w:tab/>
        </w:r>
        <w:r>
          <w:rPr>
            <w:noProof/>
            <w:webHidden/>
          </w:rPr>
          <w:fldChar w:fldCharType="begin"/>
        </w:r>
        <w:r>
          <w:rPr>
            <w:noProof/>
            <w:webHidden/>
          </w:rPr>
          <w:instrText xml:space="preserve"> PAGEREF _Toc520967499 \h </w:instrText>
        </w:r>
        <w:r>
          <w:rPr>
            <w:noProof/>
            <w:webHidden/>
          </w:rPr>
        </w:r>
        <w:r>
          <w:rPr>
            <w:noProof/>
            <w:webHidden/>
          </w:rPr>
          <w:fldChar w:fldCharType="separate"/>
        </w:r>
        <w:r w:rsidR="00A00D18">
          <w:rPr>
            <w:noProof/>
            <w:webHidden/>
          </w:rPr>
          <w:t>33</w:t>
        </w:r>
        <w:r>
          <w:rPr>
            <w:noProof/>
            <w:webHidden/>
          </w:rPr>
          <w:fldChar w:fldCharType="end"/>
        </w:r>
      </w:hyperlink>
    </w:p>
    <w:p w14:paraId="515D5E53" w14:textId="3F6B2128" w:rsidR="00A63E65" w:rsidRPr="004A320E" w:rsidRDefault="00F84B21" w:rsidP="009D38AF">
      <w:pPr>
        <w:pStyle w:val="Subtitle"/>
        <w:ind w:left="993" w:hanging="993"/>
      </w:pPr>
      <w:r>
        <w:fldChar w:fldCharType="end"/>
      </w:r>
      <w:r w:rsidR="00A63E65" w:rsidRPr="004A320E">
        <w:t>Figures</w:t>
      </w:r>
    </w:p>
    <w:p w14:paraId="108FCF76" w14:textId="77777777" w:rsidR="006C6C14" w:rsidRDefault="00A63E65"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r w:rsidRPr="00443F71">
        <w:rPr>
          <w:rStyle w:val="Hyperlink"/>
          <w:color w:val="3F4042" w:themeColor="text1"/>
          <w:sz w:val="20"/>
          <w:szCs w:val="20"/>
          <w14:textFill>
            <w14:solidFill>
              <w14:schemeClr w14:val="tx1">
                <w14:lumMod w14:val="90000"/>
                <w14:lumOff w14:val="10000"/>
                <w14:lumMod w14:val="90000"/>
                <w14:lumOff w14:val="10000"/>
              </w14:schemeClr>
            </w14:solidFill>
          </w14:textFill>
        </w:rPr>
        <w:fldChar w:fldCharType="begin"/>
      </w:r>
      <w:r w:rsidRPr="00443F71">
        <w:rPr>
          <w:rStyle w:val="Hyperlink"/>
          <w:color w:val="3F4042" w:themeColor="text1"/>
          <w:sz w:val="20"/>
          <w:szCs w:val="20"/>
          <w14:textFill>
            <w14:solidFill>
              <w14:schemeClr w14:val="tx1">
                <w14:lumMod w14:val="90000"/>
                <w14:lumOff w14:val="10000"/>
                <w14:lumMod w14:val="90000"/>
                <w14:lumOff w14:val="10000"/>
              </w14:schemeClr>
            </w14:solidFill>
          </w14:textFill>
        </w:rPr>
        <w:instrText xml:space="preserve"> TOC \h \z \c "Figure" </w:instrText>
      </w:r>
      <w:r w:rsidRPr="00443F71">
        <w:rPr>
          <w:rStyle w:val="Hyperlink"/>
          <w:color w:val="3F4042" w:themeColor="text1"/>
          <w:sz w:val="20"/>
          <w:szCs w:val="20"/>
          <w14:textFill>
            <w14:solidFill>
              <w14:schemeClr w14:val="tx1">
                <w14:lumMod w14:val="90000"/>
                <w14:lumOff w14:val="10000"/>
                <w14:lumMod w14:val="90000"/>
                <w14:lumOff w14:val="10000"/>
              </w14:schemeClr>
            </w14:solidFill>
          </w14:textFill>
        </w:rPr>
        <w:fldChar w:fldCharType="separate"/>
      </w:r>
      <w:hyperlink w:anchor="_Toc520900255" w:history="1">
        <w:r w:rsidR="006C6C14" w:rsidRPr="00CF3926">
          <w:rPr>
            <w:rStyle w:val="Hyperlink"/>
            <w:noProof/>
          </w:rPr>
          <w:t>Figure 1</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The effect of cost pressures on rates.</w:t>
        </w:r>
        <w:r w:rsidR="006C6C14">
          <w:rPr>
            <w:noProof/>
            <w:webHidden/>
          </w:rPr>
          <w:tab/>
        </w:r>
        <w:r w:rsidR="006C6C14">
          <w:rPr>
            <w:noProof/>
            <w:webHidden/>
          </w:rPr>
          <w:fldChar w:fldCharType="begin"/>
        </w:r>
        <w:r w:rsidR="006C6C14">
          <w:rPr>
            <w:noProof/>
            <w:webHidden/>
          </w:rPr>
          <w:instrText xml:space="preserve"> PAGEREF _Toc520900255 \h </w:instrText>
        </w:r>
        <w:r w:rsidR="006C6C14">
          <w:rPr>
            <w:noProof/>
            <w:webHidden/>
          </w:rPr>
        </w:r>
        <w:r w:rsidR="006C6C14">
          <w:rPr>
            <w:noProof/>
            <w:webHidden/>
          </w:rPr>
          <w:fldChar w:fldCharType="separate"/>
        </w:r>
        <w:r w:rsidR="00A00D18">
          <w:rPr>
            <w:noProof/>
            <w:webHidden/>
          </w:rPr>
          <w:t>3</w:t>
        </w:r>
        <w:r w:rsidR="006C6C14">
          <w:rPr>
            <w:noProof/>
            <w:webHidden/>
          </w:rPr>
          <w:fldChar w:fldCharType="end"/>
        </w:r>
      </w:hyperlink>
    </w:p>
    <w:p w14:paraId="7816AE24"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56" w:history="1">
        <w:r w:rsidR="006C6C14" w:rsidRPr="00CF3926">
          <w:rPr>
            <w:rStyle w:val="Hyperlink"/>
            <w:noProof/>
          </w:rPr>
          <w:t>Figure 2</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Annual change in rates for all councils – comparison of 2015 and draft 2018 long term plans</w:t>
        </w:r>
        <w:r w:rsidR="006C6C14">
          <w:rPr>
            <w:noProof/>
            <w:webHidden/>
          </w:rPr>
          <w:tab/>
        </w:r>
        <w:r w:rsidR="006C6C14">
          <w:rPr>
            <w:noProof/>
            <w:webHidden/>
          </w:rPr>
          <w:fldChar w:fldCharType="begin"/>
        </w:r>
        <w:r w:rsidR="006C6C14">
          <w:rPr>
            <w:noProof/>
            <w:webHidden/>
          </w:rPr>
          <w:instrText xml:space="preserve"> PAGEREF _Toc520900256 \h </w:instrText>
        </w:r>
        <w:r w:rsidR="006C6C14">
          <w:rPr>
            <w:noProof/>
            <w:webHidden/>
          </w:rPr>
        </w:r>
        <w:r w:rsidR="006C6C14">
          <w:rPr>
            <w:noProof/>
            <w:webHidden/>
          </w:rPr>
          <w:fldChar w:fldCharType="separate"/>
        </w:r>
        <w:r>
          <w:rPr>
            <w:noProof/>
            <w:webHidden/>
          </w:rPr>
          <w:t>4</w:t>
        </w:r>
        <w:r w:rsidR="006C6C14">
          <w:rPr>
            <w:noProof/>
            <w:webHidden/>
          </w:rPr>
          <w:fldChar w:fldCharType="end"/>
        </w:r>
      </w:hyperlink>
    </w:p>
    <w:p w14:paraId="192397D6"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57" w:history="1">
        <w:r w:rsidR="006C6C14" w:rsidRPr="00CF3926">
          <w:rPr>
            <w:rStyle w:val="Hyperlink"/>
            <w:noProof/>
          </w:rPr>
          <w:t>Figure 3</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Breakdown of revenue sources – average over LTP period, sorted by rates revenue</w:t>
        </w:r>
        <w:r w:rsidR="006C6C14">
          <w:rPr>
            <w:noProof/>
            <w:webHidden/>
          </w:rPr>
          <w:tab/>
        </w:r>
        <w:r w:rsidR="006C6C14">
          <w:rPr>
            <w:noProof/>
            <w:webHidden/>
          </w:rPr>
          <w:fldChar w:fldCharType="begin"/>
        </w:r>
        <w:r w:rsidR="006C6C14">
          <w:rPr>
            <w:noProof/>
            <w:webHidden/>
          </w:rPr>
          <w:instrText xml:space="preserve"> PAGEREF _Toc520900257 \h </w:instrText>
        </w:r>
        <w:r w:rsidR="006C6C14">
          <w:rPr>
            <w:noProof/>
            <w:webHidden/>
          </w:rPr>
        </w:r>
        <w:r w:rsidR="006C6C14">
          <w:rPr>
            <w:noProof/>
            <w:webHidden/>
          </w:rPr>
          <w:fldChar w:fldCharType="separate"/>
        </w:r>
        <w:r>
          <w:rPr>
            <w:noProof/>
            <w:webHidden/>
          </w:rPr>
          <w:t>9</w:t>
        </w:r>
        <w:r w:rsidR="006C6C14">
          <w:rPr>
            <w:noProof/>
            <w:webHidden/>
          </w:rPr>
          <w:fldChar w:fldCharType="end"/>
        </w:r>
      </w:hyperlink>
    </w:p>
    <w:p w14:paraId="0584B0DB"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58" w:history="1">
        <w:r w:rsidR="006C6C14" w:rsidRPr="00CF3926">
          <w:rPr>
            <w:rStyle w:val="Hyperlink"/>
            <w:noProof/>
          </w:rPr>
          <w:t>Figure 4</w:t>
        </w:r>
        <w:r w:rsidR="006C6C14">
          <w:rPr>
            <w:rFonts w:asciiTheme="minorHAnsi" w:eastAsiaTheme="minorEastAsia" w:hAnsiTheme="minorHAnsi" w:cstheme="minorBidi"/>
            <w:noProof/>
            <w:color w:val="auto"/>
            <w:szCs w:val="22"/>
            <w:lang w:val="en-NZ" w:eastAsia="en-NZ"/>
          </w:rPr>
          <w:tab/>
        </w:r>
        <w:r w:rsidR="006C6C14" w:rsidRPr="00CF3926">
          <w:rPr>
            <w:rStyle w:val="Hyperlink"/>
            <w:noProof/>
            <w:lang w:val="en-US"/>
          </w:rPr>
          <w:t xml:space="preserve">Breakdown of revenue by source </w:t>
        </w:r>
        <w:r w:rsidR="006C6C14" w:rsidRPr="00CF3926">
          <w:rPr>
            <w:rStyle w:val="Hyperlink"/>
            <w:noProof/>
          </w:rPr>
          <w:t>over time</w:t>
        </w:r>
        <w:r w:rsidR="006C6C14">
          <w:rPr>
            <w:noProof/>
            <w:webHidden/>
          </w:rPr>
          <w:tab/>
        </w:r>
        <w:r w:rsidR="006C6C14">
          <w:rPr>
            <w:noProof/>
            <w:webHidden/>
          </w:rPr>
          <w:fldChar w:fldCharType="begin"/>
        </w:r>
        <w:r w:rsidR="006C6C14">
          <w:rPr>
            <w:noProof/>
            <w:webHidden/>
          </w:rPr>
          <w:instrText xml:space="preserve"> PAGEREF _Toc520900258 \h </w:instrText>
        </w:r>
        <w:r w:rsidR="006C6C14">
          <w:rPr>
            <w:noProof/>
            <w:webHidden/>
          </w:rPr>
        </w:r>
        <w:r w:rsidR="006C6C14">
          <w:rPr>
            <w:noProof/>
            <w:webHidden/>
          </w:rPr>
          <w:fldChar w:fldCharType="separate"/>
        </w:r>
        <w:r>
          <w:rPr>
            <w:noProof/>
            <w:webHidden/>
          </w:rPr>
          <w:t>10</w:t>
        </w:r>
        <w:r w:rsidR="006C6C14">
          <w:rPr>
            <w:noProof/>
            <w:webHidden/>
          </w:rPr>
          <w:fldChar w:fldCharType="end"/>
        </w:r>
      </w:hyperlink>
    </w:p>
    <w:p w14:paraId="4E81794E"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59" w:history="1">
        <w:r w:rsidR="006C6C14" w:rsidRPr="00CF3926">
          <w:rPr>
            <w:rStyle w:val="Hyperlink"/>
            <w:noProof/>
          </w:rPr>
          <w:t>Figure 5</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Forecast year on year percentage increases in total rates revenue – all councils 2015 LTP</w:t>
        </w:r>
        <w:r w:rsidR="006C6C14">
          <w:rPr>
            <w:noProof/>
            <w:webHidden/>
          </w:rPr>
          <w:tab/>
        </w:r>
        <w:r w:rsidR="006C6C14">
          <w:rPr>
            <w:noProof/>
            <w:webHidden/>
          </w:rPr>
          <w:fldChar w:fldCharType="begin"/>
        </w:r>
        <w:r w:rsidR="006C6C14">
          <w:rPr>
            <w:noProof/>
            <w:webHidden/>
          </w:rPr>
          <w:instrText xml:space="preserve"> PAGEREF _Toc520900259 \h </w:instrText>
        </w:r>
        <w:r w:rsidR="006C6C14">
          <w:rPr>
            <w:noProof/>
            <w:webHidden/>
          </w:rPr>
        </w:r>
        <w:r w:rsidR="006C6C14">
          <w:rPr>
            <w:noProof/>
            <w:webHidden/>
          </w:rPr>
          <w:fldChar w:fldCharType="separate"/>
        </w:r>
        <w:r>
          <w:rPr>
            <w:noProof/>
            <w:webHidden/>
          </w:rPr>
          <w:t>13</w:t>
        </w:r>
        <w:r w:rsidR="006C6C14">
          <w:rPr>
            <w:noProof/>
            <w:webHidden/>
          </w:rPr>
          <w:fldChar w:fldCharType="end"/>
        </w:r>
      </w:hyperlink>
    </w:p>
    <w:p w14:paraId="58178492"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60" w:history="1">
        <w:r w:rsidR="006C6C14" w:rsidRPr="00CF3926">
          <w:rPr>
            <w:rStyle w:val="Hyperlink"/>
            <w:noProof/>
          </w:rPr>
          <w:t>Figure 6</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Annual increases in total rates revenue – all councils 2015 LTP data</w:t>
        </w:r>
        <w:r w:rsidR="006C6C14">
          <w:rPr>
            <w:noProof/>
            <w:webHidden/>
          </w:rPr>
          <w:tab/>
        </w:r>
        <w:r w:rsidR="006C6C14">
          <w:rPr>
            <w:noProof/>
            <w:webHidden/>
          </w:rPr>
          <w:fldChar w:fldCharType="begin"/>
        </w:r>
        <w:r w:rsidR="006C6C14">
          <w:rPr>
            <w:noProof/>
            <w:webHidden/>
          </w:rPr>
          <w:instrText xml:space="preserve"> PAGEREF _Toc520900260 \h </w:instrText>
        </w:r>
        <w:r w:rsidR="006C6C14">
          <w:rPr>
            <w:noProof/>
            <w:webHidden/>
          </w:rPr>
        </w:r>
        <w:r w:rsidR="006C6C14">
          <w:rPr>
            <w:noProof/>
            <w:webHidden/>
          </w:rPr>
          <w:fldChar w:fldCharType="separate"/>
        </w:r>
        <w:r>
          <w:rPr>
            <w:noProof/>
            <w:webHidden/>
          </w:rPr>
          <w:t>14</w:t>
        </w:r>
        <w:r w:rsidR="006C6C14">
          <w:rPr>
            <w:noProof/>
            <w:webHidden/>
          </w:rPr>
          <w:fldChar w:fldCharType="end"/>
        </w:r>
      </w:hyperlink>
    </w:p>
    <w:p w14:paraId="1945A9B6"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61" w:history="1">
        <w:r w:rsidR="006C6C14" w:rsidRPr="00CF3926">
          <w:rPr>
            <w:rStyle w:val="Hyperlink"/>
            <w:noProof/>
          </w:rPr>
          <w:t>Figure 7</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Forecast rates as a percentage of average household living costs</w:t>
        </w:r>
        <w:r w:rsidR="006C6C14">
          <w:rPr>
            <w:noProof/>
            <w:webHidden/>
          </w:rPr>
          <w:tab/>
        </w:r>
        <w:r w:rsidR="006C6C14">
          <w:rPr>
            <w:noProof/>
            <w:webHidden/>
          </w:rPr>
          <w:fldChar w:fldCharType="begin"/>
        </w:r>
        <w:r w:rsidR="006C6C14">
          <w:rPr>
            <w:noProof/>
            <w:webHidden/>
          </w:rPr>
          <w:instrText xml:space="preserve"> PAGEREF _Toc520900261 \h </w:instrText>
        </w:r>
        <w:r w:rsidR="006C6C14">
          <w:rPr>
            <w:noProof/>
            <w:webHidden/>
          </w:rPr>
        </w:r>
        <w:r w:rsidR="006C6C14">
          <w:rPr>
            <w:noProof/>
            <w:webHidden/>
          </w:rPr>
          <w:fldChar w:fldCharType="separate"/>
        </w:r>
        <w:r>
          <w:rPr>
            <w:noProof/>
            <w:webHidden/>
          </w:rPr>
          <w:t>15</w:t>
        </w:r>
        <w:r w:rsidR="006C6C14">
          <w:rPr>
            <w:noProof/>
            <w:webHidden/>
          </w:rPr>
          <w:fldChar w:fldCharType="end"/>
        </w:r>
      </w:hyperlink>
    </w:p>
    <w:p w14:paraId="208C6856"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62" w:history="1">
        <w:r w:rsidR="006C6C14" w:rsidRPr="00CF3926">
          <w:rPr>
            <w:rStyle w:val="Hyperlink"/>
            <w:noProof/>
          </w:rPr>
          <w:t>Figure 8</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Historical household living costs vs salary and wage growth vs rates growth</w:t>
        </w:r>
        <w:r w:rsidR="006C6C14">
          <w:rPr>
            <w:noProof/>
            <w:webHidden/>
          </w:rPr>
          <w:tab/>
        </w:r>
        <w:r w:rsidR="006C6C14">
          <w:rPr>
            <w:noProof/>
            <w:webHidden/>
          </w:rPr>
          <w:fldChar w:fldCharType="begin"/>
        </w:r>
        <w:r w:rsidR="006C6C14">
          <w:rPr>
            <w:noProof/>
            <w:webHidden/>
          </w:rPr>
          <w:instrText xml:space="preserve"> PAGEREF _Toc520900262 \h </w:instrText>
        </w:r>
        <w:r w:rsidR="006C6C14">
          <w:rPr>
            <w:noProof/>
            <w:webHidden/>
          </w:rPr>
        </w:r>
        <w:r w:rsidR="006C6C14">
          <w:rPr>
            <w:noProof/>
            <w:webHidden/>
          </w:rPr>
          <w:fldChar w:fldCharType="separate"/>
        </w:r>
        <w:r>
          <w:rPr>
            <w:noProof/>
            <w:webHidden/>
          </w:rPr>
          <w:t>16</w:t>
        </w:r>
        <w:r w:rsidR="006C6C14">
          <w:rPr>
            <w:noProof/>
            <w:webHidden/>
          </w:rPr>
          <w:fldChar w:fldCharType="end"/>
        </w:r>
      </w:hyperlink>
    </w:p>
    <w:p w14:paraId="458B6E14"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63" w:history="1">
        <w:r w:rsidR="006C6C14" w:rsidRPr="00CF3926">
          <w:rPr>
            <w:rStyle w:val="Hyperlink"/>
            <w:noProof/>
          </w:rPr>
          <w:t>Figure 9</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(uninflated) average rates forecast using 2015 long term plan data and LGCI projections</w:t>
        </w:r>
        <w:r w:rsidR="006C6C14">
          <w:rPr>
            <w:noProof/>
            <w:webHidden/>
          </w:rPr>
          <w:tab/>
        </w:r>
        <w:r w:rsidR="006C6C14">
          <w:rPr>
            <w:noProof/>
            <w:webHidden/>
          </w:rPr>
          <w:fldChar w:fldCharType="begin"/>
        </w:r>
        <w:r w:rsidR="006C6C14">
          <w:rPr>
            <w:noProof/>
            <w:webHidden/>
          </w:rPr>
          <w:instrText xml:space="preserve"> PAGEREF _Toc520900263 \h </w:instrText>
        </w:r>
        <w:r w:rsidR="006C6C14">
          <w:rPr>
            <w:noProof/>
            <w:webHidden/>
          </w:rPr>
        </w:r>
        <w:r w:rsidR="006C6C14">
          <w:rPr>
            <w:noProof/>
            <w:webHidden/>
          </w:rPr>
          <w:fldChar w:fldCharType="separate"/>
        </w:r>
        <w:r>
          <w:rPr>
            <w:noProof/>
            <w:webHidden/>
          </w:rPr>
          <w:t>17</w:t>
        </w:r>
        <w:r w:rsidR="006C6C14">
          <w:rPr>
            <w:noProof/>
            <w:webHidden/>
          </w:rPr>
          <w:fldChar w:fldCharType="end"/>
        </w:r>
      </w:hyperlink>
    </w:p>
    <w:p w14:paraId="110AD002"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64" w:history="1">
        <w:r w:rsidR="006C6C14" w:rsidRPr="00CF3926">
          <w:rPr>
            <w:rStyle w:val="Hyperlink"/>
            <w:noProof/>
          </w:rPr>
          <w:t>Figure 10</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Annual change in rates for all councils – comparison of 2015 and draft 2018 long term plans</w:t>
        </w:r>
        <w:r w:rsidR="006C6C14">
          <w:rPr>
            <w:noProof/>
            <w:webHidden/>
          </w:rPr>
          <w:tab/>
        </w:r>
        <w:r w:rsidR="006C6C14">
          <w:rPr>
            <w:noProof/>
            <w:webHidden/>
          </w:rPr>
          <w:fldChar w:fldCharType="begin"/>
        </w:r>
        <w:r w:rsidR="006C6C14">
          <w:rPr>
            <w:noProof/>
            <w:webHidden/>
          </w:rPr>
          <w:instrText xml:space="preserve"> PAGEREF _Toc520900264 \h </w:instrText>
        </w:r>
        <w:r w:rsidR="006C6C14">
          <w:rPr>
            <w:noProof/>
            <w:webHidden/>
          </w:rPr>
        </w:r>
        <w:r w:rsidR="006C6C14">
          <w:rPr>
            <w:noProof/>
            <w:webHidden/>
          </w:rPr>
          <w:fldChar w:fldCharType="separate"/>
        </w:r>
        <w:r>
          <w:rPr>
            <w:noProof/>
            <w:webHidden/>
          </w:rPr>
          <w:t>18</w:t>
        </w:r>
        <w:r w:rsidR="006C6C14">
          <w:rPr>
            <w:noProof/>
            <w:webHidden/>
          </w:rPr>
          <w:fldChar w:fldCharType="end"/>
        </w:r>
      </w:hyperlink>
    </w:p>
    <w:p w14:paraId="66DA8EED"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65" w:history="1">
        <w:r w:rsidR="006C6C14" w:rsidRPr="00CF3926">
          <w:rPr>
            <w:rStyle w:val="Hyperlink"/>
            <w:noProof/>
          </w:rPr>
          <w:t>Figure 11</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per ratepayer – capital versus operating</w:t>
        </w:r>
        <w:r w:rsidR="006C6C14">
          <w:rPr>
            <w:noProof/>
            <w:webHidden/>
          </w:rPr>
          <w:tab/>
        </w:r>
        <w:r w:rsidR="006C6C14">
          <w:rPr>
            <w:noProof/>
            <w:webHidden/>
          </w:rPr>
          <w:fldChar w:fldCharType="begin"/>
        </w:r>
        <w:r w:rsidR="006C6C14">
          <w:rPr>
            <w:noProof/>
            <w:webHidden/>
          </w:rPr>
          <w:instrText xml:space="preserve"> PAGEREF _Toc520900265 \h </w:instrText>
        </w:r>
        <w:r w:rsidR="006C6C14">
          <w:rPr>
            <w:noProof/>
            <w:webHidden/>
          </w:rPr>
        </w:r>
        <w:r w:rsidR="006C6C14">
          <w:rPr>
            <w:noProof/>
            <w:webHidden/>
          </w:rPr>
          <w:fldChar w:fldCharType="separate"/>
        </w:r>
        <w:r>
          <w:rPr>
            <w:noProof/>
            <w:webHidden/>
          </w:rPr>
          <w:t>20</w:t>
        </w:r>
        <w:r w:rsidR="006C6C14">
          <w:rPr>
            <w:noProof/>
            <w:webHidden/>
          </w:rPr>
          <w:fldChar w:fldCharType="end"/>
        </w:r>
      </w:hyperlink>
    </w:p>
    <w:p w14:paraId="69AA0EC2"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66" w:history="1">
        <w:r w:rsidR="006C6C14" w:rsidRPr="00CF3926">
          <w:rPr>
            <w:rStyle w:val="Hyperlink"/>
            <w:noProof/>
          </w:rPr>
          <w:t>Figure 12</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Historical rates and operating expenditure adjusted for population and local government costs</w:t>
        </w:r>
        <w:r w:rsidR="006C6C14">
          <w:rPr>
            <w:noProof/>
            <w:webHidden/>
          </w:rPr>
          <w:tab/>
        </w:r>
        <w:r w:rsidR="006C6C14">
          <w:rPr>
            <w:noProof/>
            <w:webHidden/>
          </w:rPr>
          <w:fldChar w:fldCharType="begin"/>
        </w:r>
        <w:r w:rsidR="006C6C14">
          <w:rPr>
            <w:noProof/>
            <w:webHidden/>
          </w:rPr>
          <w:instrText xml:space="preserve"> PAGEREF _Toc520900266 \h </w:instrText>
        </w:r>
        <w:r w:rsidR="006C6C14">
          <w:rPr>
            <w:noProof/>
            <w:webHidden/>
          </w:rPr>
        </w:r>
        <w:r w:rsidR="006C6C14">
          <w:rPr>
            <w:noProof/>
            <w:webHidden/>
          </w:rPr>
          <w:fldChar w:fldCharType="separate"/>
        </w:r>
        <w:r>
          <w:rPr>
            <w:noProof/>
            <w:webHidden/>
          </w:rPr>
          <w:t>21</w:t>
        </w:r>
        <w:r w:rsidR="006C6C14">
          <w:rPr>
            <w:noProof/>
            <w:webHidden/>
          </w:rPr>
          <w:fldChar w:fldCharType="end"/>
        </w:r>
      </w:hyperlink>
    </w:p>
    <w:p w14:paraId="3C052190"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67" w:history="1">
        <w:r w:rsidR="006C6C14" w:rsidRPr="00CF3926">
          <w:rPr>
            <w:rStyle w:val="Hyperlink"/>
            <w:noProof/>
          </w:rPr>
          <w:t>Figure 13</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per ratepayer actuals versus LTP 2015 to 2017</w:t>
        </w:r>
        <w:r w:rsidR="006C6C14">
          <w:rPr>
            <w:noProof/>
            <w:webHidden/>
          </w:rPr>
          <w:tab/>
        </w:r>
        <w:r w:rsidR="006C6C14">
          <w:rPr>
            <w:noProof/>
            <w:webHidden/>
          </w:rPr>
          <w:fldChar w:fldCharType="begin"/>
        </w:r>
        <w:r w:rsidR="006C6C14">
          <w:rPr>
            <w:noProof/>
            <w:webHidden/>
          </w:rPr>
          <w:instrText xml:space="preserve"> PAGEREF _Toc520900267 \h </w:instrText>
        </w:r>
        <w:r w:rsidR="006C6C14">
          <w:rPr>
            <w:noProof/>
            <w:webHidden/>
          </w:rPr>
        </w:r>
        <w:r w:rsidR="006C6C14">
          <w:rPr>
            <w:noProof/>
            <w:webHidden/>
          </w:rPr>
          <w:fldChar w:fldCharType="separate"/>
        </w:r>
        <w:r>
          <w:rPr>
            <w:noProof/>
            <w:webHidden/>
          </w:rPr>
          <w:t>22</w:t>
        </w:r>
        <w:r w:rsidR="006C6C14">
          <w:rPr>
            <w:noProof/>
            <w:webHidden/>
          </w:rPr>
          <w:fldChar w:fldCharType="end"/>
        </w:r>
      </w:hyperlink>
    </w:p>
    <w:p w14:paraId="2BE5592C"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68" w:history="1">
        <w:r w:rsidR="006C6C14" w:rsidRPr="00CF3926">
          <w:rPr>
            <w:rStyle w:val="Hyperlink"/>
            <w:noProof/>
          </w:rPr>
          <w:t>Figure 14</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Depreciation funding ratio – selected councils 2015 LTP data</w:t>
        </w:r>
        <w:r w:rsidR="006C6C14">
          <w:rPr>
            <w:noProof/>
            <w:webHidden/>
          </w:rPr>
          <w:tab/>
        </w:r>
        <w:r w:rsidR="006C6C14">
          <w:rPr>
            <w:noProof/>
            <w:webHidden/>
          </w:rPr>
          <w:fldChar w:fldCharType="begin"/>
        </w:r>
        <w:r w:rsidR="006C6C14">
          <w:rPr>
            <w:noProof/>
            <w:webHidden/>
          </w:rPr>
          <w:instrText xml:space="preserve"> PAGEREF _Toc520900268 \h </w:instrText>
        </w:r>
        <w:r w:rsidR="006C6C14">
          <w:rPr>
            <w:noProof/>
            <w:webHidden/>
          </w:rPr>
        </w:r>
        <w:r w:rsidR="006C6C14">
          <w:rPr>
            <w:noProof/>
            <w:webHidden/>
          </w:rPr>
          <w:fldChar w:fldCharType="separate"/>
        </w:r>
        <w:r>
          <w:rPr>
            <w:noProof/>
            <w:webHidden/>
          </w:rPr>
          <w:t>25</w:t>
        </w:r>
        <w:r w:rsidR="006C6C14">
          <w:rPr>
            <w:noProof/>
            <w:webHidden/>
          </w:rPr>
          <w:fldChar w:fldCharType="end"/>
        </w:r>
      </w:hyperlink>
    </w:p>
    <w:p w14:paraId="189AA7E1"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69" w:history="1">
        <w:r w:rsidR="006C6C14" w:rsidRPr="00CF3926">
          <w:rPr>
            <w:rStyle w:val="Hyperlink"/>
            <w:noProof/>
          </w:rPr>
          <w:t>Figure 15</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Depreciation as a percentage of total expenditure over time</w:t>
        </w:r>
        <w:r w:rsidR="006C6C14">
          <w:rPr>
            <w:noProof/>
            <w:webHidden/>
          </w:rPr>
          <w:tab/>
        </w:r>
        <w:r w:rsidR="006C6C14">
          <w:rPr>
            <w:noProof/>
            <w:webHidden/>
          </w:rPr>
          <w:fldChar w:fldCharType="begin"/>
        </w:r>
        <w:r w:rsidR="006C6C14">
          <w:rPr>
            <w:noProof/>
            <w:webHidden/>
          </w:rPr>
          <w:instrText xml:space="preserve"> PAGEREF _Toc520900269 \h </w:instrText>
        </w:r>
        <w:r w:rsidR="006C6C14">
          <w:rPr>
            <w:noProof/>
            <w:webHidden/>
          </w:rPr>
        </w:r>
        <w:r w:rsidR="006C6C14">
          <w:rPr>
            <w:noProof/>
            <w:webHidden/>
          </w:rPr>
          <w:fldChar w:fldCharType="separate"/>
        </w:r>
        <w:r>
          <w:rPr>
            <w:noProof/>
            <w:webHidden/>
          </w:rPr>
          <w:t>26</w:t>
        </w:r>
        <w:r w:rsidR="006C6C14">
          <w:rPr>
            <w:noProof/>
            <w:webHidden/>
          </w:rPr>
          <w:fldChar w:fldCharType="end"/>
        </w:r>
      </w:hyperlink>
    </w:p>
    <w:p w14:paraId="002733BD"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0" w:history="1">
        <w:r w:rsidR="006C6C14" w:rsidRPr="00CF3926">
          <w:rPr>
            <w:rStyle w:val="Hyperlink"/>
            <w:noProof/>
          </w:rPr>
          <w:t>Figure 16</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Renewals ratio – all councils 2015 LTP data</w:t>
        </w:r>
        <w:r w:rsidR="006C6C14">
          <w:rPr>
            <w:noProof/>
            <w:webHidden/>
          </w:rPr>
          <w:tab/>
        </w:r>
        <w:r w:rsidR="006C6C14">
          <w:rPr>
            <w:noProof/>
            <w:webHidden/>
          </w:rPr>
          <w:fldChar w:fldCharType="begin"/>
        </w:r>
        <w:r w:rsidR="006C6C14">
          <w:rPr>
            <w:noProof/>
            <w:webHidden/>
          </w:rPr>
          <w:instrText xml:space="preserve"> PAGEREF _Toc520900270 \h </w:instrText>
        </w:r>
        <w:r w:rsidR="006C6C14">
          <w:rPr>
            <w:noProof/>
            <w:webHidden/>
          </w:rPr>
        </w:r>
        <w:r w:rsidR="006C6C14">
          <w:rPr>
            <w:noProof/>
            <w:webHidden/>
          </w:rPr>
          <w:fldChar w:fldCharType="separate"/>
        </w:r>
        <w:r>
          <w:rPr>
            <w:noProof/>
            <w:webHidden/>
          </w:rPr>
          <w:t>28</w:t>
        </w:r>
        <w:r w:rsidR="006C6C14">
          <w:rPr>
            <w:noProof/>
            <w:webHidden/>
          </w:rPr>
          <w:fldChar w:fldCharType="end"/>
        </w:r>
      </w:hyperlink>
    </w:p>
    <w:p w14:paraId="7AF89AB2"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1" w:history="1">
        <w:r w:rsidR="006C6C14" w:rsidRPr="00CF3926">
          <w:rPr>
            <w:rStyle w:val="Hyperlink"/>
            <w:noProof/>
          </w:rPr>
          <w:t>Figure 17</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Renewals ratio by growth rate</w:t>
        </w:r>
        <w:r w:rsidR="006C6C14">
          <w:rPr>
            <w:noProof/>
            <w:webHidden/>
          </w:rPr>
          <w:tab/>
        </w:r>
        <w:r w:rsidR="006C6C14">
          <w:rPr>
            <w:noProof/>
            <w:webHidden/>
          </w:rPr>
          <w:fldChar w:fldCharType="begin"/>
        </w:r>
        <w:r w:rsidR="006C6C14">
          <w:rPr>
            <w:noProof/>
            <w:webHidden/>
          </w:rPr>
          <w:instrText xml:space="preserve"> PAGEREF _Toc520900271 \h </w:instrText>
        </w:r>
        <w:r w:rsidR="006C6C14">
          <w:rPr>
            <w:noProof/>
            <w:webHidden/>
          </w:rPr>
        </w:r>
        <w:r w:rsidR="006C6C14">
          <w:rPr>
            <w:noProof/>
            <w:webHidden/>
          </w:rPr>
          <w:fldChar w:fldCharType="separate"/>
        </w:r>
        <w:r>
          <w:rPr>
            <w:noProof/>
            <w:webHidden/>
          </w:rPr>
          <w:t>29</w:t>
        </w:r>
        <w:r w:rsidR="006C6C14">
          <w:rPr>
            <w:noProof/>
            <w:webHidden/>
          </w:rPr>
          <w:fldChar w:fldCharType="end"/>
        </w:r>
      </w:hyperlink>
    </w:p>
    <w:p w14:paraId="2E5391FB"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2" w:history="1">
        <w:r w:rsidR="006C6C14" w:rsidRPr="00CF3926">
          <w:rPr>
            <w:rStyle w:val="Hyperlink"/>
            <w:noProof/>
          </w:rPr>
          <w:t>Figure 18</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Renewals ratio by activity type</w:t>
        </w:r>
        <w:r w:rsidR="006C6C14">
          <w:rPr>
            <w:noProof/>
            <w:webHidden/>
          </w:rPr>
          <w:tab/>
        </w:r>
        <w:r w:rsidR="006C6C14">
          <w:rPr>
            <w:noProof/>
            <w:webHidden/>
          </w:rPr>
          <w:fldChar w:fldCharType="begin"/>
        </w:r>
        <w:r w:rsidR="006C6C14">
          <w:rPr>
            <w:noProof/>
            <w:webHidden/>
          </w:rPr>
          <w:instrText xml:space="preserve"> PAGEREF _Toc520900272 \h </w:instrText>
        </w:r>
        <w:r w:rsidR="006C6C14">
          <w:rPr>
            <w:noProof/>
            <w:webHidden/>
          </w:rPr>
        </w:r>
        <w:r w:rsidR="006C6C14">
          <w:rPr>
            <w:noProof/>
            <w:webHidden/>
          </w:rPr>
          <w:fldChar w:fldCharType="separate"/>
        </w:r>
        <w:r>
          <w:rPr>
            <w:noProof/>
            <w:webHidden/>
          </w:rPr>
          <w:t>30</w:t>
        </w:r>
        <w:r w:rsidR="006C6C14">
          <w:rPr>
            <w:noProof/>
            <w:webHidden/>
          </w:rPr>
          <w:fldChar w:fldCharType="end"/>
        </w:r>
      </w:hyperlink>
    </w:p>
    <w:p w14:paraId="571420E0"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3" w:history="1">
        <w:r w:rsidR="006C6C14" w:rsidRPr="00CF3926">
          <w:rPr>
            <w:rStyle w:val="Hyperlink"/>
            <w:noProof/>
          </w:rPr>
          <w:t>Figure 19</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Renewals capacity based on 2015 long term plan data</w:t>
        </w:r>
        <w:r w:rsidR="006C6C14">
          <w:rPr>
            <w:noProof/>
            <w:webHidden/>
          </w:rPr>
          <w:tab/>
        </w:r>
        <w:r w:rsidR="006C6C14">
          <w:rPr>
            <w:noProof/>
            <w:webHidden/>
          </w:rPr>
          <w:fldChar w:fldCharType="begin"/>
        </w:r>
        <w:r w:rsidR="006C6C14">
          <w:rPr>
            <w:noProof/>
            <w:webHidden/>
          </w:rPr>
          <w:instrText xml:space="preserve"> PAGEREF _Toc520900273 \h </w:instrText>
        </w:r>
        <w:r w:rsidR="006C6C14">
          <w:rPr>
            <w:noProof/>
            <w:webHidden/>
          </w:rPr>
        </w:r>
        <w:r w:rsidR="006C6C14">
          <w:rPr>
            <w:noProof/>
            <w:webHidden/>
          </w:rPr>
          <w:fldChar w:fldCharType="separate"/>
        </w:r>
        <w:r>
          <w:rPr>
            <w:noProof/>
            <w:webHidden/>
          </w:rPr>
          <w:t>32</w:t>
        </w:r>
        <w:r w:rsidR="006C6C14">
          <w:rPr>
            <w:noProof/>
            <w:webHidden/>
          </w:rPr>
          <w:fldChar w:fldCharType="end"/>
        </w:r>
      </w:hyperlink>
    </w:p>
    <w:p w14:paraId="3A3E1149"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4" w:history="1">
        <w:r w:rsidR="006C6C14" w:rsidRPr="00CF3926">
          <w:rPr>
            <w:rStyle w:val="Hyperlink"/>
            <w:noProof/>
          </w:rPr>
          <w:t>Figure 20</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Local authorities categorised by actual capital expenditure as a percentage of budgeted capital expenditure 2012/13 to 2016/17</w:t>
        </w:r>
        <w:r w:rsidR="006C6C14">
          <w:rPr>
            <w:noProof/>
            <w:webHidden/>
          </w:rPr>
          <w:tab/>
        </w:r>
        <w:r w:rsidR="006C6C14">
          <w:rPr>
            <w:noProof/>
            <w:webHidden/>
          </w:rPr>
          <w:fldChar w:fldCharType="begin"/>
        </w:r>
        <w:r w:rsidR="006C6C14">
          <w:rPr>
            <w:noProof/>
            <w:webHidden/>
          </w:rPr>
          <w:instrText xml:space="preserve"> PAGEREF _Toc520900274 \h </w:instrText>
        </w:r>
        <w:r w:rsidR="006C6C14">
          <w:rPr>
            <w:noProof/>
            <w:webHidden/>
          </w:rPr>
        </w:r>
        <w:r w:rsidR="006C6C14">
          <w:rPr>
            <w:noProof/>
            <w:webHidden/>
          </w:rPr>
          <w:fldChar w:fldCharType="separate"/>
        </w:r>
        <w:r>
          <w:rPr>
            <w:noProof/>
            <w:webHidden/>
          </w:rPr>
          <w:t>33</w:t>
        </w:r>
        <w:r w:rsidR="006C6C14">
          <w:rPr>
            <w:noProof/>
            <w:webHidden/>
          </w:rPr>
          <w:fldChar w:fldCharType="end"/>
        </w:r>
      </w:hyperlink>
    </w:p>
    <w:p w14:paraId="7A29E42C"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5" w:history="1">
        <w:r w:rsidR="006C6C14" w:rsidRPr="00CF3926">
          <w:rPr>
            <w:rStyle w:val="Hyperlink"/>
            <w:noProof/>
          </w:rPr>
          <w:t>Figure 21</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Proportion of expenditure spent on each council service 2015 (inside) vs 2025 (outside) – Rural councils</w:t>
        </w:r>
        <w:r w:rsidR="006C6C14">
          <w:rPr>
            <w:noProof/>
            <w:webHidden/>
          </w:rPr>
          <w:tab/>
        </w:r>
        <w:r w:rsidR="006C6C14">
          <w:rPr>
            <w:noProof/>
            <w:webHidden/>
          </w:rPr>
          <w:fldChar w:fldCharType="begin"/>
        </w:r>
        <w:r w:rsidR="006C6C14">
          <w:rPr>
            <w:noProof/>
            <w:webHidden/>
          </w:rPr>
          <w:instrText xml:space="preserve"> PAGEREF _Toc520900275 \h </w:instrText>
        </w:r>
        <w:r w:rsidR="006C6C14">
          <w:rPr>
            <w:noProof/>
            <w:webHidden/>
          </w:rPr>
        </w:r>
        <w:r w:rsidR="006C6C14">
          <w:rPr>
            <w:noProof/>
            <w:webHidden/>
          </w:rPr>
          <w:fldChar w:fldCharType="separate"/>
        </w:r>
        <w:r>
          <w:rPr>
            <w:noProof/>
            <w:webHidden/>
          </w:rPr>
          <w:t>37</w:t>
        </w:r>
        <w:r w:rsidR="006C6C14">
          <w:rPr>
            <w:noProof/>
            <w:webHidden/>
          </w:rPr>
          <w:fldChar w:fldCharType="end"/>
        </w:r>
      </w:hyperlink>
    </w:p>
    <w:p w14:paraId="34237734"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6" w:history="1">
        <w:r w:rsidR="006C6C14" w:rsidRPr="00CF3926">
          <w:rPr>
            <w:rStyle w:val="Hyperlink"/>
            <w:noProof/>
          </w:rPr>
          <w:t>Figure 22</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Proportion of expenditure spent on each council service 2015 (inside) vs 2025 (outside) – Urban councils</w:t>
        </w:r>
        <w:r w:rsidR="006C6C14">
          <w:rPr>
            <w:noProof/>
            <w:webHidden/>
          </w:rPr>
          <w:tab/>
        </w:r>
        <w:r w:rsidR="006C6C14">
          <w:rPr>
            <w:noProof/>
            <w:webHidden/>
          </w:rPr>
          <w:fldChar w:fldCharType="begin"/>
        </w:r>
        <w:r w:rsidR="006C6C14">
          <w:rPr>
            <w:noProof/>
            <w:webHidden/>
          </w:rPr>
          <w:instrText xml:space="preserve"> PAGEREF _Toc520900276 \h </w:instrText>
        </w:r>
        <w:r w:rsidR="006C6C14">
          <w:rPr>
            <w:noProof/>
            <w:webHidden/>
          </w:rPr>
        </w:r>
        <w:r w:rsidR="006C6C14">
          <w:rPr>
            <w:noProof/>
            <w:webHidden/>
          </w:rPr>
          <w:fldChar w:fldCharType="separate"/>
        </w:r>
        <w:r>
          <w:rPr>
            <w:noProof/>
            <w:webHidden/>
          </w:rPr>
          <w:t>38</w:t>
        </w:r>
        <w:r w:rsidR="006C6C14">
          <w:rPr>
            <w:noProof/>
            <w:webHidden/>
          </w:rPr>
          <w:fldChar w:fldCharType="end"/>
        </w:r>
      </w:hyperlink>
    </w:p>
    <w:p w14:paraId="4FA0CC19"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7" w:history="1">
        <w:r w:rsidR="006C6C14" w:rsidRPr="00CF3926">
          <w:rPr>
            <w:rStyle w:val="Hyperlink"/>
            <w:noProof/>
          </w:rPr>
          <w:t>Figure 23</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on roads per ratepayer by type and location</w:t>
        </w:r>
        <w:r w:rsidR="006C6C14">
          <w:rPr>
            <w:noProof/>
            <w:webHidden/>
          </w:rPr>
          <w:tab/>
        </w:r>
        <w:r w:rsidR="006C6C14">
          <w:rPr>
            <w:noProof/>
            <w:webHidden/>
          </w:rPr>
          <w:fldChar w:fldCharType="begin"/>
        </w:r>
        <w:r w:rsidR="006C6C14">
          <w:rPr>
            <w:noProof/>
            <w:webHidden/>
          </w:rPr>
          <w:instrText xml:space="preserve"> PAGEREF _Toc520900277 \h </w:instrText>
        </w:r>
        <w:r w:rsidR="006C6C14">
          <w:rPr>
            <w:noProof/>
            <w:webHidden/>
          </w:rPr>
        </w:r>
        <w:r w:rsidR="006C6C14">
          <w:rPr>
            <w:noProof/>
            <w:webHidden/>
          </w:rPr>
          <w:fldChar w:fldCharType="separate"/>
        </w:r>
        <w:r>
          <w:rPr>
            <w:noProof/>
            <w:webHidden/>
          </w:rPr>
          <w:t>39</w:t>
        </w:r>
        <w:r w:rsidR="006C6C14">
          <w:rPr>
            <w:noProof/>
            <w:webHidden/>
          </w:rPr>
          <w:fldChar w:fldCharType="end"/>
        </w:r>
      </w:hyperlink>
    </w:p>
    <w:p w14:paraId="66C2BC7D"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8" w:history="1">
        <w:r w:rsidR="006C6C14" w:rsidRPr="00CF3926">
          <w:rPr>
            <w:rStyle w:val="Hyperlink"/>
            <w:noProof/>
          </w:rPr>
          <w:t>Figure 24</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on water per ratepayer by type and location</w:t>
        </w:r>
        <w:r w:rsidR="006C6C14">
          <w:rPr>
            <w:noProof/>
            <w:webHidden/>
          </w:rPr>
          <w:tab/>
        </w:r>
        <w:r w:rsidR="006C6C14">
          <w:rPr>
            <w:noProof/>
            <w:webHidden/>
          </w:rPr>
          <w:fldChar w:fldCharType="begin"/>
        </w:r>
        <w:r w:rsidR="006C6C14">
          <w:rPr>
            <w:noProof/>
            <w:webHidden/>
          </w:rPr>
          <w:instrText xml:space="preserve"> PAGEREF _Toc520900278 \h </w:instrText>
        </w:r>
        <w:r w:rsidR="006C6C14">
          <w:rPr>
            <w:noProof/>
            <w:webHidden/>
          </w:rPr>
        </w:r>
        <w:r w:rsidR="006C6C14">
          <w:rPr>
            <w:noProof/>
            <w:webHidden/>
          </w:rPr>
          <w:fldChar w:fldCharType="separate"/>
        </w:r>
        <w:r>
          <w:rPr>
            <w:noProof/>
            <w:webHidden/>
          </w:rPr>
          <w:t>41</w:t>
        </w:r>
        <w:r w:rsidR="006C6C14">
          <w:rPr>
            <w:noProof/>
            <w:webHidden/>
          </w:rPr>
          <w:fldChar w:fldCharType="end"/>
        </w:r>
      </w:hyperlink>
    </w:p>
    <w:p w14:paraId="57C5E658"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79" w:history="1">
        <w:r w:rsidR="006C6C14" w:rsidRPr="00CF3926">
          <w:rPr>
            <w:rStyle w:val="Hyperlink"/>
            <w:noProof/>
          </w:rPr>
          <w:t>Figure 25</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on wastewater per ratepayer by type and location</w:t>
        </w:r>
        <w:r w:rsidR="006C6C14">
          <w:rPr>
            <w:noProof/>
            <w:webHidden/>
          </w:rPr>
          <w:tab/>
        </w:r>
        <w:r w:rsidR="006C6C14">
          <w:rPr>
            <w:noProof/>
            <w:webHidden/>
          </w:rPr>
          <w:fldChar w:fldCharType="begin"/>
        </w:r>
        <w:r w:rsidR="006C6C14">
          <w:rPr>
            <w:noProof/>
            <w:webHidden/>
          </w:rPr>
          <w:instrText xml:space="preserve"> PAGEREF _Toc520900279 \h </w:instrText>
        </w:r>
        <w:r w:rsidR="006C6C14">
          <w:rPr>
            <w:noProof/>
            <w:webHidden/>
          </w:rPr>
        </w:r>
        <w:r w:rsidR="006C6C14">
          <w:rPr>
            <w:noProof/>
            <w:webHidden/>
          </w:rPr>
          <w:fldChar w:fldCharType="separate"/>
        </w:r>
        <w:r>
          <w:rPr>
            <w:noProof/>
            <w:webHidden/>
          </w:rPr>
          <w:t>43</w:t>
        </w:r>
        <w:r w:rsidR="006C6C14">
          <w:rPr>
            <w:noProof/>
            <w:webHidden/>
          </w:rPr>
          <w:fldChar w:fldCharType="end"/>
        </w:r>
      </w:hyperlink>
    </w:p>
    <w:p w14:paraId="5E229D20"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0" w:history="1">
        <w:r w:rsidR="006C6C14" w:rsidRPr="00CF3926">
          <w:rPr>
            <w:rStyle w:val="Hyperlink"/>
            <w:noProof/>
          </w:rPr>
          <w:t>Figure 26</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on stormwater per ratepayer by type and location</w:t>
        </w:r>
        <w:r w:rsidR="006C6C14">
          <w:rPr>
            <w:noProof/>
            <w:webHidden/>
          </w:rPr>
          <w:tab/>
        </w:r>
        <w:r w:rsidR="006C6C14">
          <w:rPr>
            <w:noProof/>
            <w:webHidden/>
          </w:rPr>
          <w:fldChar w:fldCharType="begin"/>
        </w:r>
        <w:r w:rsidR="006C6C14">
          <w:rPr>
            <w:noProof/>
            <w:webHidden/>
          </w:rPr>
          <w:instrText xml:space="preserve"> PAGEREF _Toc520900280 \h </w:instrText>
        </w:r>
        <w:r w:rsidR="006C6C14">
          <w:rPr>
            <w:noProof/>
            <w:webHidden/>
          </w:rPr>
        </w:r>
        <w:r w:rsidR="006C6C14">
          <w:rPr>
            <w:noProof/>
            <w:webHidden/>
          </w:rPr>
          <w:fldChar w:fldCharType="separate"/>
        </w:r>
        <w:r>
          <w:rPr>
            <w:noProof/>
            <w:webHidden/>
          </w:rPr>
          <w:t>44</w:t>
        </w:r>
        <w:r w:rsidR="006C6C14">
          <w:rPr>
            <w:noProof/>
            <w:webHidden/>
          </w:rPr>
          <w:fldChar w:fldCharType="end"/>
        </w:r>
      </w:hyperlink>
    </w:p>
    <w:p w14:paraId="70F2C8B0"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1" w:history="1">
        <w:r w:rsidR="006C6C14" w:rsidRPr="00CF3926">
          <w:rPr>
            <w:rStyle w:val="Hyperlink"/>
            <w:noProof/>
          </w:rPr>
          <w:t>Figure 27</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Real expenditure on other activities per ratepayer by type and location</w:t>
        </w:r>
        <w:r w:rsidR="006C6C14">
          <w:rPr>
            <w:noProof/>
            <w:webHidden/>
          </w:rPr>
          <w:tab/>
        </w:r>
        <w:r w:rsidR="006C6C14">
          <w:rPr>
            <w:noProof/>
            <w:webHidden/>
          </w:rPr>
          <w:fldChar w:fldCharType="begin"/>
        </w:r>
        <w:r w:rsidR="006C6C14">
          <w:rPr>
            <w:noProof/>
            <w:webHidden/>
          </w:rPr>
          <w:instrText xml:space="preserve"> PAGEREF _Toc520900281 \h </w:instrText>
        </w:r>
        <w:r w:rsidR="006C6C14">
          <w:rPr>
            <w:noProof/>
            <w:webHidden/>
          </w:rPr>
        </w:r>
        <w:r w:rsidR="006C6C14">
          <w:rPr>
            <w:noProof/>
            <w:webHidden/>
          </w:rPr>
          <w:fldChar w:fldCharType="separate"/>
        </w:r>
        <w:r>
          <w:rPr>
            <w:noProof/>
            <w:webHidden/>
          </w:rPr>
          <w:t>46</w:t>
        </w:r>
        <w:r w:rsidR="006C6C14">
          <w:rPr>
            <w:noProof/>
            <w:webHidden/>
          </w:rPr>
          <w:fldChar w:fldCharType="end"/>
        </w:r>
      </w:hyperlink>
    </w:p>
    <w:p w14:paraId="2D09EFA4"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2" w:history="1">
        <w:r w:rsidR="006C6C14" w:rsidRPr="00CF3926">
          <w:rPr>
            <w:rStyle w:val="Hyperlink"/>
            <w:noProof/>
          </w:rPr>
          <w:t>Figure 28</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Debt to revenue ratio – all councils 2015 LTP data</w:t>
        </w:r>
        <w:r w:rsidR="006C6C14">
          <w:rPr>
            <w:noProof/>
            <w:webHidden/>
          </w:rPr>
          <w:tab/>
        </w:r>
        <w:r w:rsidR="006C6C14">
          <w:rPr>
            <w:noProof/>
            <w:webHidden/>
          </w:rPr>
          <w:fldChar w:fldCharType="begin"/>
        </w:r>
        <w:r w:rsidR="006C6C14">
          <w:rPr>
            <w:noProof/>
            <w:webHidden/>
          </w:rPr>
          <w:instrText xml:space="preserve"> PAGEREF _Toc520900282 \h </w:instrText>
        </w:r>
        <w:r w:rsidR="006C6C14">
          <w:rPr>
            <w:noProof/>
            <w:webHidden/>
          </w:rPr>
        </w:r>
        <w:r w:rsidR="006C6C14">
          <w:rPr>
            <w:noProof/>
            <w:webHidden/>
          </w:rPr>
          <w:fldChar w:fldCharType="separate"/>
        </w:r>
        <w:r>
          <w:rPr>
            <w:noProof/>
            <w:webHidden/>
          </w:rPr>
          <w:t>49</w:t>
        </w:r>
        <w:r w:rsidR="006C6C14">
          <w:rPr>
            <w:noProof/>
            <w:webHidden/>
          </w:rPr>
          <w:fldChar w:fldCharType="end"/>
        </w:r>
      </w:hyperlink>
    </w:p>
    <w:p w14:paraId="713B2909"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3" w:history="1">
        <w:r w:rsidR="006C6C14" w:rsidRPr="00CF3926">
          <w:rPr>
            <w:rStyle w:val="Hyperlink"/>
            <w:noProof/>
          </w:rPr>
          <w:t>Figure 29</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Debt to revenue ratio – all councils 2015 LTP data by growth</w:t>
        </w:r>
        <w:r w:rsidR="006C6C14">
          <w:rPr>
            <w:noProof/>
            <w:webHidden/>
          </w:rPr>
          <w:tab/>
        </w:r>
        <w:r w:rsidR="006C6C14">
          <w:rPr>
            <w:noProof/>
            <w:webHidden/>
          </w:rPr>
          <w:fldChar w:fldCharType="begin"/>
        </w:r>
        <w:r w:rsidR="006C6C14">
          <w:rPr>
            <w:noProof/>
            <w:webHidden/>
          </w:rPr>
          <w:instrText xml:space="preserve"> PAGEREF _Toc520900283 \h </w:instrText>
        </w:r>
        <w:r w:rsidR="006C6C14">
          <w:rPr>
            <w:noProof/>
            <w:webHidden/>
          </w:rPr>
        </w:r>
        <w:r w:rsidR="006C6C14">
          <w:rPr>
            <w:noProof/>
            <w:webHidden/>
          </w:rPr>
          <w:fldChar w:fldCharType="separate"/>
        </w:r>
        <w:r>
          <w:rPr>
            <w:noProof/>
            <w:webHidden/>
          </w:rPr>
          <w:t>50</w:t>
        </w:r>
        <w:r w:rsidR="006C6C14">
          <w:rPr>
            <w:noProof/>
            <w:webHidden/>
          </w:rPr>
          <w:fldChar w:fldCharType="end"/>
        </w:r>
      </w:hyperlink>
    </w:p>
    <w:p w14:paraId="05A242E6"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4" w:history="1">
        <w:r w:rsidR="006C6C14" w:rsidRPr="00CF3926">
          <w:rPr>
            <w:rStyle w:val="Hyperlink"/>
            <w:noProof/>
          </w:rPr>
          <w:t>Figure 30</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Total projected debt for growth councils – comparison of 2012, 2015 and draft 2018 long term plans</w:t>
        </w:r>
        <w:r w:rsidR="006C6C14">
          <w:rPr>
            <w:noProof/>
            <w:webHidden/>
          </w:rPr>
          <w:tab/>
        </w:r>
        <w:r w:rsidR="006C6C14">
          <w:rPr>
            <w:noProof/>
            <w:webHidden/>
          </w:rPr>
          <w:fldChar w:fldCharType="begin"/>
        </w:r>
        <w:r w:rsidR="006C6C14">
          <w:rPr>
            <w:noProof/>
            <w:webHidden/>
          </w:rPr>
          <w:instrText xml:space="preserve"> PAGEREF _Toc520900284 \h </w:instrText>
        </w:r>
        <w:r w:rsidR="006C6C14">
          <w:rPr>
            <w:noProof/>
            <w:webHidden/>
          </w:rPr>
        </w:r>
        <w:r w:rsidR="006C6C14">
          <w:rPr>
            <w:noProof/>
            <w:webHidden/>
          </w:rPr>
          <w:fldChar w:fldCharType="separate"/>
        </w:r>
        <w:r>
          <w:rPr>
            <w:noProof/>
            <w:webHidden/>
          </w:rPr>
          <w:t>51</w:t>
        </w:r>
        <w:r w:rsidR="006C6C14">
          <w:rPr>
            <w:noProof/>
            <w:webHidden/>
          </w:rPr>
          <w:fldChar w:fldCharType="end"/>
        </w:r>
      </w:hyperlink>
    </w:p>
    <w:p w14:paraId="3CED1200"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5" w:history="1">
        <w:r w:rsidR="006C6C14" w:rsidRPr="00CF3926">
          <w:rPr>
            <w:rStyle w:val="Hyperlink"/>
            <w:noProof/>
          </w:rPr>
          <w:t>Figure 31</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Forecast percentage of growth capital expenditure funded by development contributions</w:t>
        </w:r>
        <w:r w:rsidR="006C6C14">
          <w:rPr>
            <w:noProof/>
            <w:webHidden/>
          </w:rPr>
          <w:tab/>
        </w:r>
        <w:r w:rsidR="006C6C14">
          <w:rPr>
            <w:noProof/>
            <w:webHidden/>
          </w:rPr>
          <w:fldChar w:fldCharType="begin"/>
        </w:r>
        <w:r w:rsidR="006C6C14">
          <w:rPr>
            <w:noProof/>
            <w:webHidden/>
          </w:rPr>
          <w:instrText xml:space="preserve"> PAGEREF _Toc520900285 \h </w:instrText>
        </w:r>
        <w:r w:rsidR="006C6C14">
          <w:rPr>
            <w:noProof/>
            <w:webHidden/>
          </w:rPr>
        </w:r>
        <w:r w:rsidR="006C6C14">
          <w:rPr>
            <w:noProof/>
            <w:webHidden/>
          </w:rPr>
          <w:fldChar w:fldCharType="separate"/>
        </w:r>
        <w:r>
          <w:rPr>
            <w:noProof/>
            <w:webHidden/>
          </w:rPr>
          <w:t>54</w:t>
        </w:r>
        <w:r w:rsidR="006C6C14">
          <w:rPr>
            <w:noProof/>
            <w:webHidden/>
          </w:rPr>
          <w:fldChar w:fldCharType="end"/>
        </w:r>
      </w:hyperlink>
    </w:p>
    <w:p w14:paraId="6DD8566D" w14:textId="77777777" w:rsidR="006C6C14" w:rsidRDefault="00A00D18" w:rsidP="006C6C14">
      <w:pPr>
        <w:pStyle w:val="TableofFigures"/>
        <w:tabs>
          <w:tab w:val="left" w:pos="1200"/>
          <w:tab w:val="right" w:pos="9771"/>
        </w:tabs>
        <w:ind w:left="993" w:hanging="993"/>
        <w:rPr>
          <w:rFonts w:asciiTheme="minorHAnsi" w:eastAsiaTheme="minorEastAsia" w:hAnsiTheme="minorHAnsi" w:cstheme="minorBidi"/>
          <w:noProof/>
          <w:color w:val="auto"/>
          <w:szCs w:val="22"/>
          <w:lang w:val="en-NZ" w:eastAsia="en-NZ"/>
        </w:rPr>
      </w:pPr>
      <w:hyperlink w:anchor="_Toc520900286" w:history="1">
        <w:r w:rsidR="006C6C14" w:rsidRPr="00CF3926">
          <w:rPr>
            <w:rStyle w:val="Hyperlink"/>
            <w:noProof/>
          </w:rPr>
          <w:t>Figure 32</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Annual increases in rates revenue for growth councils – comparison of 2015 and draft 2018 long term plans</w:t>
        </w:r>
        <w:r w:rsidR="006C6C14">
          <w:rPr>
            <w:noProof/>
            <w:webHidden/>
          </w:rPr>
          <w:tab/>
        </w:r>
        <w:r w:rsidR="006C6C14">
          <w:rPr>
            <w:noProof/>
            <w:webHidden/>
          </w:rPr>
          <w:fldChar w:fldCharType="begin"/>
        </w:r>
        <w:r w:rsidR="006C6C14">
          <w:rPr>
            <w:noProof/>
            <w:webHidden/>
          </w:rPr>
          <w:instrText xml:space="preserve"> PAGEREF _Toc520900286 \h </w:instrText>
        </w:r>
        <w:r w:rsidR="006C6C14">
          <w:rPr>
            <w:noProof/>
            <w:webHidden/>
          </w:rPr>
        </w:r>
        <w:r w:rsidR="006C6C14">
          <w:rPr>
            <w:noProof/>
            <w:webHidden/>
          </w:rPr>
          <w:fldChar w:fldCharType="separate"/>
        </w:r>
        <w:r>
          <w:rPr>
            <w:noProof/>
            <w:webHidden/>
          </w:rPr>
          <w:t>55</w:t>
        </w:r>
        <w:r w:rsidR="006C6C14">
          <w:rPr>
            <w:noProof/>
            <w:webHidden/>
          </w:rPr>
          <w:fldChar w:fldCharType="end"/>
        </w:r>
      </w:hyperlink>
    </w:p>
    <w:p w14:paraId="1F7877EE"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87" w:history="1">
        <w:r w:rsidR="006C6C14" w:rsidRPr="00CF3926">
          <w:rPr>
            <w:rStyle w:val="Hyperlink"/>
            <w:noProof/>
          </w:rPr>
          <w:t>Figure 33</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Annual change in rates for all councils – comparison of 2015 and draft 2018 long term plans</w:t>
        </w:r>
        <w:r w:rsidR="006C6C14">
          <w:rPr>
            <w:noProof/>
            <w:webHidden/>
          </w:rPr>
          <w:tab/>
        </w:r>
        <w:r w:rsidR="006C6C14">
          <w:rPr>
            <w:noProof/>
            <w:webHidden/>
          </w:rPr>
          <w:fldChar w:fldCharType="begin"/>
        </w:r>
        <w:r w:rsidR="006C6C14">
          <w:rPr>
            <w:noProof/>
            <w:webHidden/>
          </w:rPr>
          <w:instrText xml:space="preserve"> PAGEREF _Toc520900287 \h </w:instrText>
        </w:r>
        <w:r w:rsidR="006C6C14">
          <w:rPr>
            <w:noProof/>
            <w:webHidden/>
          </w:rPr>
        </w:r>
        <w:r w:rsidR="006C6C14">
          <w:rPr>
            <w:noProof/>
            <w:webHidden/>
          </w:rPr>
          <w:fldChar w:fldCharType="separate"/>
        </w:r>
        <w:r>
          <w:rPr>
            <w:noProof/>
            <w:webHidden/>
          </w:rPr>
          <w:t>64</w:t>
        </w:r>
        <w:r w:rsidR="006C6C14">
          <w:rPr>
            <w:noProof/>
            <w:webHidden/>
          </w:rPr>
          <w:fldChar w:fldCharType="end"/>
        </w:r>
      </w:hyperlink>
    </w:p>
    <w:p w14:paraId="6B9DA154"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88" w:history="1">
        <w:r w:rsidR="006C6C14" w:rsidRPr="00CF3926">
          <w:rPr>
            <w:rStyle w:val="Hyperlink"/>
            <w:noProof/>
          </w:rPr>
          <w:t>Figure 34</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Total projected debt for all councils – comparison of 2015 and draft 2018 long term plans</w:t>
        </w:r>
        <w:r w:rsidR="006C6C14">
          <w:rPr>
            <w:noProof/>
            <w:webHidden/>
          </w:rPr>
          <w:tab/>
        </w:r>
        <w:r w:rsidR="006C6C14">
          <w:rPr>
            <w:noProof/>
            <w:webHidden/>
          </w:rPr>
          <w:fldChar w:fldCharType="begin"/>
        </w:r>
        <w:r w:rsidR="006C6C14">
          <w:rPr>
            <w:noProof/>
            <w:webHidden/>
          </w:rPr>
          <w:instrText xml:space="preserve"> PAGEREF _Toc520900288 \h </w:instrText>
        </w:r>
        <w:r w:rsidR="006C6C14">
          <w:rPr>
            <w:noProof/>
            <w:webHidden/>
          </w:rPr>
        </w:r>
        <w:r w:rsidR="006C6C14">
          <w:rPr>
            <w:noProof/>
            <w:webHidden/>
          </w:rPr>
          <w:fldChar w:fldCharType="separate"/>
        </w:r>
        <w:r>
          <w:rPr>
            <w:noProof/>
            <w:webHidden/>
          </w:rPr>
          <w:t>64</w:t>
        </w:r>
        <w:r w:rsidR="006C6C14">
          <w:rPr>
            <w:noProof/>
            <w:webHidden/>
          </w:rPr>
          <w:fldChar w:fldCharType="end"/>
        </w:r>
      </w:hyperlink>
    </w:p>
    <w:p w14:paraId="1942F261" w14:textId="77777777" w:rsidR="006C6C14" w:rsidRDefault="00A00D18" w:rsidP="006C6C14">
      <w:pPr>
        <w:pStyle w:val="TableofFigures"/>
        <w:tabs>
          <w:tab w:val="right" w:pos="9771"/>
        </w:tabs>
        <w:ind w:left="993" w:hanging="993"/>
        <w:rPr>
          <w:rFonts w:asciiTheme="minorHAnsi" w:eastAsiaTheme="minorEastAsia" w:hAnsiTheme="minorHAnsi" w:cstheme="minorBidi"/>
          <w:noProof/>
          <w:color w:val="auto"/>
          <w:szCs w:val="22"/>
          <w:lang w:val="en-NZ" w:eastAsia="en-NZ"/>
        </w:rPr>
      </w:pPr>
      <w:hyperlink w:anchor="_Toc520900289" w:history="1">
        <w:r w:rsidR="006C6C14" w:rsidRPr="00CF3926">
          <w:rPr>
            <w:rStyle w:val="Hyperlink"/>
            <w:noProof/>
          </w:rPr>
          <w:t>Figure 35</w:t>
        </w:r>
        <w:r w:rsidR="006C6C14">
          <w:rPr>
            <w:rFonts w:asciiTheme="minorHAnsi" w:eastAsiaTheme="minorEastAsia" w:hAnsiTheme="minorHAnsi" w:cstheme="minorBidi"/>
            <w:noProof/>
            <w:color w:val="auto"/>
            <w:szCs w:val="22"/>
            <w:lang w:val="en-NZ" w:eastAsia="en-NZ"/>
          </w:rPr>
          <w:tab/>
        </w:r>
        <w:r w:rsidR="006C6C14" w:rsidRPr="00CF3926">
          <w:rPr>
            <w:rStyle w:val="Hyperlink"/>
            <w:noProof/>
          </w:rPr>
          <w:t>Comparison of assets</w:t>
        </w:r>
        <w:r w:rsidR="006C6C14">
          <w:rPr>
            <w:noProof/>
            <w:webHidden/>
          </w:rPr>
          <w:tab/>
        </w:r>
        <w:r w:rsidR="006C6C14">
          <w:rPr>
            <w:noProof/>
            <w:webHidden/>
          </w:rPr>
          <w:fldChar w:fldCharType="begin"/>
        </w:r>
        <w:r w:rsidR="006C6C14">
          <w:rPr>
            <w:noProof/>
            <w:webHidden/>
          </w:rPr>
          <w:instrText xml:space="preserve"> PAGEREF _Toc520900289 \h </w:instrText>
        </w:r>
        <w:r w:rsidR="006C6C14">
          <w:rPr>
            <w:noProof/>
            <w:webHidden/>
          </w:rPr>
        </w:r>
        <w:r w:rsidR="006C6C14">
          <w:rPr>
            <w:noProof/>
            <w:webHidden/>
          </w:rPr>
          <w:fldChar w:fldCharType="separate"/>
        </w:r>
        <w:r>
          <w:rPr>
            <w:noProof/>
            <w:webHidden/>
          </w:rPr>
          <w:t>67</w:t>
        </w:r>
        <w:r w:rsidR="006C6C14">
          <w:rPr>
            <w:noProof/>
            <w:webHidden/>
          </w:rPr>
          <w:fldChar w:fldCharType="end"/>
        </w:r>
      </w:hyperlink>
    </w:p>
    <w:p w14:paraId="685CD744" w14:textId="497F1ABD" w:rsidR="003A7933" w:rsidRPr="00443F71" w:rsidRDefault="00A63E65" w:rsidP="009D38AF">
      <w:pPr>
        <w:pStyle w:val="TOC1"/>
        <w:ind w:left="1134" w:hanging="1134"/>
        <w:rPr>
          <w:rStyle w:val="Hyperlink"/>
          <w:color w:val="3F4042" w:themeColor="text1"/>
          <w:sz w:val="20"/>
          <w:szCs w:val="20"/>
          <w14:textFill>
            <w14:solidFill>
              <w14:schemeClr w14:val="tx1">
                <w14:lumMod w14:val="90000"/>
                <w14:lumOff w14:val="10000"/>
                <w14:lumMod w14:val="90000"/>
                <w14:lumOff w14:val="10000"/>
              </w14:schemeClr>
            </w14:solidFill>
          </w14:textFill>
        </w:rPr>
      </w:pPr>
      <w:r w:rsidRPr="00443F71">
        <w:rPr>
          <w:rStyle w:val="Hyperlink"/>
          <w:color w:val="3F4042" w:themeColor="text1"/>
          <w:sz w:val="20"/>
          <w:szCs w:val="20"/>
          <w14:textFill>
            <w14:solidFill>
              <w14:schemeClr w14:val="tx1">
                <w14:lumMod w14:val="90000"/>
                <w14:lumOff w14:val="10000"/>
                <w14:lumMod w14:val="90000"/>
                <w14:lumOff w14:val="10000"/>
              </w14:schemeClr>
            </w14:solidFill>
          </w14:textFill>
        </w:rPr>
        <w:fldChar w:fldCharType="end"/>
      </w:r>
    </w:p>
    <w:p w14:paraId="224CD601" w14:textId="77777777" w:rsidR="00A63E65" w:rsidRPr="00443F71" w:rsidRDefault="00A63E65" w:rsidP="00542CB0">
      <w:pPr>
        <w:spacing w:after="40"/>
        <w:rPr>
          <w:rStyle w:val="Hyperlink"/>
          <w:rFonts w:cs="Arial"/>
          <w:noProof/>
          <w:color w:val="5A5C5E" w:themeColor="text1" w:themeTint="D9"/>
          <w:sz w:val="20"/>
          <w:szCs w:val="20"/>
        </w:rPr>
        <w:sectPr w:rsidR="00A63E65" w:rsidRPr="00443F71" w:rsidSect="00443F71">
          <w:footerReference w:type="default" r:id="rId18"/>
          <w:footerReference w:type="first" r:id="rId19"/>
          <w:pgSz w:w="11900" w:h="16840"/>
          <w:pgMar w:top="1812" w:right="985" w:bottom="1135" w:left="1134" w:header="426" w:footer="433" w:gutter="0"/>
          <w:pgNumType w:fmt="lowerRoman" w:start="1"/>
          <w:cols w:space="708"/>
          <w:docGrid w:linePitch="299"/>
        </w:sectPr>
      </w:pPr>
    </w:p>
    <w:p w14:paraId="54B07EC0" w14:textId="77777777" w:rsidR="00125343" w:rsidRDefault="00125343" w:rsidP="00125343">
      <w:pPr>
        <w:pStyle w:val="Heading1"/>
        <w:spacing w:before="0"/>
      </w:pPr>
      <w:bookmarkStart w:id="1" w:name="_Toc516829036"/>
      <w:bookmarkStart w:id="2" w:name="_Toc520703176"/>
      <w:r>
        <w:t>Executive Summary</w:t>
      </w:r>
      <w:bookmarkEnd w:id="1"/>
      <w:bookmarkEnd w:id="2"/>
    </w:p>
    <w:p w14:paraId="571EC0E8" w14:textId="7C2F3AEE" w:rsidR="00B86DEA" w:rsidRPr="008E607D" w:rsidRDefault="007917C4" w:rsidP="004A372C">
      <w:pPr>
        <w:pStyle w:val="ListParagraph"/>
      </w:pPr>
      <w:r>
        <w:t xml:space="preserve">Local </w:t>
      </w:r>
      <w:r w:rsidR="009D38AF">
        <w:t>g</w:t>
      </w:r>
      <w:r w:rsidR="00B86DEA" w:rsidRPr="008E607D">
        <w:t>overnment is responsible for the provision of a wide range of public services to community throughout New Zealand. These range from regulatory services such as enforcement of the Building Act, through to the provision of roads, water and community facilities. Funding for these activities comes from users of the services, and includes:</w:t>
      </w:r>
    </w:p>
    <w:p w14:paraId="51DB7619" w14:textId="138B9ABF" w:rsidR="00B86DEA" w:rsidRPr="009D38AF" w:rsidRDefault="00A25FE1" w:rsidP="009D38AF">
      <w:pPr>
        <w:pStyle w:val="Bulletpoint"/>
      </w:pPr>
      <w:r>
        <w:t>r</w:t>
      </w:r>
      <w:r w:rsidR="00B86DEA" w:rsidRPr="009D38AF">
        <w:t>ates on property owners, including targeted rates and water fees</w:t>
      </w:r>
    </w:p>
    <w:p w14:paraId="6B4E738C" w14:textId="6A5FE751" w:rsidR="00B86DEA" w:rsidRPr="009D38AF" w:rsidRDefault="00A25FE1" w:rsidP="009D38AF">
      <w:pPr>
        <w:pStyle w:val="Bulletpoint"/>
      </w:pPr>
      <w:r>
        <w:t>g</w:t>
      </w:r>
      <w:r w:rsidR="00B86DEA" w:rsidRPr="009D38AF">
        <w:t>overnment grants, and particularly grants from the New Zealand Transport Agency for transport assets</w:t>
      </w:r>
    </w:p>
    <w:p w14:paraId="3BB3B33A" w14:textId="590E16A5" w:rsidR="00B86DEA" w:rsidRPr="009D38AF" w:rsidRDefault="00A25FE1" w:rsidP="009D38AF">
      <w:pPr>
        <w:pStyle w:val="Bulletpoint"/>
      </w:pPr>
      <w:r>
        <w:t>f</w:t>
      </w:r>
      <w:r w:rsidR="00B86DEA" w:rsidRPr="009D38AF">
        <w:t>ees and charges for services such as building and resource consents, licensing, dog registrations, and use of community facilities</w:t>
      </w:r>
    </w:p>
    <w:p w14:paraId="77EF8B2A" w14:textId="11A89C0C" w:rsidR="00B86DEA" w:rsidRPr="009D38AF" w:rsidRDefault="00A25FE1" w:rsidP="009D38AF">
      <w:pPr>
        <w:pStyle w:val="Bulletpoint"/>
      </w:pPr>
      <w:r>
        <w:t>d</w:t>
      </w:r>
      <w:r w:rsidR="00B86DEA" w:rsidRPr="009D38AF">
        <w:t xml:space="preserve">evelopment and </w:t>
      </w:r>
      <w:r w:rsidRPr="009D38AF">
        <w:t>financial contrib</w:t>
      </w:r>
      <w:r w:rsidR="00B86DEA" w:rsidRPr="009D38AF">
        <w:t>utions</w:t>
      </w:r>
    </w:p>
    <w:p w14:paraId="3BBAB4F5" w14:textId="278A7689" w:rsidR="00B86DEA" w:rsidRPr="009D38AF" w:rsidRDefault="00A25FE1" w:rsidP="009D38AF">
      <w:pPr>
        <w:pStyle w:val="Bulletpoint"/>
      </w:pPr>
      <w:r>
        <w:t>i</w:t>
      </w:r>
      <w:r w:rsidR="00B86DEA" w:rsidRPr="009D38AF">
        <w:t>nvestment income.</w:t>
      </w:r>
    </w:p>
    <w:p w14:paraId="1703F238" w14:textId="673758E8" w:rsidR="00EA0B5E" w:rsidRDefault="00EA0B5E" w:rsidP="00A25FE1">
      <w:pPr>
        <w:pStyle w:val="ListParagraph"/>
      </w:pPr>
      <w:r>
        <w:t xml:space="preserve">Over time the Government, various groups or organisations and the general public have all voiced varying concerns about the level of rates in New Zealand and the affordability of rates. The actual quantum of rates </w:t>
      </w:r>
      <w:r w:rsidR="00A25FE1">
        <w:t xml:space="preserve">that </w:t>
      </w:r>
      <w:r>
        <w:t>an individual ratepayer pays and whether that is affordable depends on a variety of factors relating to both the individual and the council. Underlying this from the council perspective are two key drivers. The total amount of money that needs to be collected (</w:t>
      </w:r>
      <w:r w:rsidR="00A25FE1">
        <w:t>which,</w:t>
      </w:r>
      <w:r>
        <w:t xml:space="preserve"> as noted above</w:t>
      </w:r>
      <w:r w:rsidR="00A25FE1">
        <w:t>,</w:t>
      </w:r>
      <w:r>
        <w:t xml:space="preserve"> is driven by a council’s overall expenditure requirements) and the manner in which costs are allocate</w:t>
      </w:r>
      <w:r w:rsidR="00A25FE1">
        <w:t>d between ratepayers and users.</w:t>
      </w:r>
    </w:p>
    <w:p w14:paraId="312009FD" w14:textId="42CEB469" w:rsidR="00EA0B5E" w:rsidRDefault="00EA0B5E" w:rsidP="004A372C">
      <w:pPr>
        <w:pStyle w:val="ListParagraph"/>
      </w:pPr>
      <w:r>
        <w:t>The report makes a number of observations about rates and rates affordability. In summary it finds that rates are becoming less affordable for all groups of ratepayers over time, with rates increasing faster than average household incomes, C</w:t>
      </w:r>
      <w:r w:rsidR="003418D6">
        <w:t>onsumer Price Index (CPI)</w:t>
      </w:r>
      <w:r>
        <w:t>, average household living costs or the L</w:t>
      </w:r>
      <w:r w:rsidR="003418D6">
        <w:t>ocal Government Cost Index (LGCI)</w:t>
      </w:r>
      <w:r>
        <w:t xml:space="preserve">. Both historical and </w:t>
      </w:r>
      <w:r w:rsidR="003418D6">
        <w:t>forecast</w:t>
      </w:r>
      <w:r>
        <w:t xml:space="preserve"> rates increases exceed wage growth, CPI growth and LGCI growth. Rate rises at that level are not sustainable.</w:t>
      </w:r>
    </w:p>
    <w:p w14:paraId="7FE8CF35" w14:textId="7ECAA433" w:rsidR="00EA0B5E" w:rsidRDefault="00EA0B5E" w:rsidP="004A372C">
      <w:pPr>
        <w:pStyle w:val="ListParagraph"/>
      </w:pPr>
      <w:r>
        <w:t>There is an increasing reliance on rates as a source of funding. Rates comprise around 60% of a local authority’s income. It is by far and away the most dominant revenue stream and the one that councils have the most cont</w:t>
      </w:r>
      <w:r w:rsidR="00A25FE1">
        <w:t>rol and certainty over. Overall:</w:t>
      </w:r>
    </w:p>
    <w:p w14:paraId="21622A61" w14:textId="4D8544D2" w:rsidR="00EA0B5E" w:rsidRPr="0095104C" w:rsidRDefault="009D38AF" w:rsidP="009D38AF">
      <w:pPr>
        <w:pStyle w:val="Bulletpoint"/>
      </w:pPr>
      <w:r>
        <w:t>c</w:t>
      </w:r>
      <w:r w:rsidR="00EA0B5E" w:rsidRPr="0095104C">
        <w:t>ouncils are projecting to become more and more reliant on rates as a source of revenue over time.</w:t>
      </w:r>
      <w:r w:rsidR="00EA0B5E">
        <w:t xml:space="preserve"> The compounding effect is to place further upward pressure on rates as an increasing share of increasing costs are funded by rates</w:t>
      </w:r>
    </w:p>
    <w:p w14:paraId="4E00841C" w14:textId="2CA817BF" w:rsidR="00EA0B5E" w:rsidRPr="0095104C" w:rsidRDefault="009D38AF" w:rsidP="009D38AF">
      <w:pPr>
        <w:pStyle w:val="Bulletpoint"/>
      </w:pPr>
      <w:r>
        <w:t>r</w:t>
      </w:r>
      <w:r w:rsidR="00EA0B5E" w:rsidRPr="0095104C">
        <w:t xml:space="preserve">evenue from fees and charges, grants and other types of income is not projected to increase </w:t>
      </w:r>
      <w:r>
        <w:t>at the rate of inflation (LGCI):</w:t>
      </w:r>
      <w:r w:rsidR="00EA0B5E" w:rsidRPr="0095104C">
        <w:t xml:space="preserve"> this is cr</w:t>
      </w:r>
      <w:r w:rsidR="00B719B6">
        <w:t>eating upward pressure on rates</w:t>
      </w:r>
    </w:p>
    <w:p w14:paraId="04D8FAD8" w14:textId="2FE80E5F" w:rsidR="00EA0B5E" w:rsidRPr="0095104C" w:rsidRDefault="009D38AF" w:rsidP="00A25FE1">
      <w:pPr>
        <w:pStyle w:val="Bulletpoint"/>
      </w:pPr>
      <w:r>
        <w:t>c</w:t>
      </w:r>
      <w:r w:rsidR="00EA0B5E" w:rsidRPr="0095104C">
        <w:t xml:space="preserve">ouncils in areas with low levels of household income appear to be increasing rates less than their counterparts. This </w:t>
      </w:r>
      <w:r w:rsidR="00EA0B5E">
        <w:t xml:space="preserve">may </w:t>
      </w:r>
      <w:r w:rsidR="00EA0B5E" w:rsidRPr="0095104C">
        <w:t>demonstrate an acknowledgement of the different environment</w:t>
      </w:r>
      <w:r>
        <w:t>s</w:t>
      </w:r>
      <w:r w:rsidR="00EA0B5E" w:rsidRPr="0095104C">
        <w:t xml:space="preserve"> </w:t>
      </w:r>
      <w:r w:rsidR="00A25FE1">
        <w:t>in which these councils operate</w:t>
      </w:r>
    </w:p>
    <w:p w14:paraId="131BEDB0" w14:textId="137FEA6F" w:rsidR="00EA0B5E" w:rsidRDefault="009D38AF" w:rsidP="009D38AF">
      <w:pPr>
        <w:pStyle w:val="Bulletpoint"/>
      </w:pPr>
      <w:r>
        <w:t>g</w:t>
      </w:r>
      <w:r w:rsidR="00EA0B5E" w:rsidRPr="0095104C">
        <w:t>rowth</w:t>
      </w:r>
      <w:r w:rsidR="00EA0B5E">
        <w:t xml:space="preserve"> councils are able to increase total revenue more easily than declining population councils as rates rises are spread over a larger pop</w:t>
      </w:r>
      <w:r w:rsidR="00A25FE1">
        <w:t>ulation base that is increasing</w:t>
      </w:r>
    </w:p>
    <w:p w14:paraId="26170DB0" w14:textId="70DE2016" w:rsidR="001F363E" w:rsidRPr="001F363E" w:rsidRDefault="009D38AF" w:rsidP="009D38AF">
      <w:pPr>
        <w:pStyle w:val="Bulletpoint"/>
      </w:pPr>
      <w:r>
        <w:t>t</w:t>
      </w:r>
      <w:r w:rsidR="001F363E" w:rsidRPr="001F363E">
        <w:t>he allocation of rates across different groups and sectors within a council varies significantly. We have observed some councils shifting the rating burden between groups of ratepayers</w:t>
      </w:r>
      <w:r>
        <w:t>,</w:t>
      </w:r>
      <w:r w:rsidR="00B719B6">
        <w:t xml:space="preserve"> but there is no clear trend.</w:t>
      </w:r>
    </w:p>
    <w:p w14:paraId="271CF0D7" w14:textId="1481EDD9" w:rsidR="00D3286D" w:rsidRDefault="00D3286D" w:rsidP="004A372C">
      <w:pPr>
        <w:pStyle w:val="ListParagraph"/>
      </w:pPr>
      <w:r>
        <w:t xml:space="preserve">Local government in New Zealand follows a cost driven model, whereby the level of rates required to be collected from a community is determined by the funding requirements of the council. Working within an agreed funding envelope, councils first determine their required level of expenditure to deliver an agreed level of service, before determining the amount of revenue that they need to collect in rates. Services and service levels are set through a democratic process involving the community, elected members and </w:t>
      </w:r>
      <w:r w:rsidR="009D38AF">
        <w:t>c</w:t>
      </w:r>
      <w:r>
        <w:t>ouncil staff</w:t>
      </w:r>
      <w:r w:rsidR="00B719B6">
        <w:t>,</w:t>
      </w:r>
      <w:r>
        <w:t xml:space="preserve"> and trade-offs are made between desires and affordability.</w:t>
      </w:r>
    </w:p>
    <w:p w14:paraId="420F6490" w14:textId="77777777" w:rsidR="00EA0B5E" w:rsidRDefault="00D3286D" w:rsidP="004A372C">
      <w:pPr>
        <w:pStyle w:val="ListParagraph"/>
      </w:pPr>
      <w:r>
        <w:t xml:space="preserve">It is therefore necessary to examine the key costs that local government faces </w:t>
      </w:r>
      <w:r w:rsidR="00BD3280">
        <w:t xml:space="preserve">and the cost pressures facing local government in the near future </w:t>
      </w:r>
      <w:r>
        <w:t>in order to assess affordability of rates</w:t>
      </w:r>
      <w:r w:rsidR="00BD3280">
        <w:t>.</w:t>
      </w:r>
    </w:p>
    <w:p w14:paraId="0EB29805" w14:textId="59D1008F" w:rsidR="00EA0B5E" w:rsidRDefault="00EA0B5E" w:rsidP="004A372C">
      <w:pPr>
        <w:pStyle w:val="ListParagraph"/>
      </w:pPr>
      <w:r>
        <w:t>We observed a number of broad issues that impact (either directly or indirectly) on a council’s costs and therefore their funding requirements. The observations made in this report were developed through:</w:t>
      </w:r>
    </w:p>
    <w:p w14:paraId="747EB7BA" w14:textId="752715CA" w:rsidR="00EA0B5E" w:rsidRPr="0095104C" w:rsidRDefault="00EA0B5E" w:rsidP="009D38AF">
      <w:pPr>
        <w:pStyle w:val="Bulletpoint"/>
      </w:pPr>
      <w:r w:rsidRPr="0095104C">
        <w:t xml:space="preserve">analysis of </w:t>
      </w:r>
      <w:r>
        <w:t xml:space="preserve">a sample of </w:t>
      </w:r>
      <w:r w:rsidRPr="0095104C">
        <w:t xml:space="preserve">published 2015 </w:t>
      </w:r>
      <w:r w:rsidR="001C7477" w:rsidRPr="0095104C">
        <w:t>Long Term Plan</w:t>
      </w:r>
      <w:r w:rsidRPr="0095104C">
        <w:t xml:space="preserve"> data using a financial model</w:t>
      </w:r>
    </w:p>
    <w:p w14:paraId="3C5B5873" w14:textId="4951E058" w:rsidR="00EA0B5E" w:rsidRPr="0095104C" w:rsidRDefault="00EA0B5E" w:rsidP="009D38AF">
      <w:pPr>
        <w:pStyle w:val="Bulletpoint"/>
      </w:pPr>
      <w:r w:rsidRPr="0095104C">
        <w:t xml:space="preserve">desktop review of </w:t>
      </w:r>
      <w:r>
        <w:t xml:space="preserve">a sample of </w:t>
      </w:r>
      <w:r w:rsidRPr="0095104C">
        <w:t>draft infrastructure strategies, 2018</w:t>
      </w:r>
      <w:r w:rsidR="001C7477" w:rsidRPr="0095104C">
        <w:t xml:space="preserve"> </w:t>
      </w:r>
      <w:r w:rsidR="001C7477">
        <w:t>Long Term Plan</w:t>
      </w:r>
      <w:r w:rsidR="00C74548">
        <w:t>s</w:t>
      </w:r>
      <w:r w:rsidRPr="0095104C">
        <w:t xml:space="preserve"> and other relevant strategic documents</w:t>
      </w:r>
    </w:p>
    <w:p w14:paraId="175D139D" w14:textId="0EEBFCAF" w:rsidR="00EA0B5E" w:rsidRDefault="00EA0B5E" w:rsidP="009D38AF">
      <w:pPr>
        <w:pStyle w:val="Bulletpoint"/>
      </w:pPr>
      <w:r w:rsidRPr="0095104C">
        <w:t>onsite</w:t>
      </w:r>
      <w:r>
        <w:t xml:space="preserve"> visits with a selection of councils.</w:t>
      </w:r>
    </w:p>
    <w:p w14:paraId="5C1641FC" w14:textId="08CD13D8" w:rsidR="00D3286D" w:rsidRPr="005916AA" w:rsidRDefault="00D3286D" w:rsidP="004A372C">
      <w:pPr>
        <w:pStyle w:val="ListParagraph"/>
      </w:pPr>
      <w:r w:rsidRPr="005916AA">
        <w:t>Our observation is that there are a number of key drivers of council costs that are increasing. Those relate to both operational expen</w:t>
      </w:r>
      <w:r w:rsidR="00B719B6">
        <w:t>diture and capital expenditure.</w:t>
      </w:r>
    </w:p>
    <w:p w14:paraId="5CEE56EF" w14:textId="0895E39A" w:rsidR="00D3286D" w:rsidRDefault="00D3286D" w:rsidP="009D38AF">
      <w:pPr>
        <w:pStyle w:val="Bulletpoint"/>
      </w:pPr>
      <w:r w:rsidRPr="005916AA">
        <w:t>Operational and maintenance costs are increasing. Contractor costs, staff and materials costs and increased compliance costs mean it is costing councils more</w:t>
      </w:r>
      <w:r w:rsidR="00B719B6">
        <w:t xml:space="preserve"> to deliver the same services. </w:t>
      </w:r>
    </w:p>
    <w:p w14:paraId="3E89E85D" w14:textId="3580D930" w:rsidR="00D3286D" w:rsidRPr="00923FD8" w:rsidRDefault="00D3286D" w:rsidP="009D38AF">
      <w:pPr>
        <w:pStyle w:val="Bulletpoint"/>
      </w:pPr>
      <w:r w:rsidRPr="00923FD8">
        <w:t>Depreciation is a significant</w:t>
      </w:r>
      <w:r w:rsidR="00923FD8">
        <w:t xml:space="preserve"> factor and </w:t>
      </w:r>
      <w:r w:rsidRPr="00923FD8">
        <w:t xml:space="preserve">often </w:t>
      </w:r>
      <w:r w:rsidR="00923FD8">
        <w:t xml:space="preserve">has a </w:t>
      </w:r>
      <w:r w:rsidRPr="00923FD8">
        <w:t>direct impact on rates as a result of the statutory requirement for a balanced budget.</w:t>
      </w:r>
    </w:p>
    <w:p w14:paraId="4BA413F2" w14:textId="40D951B6" w:rsidR="00D3286D" w:rsidRDefault="00D3286D" w:rsidP="009D38AF">
      <w:pPr>
        <w:pStyle w:val="Bulletpoint"/>
      </w:pPr>
      <w:r w:rsidRPr="005916AA">
        <w:t xml:space="preserve">Meeting community challenges such as growth, a community’s desire for increased levels of service and an increasing requirement for major infrastructure upgrades to satisfy new standards </w:t>
      </w:r>
      <w:r>
        <w:t xml:space="preserve">are </w:t>
      </w:r>
      <w:r w:rsidRPr="005916AA">
        <w:t>driving capital expenditure program</w:t>
      </w:r>
      <w:r>
        <w:t>s</w:t>
      </w:r>
      <w:r w:rsidR="009D38AF">
        <w:t>. Some c</w:t>
      </w:r>
      <w:r w:rsidRPr="005916AA">
        <w:t xml:space="preserve">ouncils are dealing with all three of these challenges at the same time. </w:t>
      </w:r>
    </w:p>
    <w:p w14:paraId="709E14C9" w14:textId="77777777" w:rsidR="00D3286D" w:rsidRDefault="00D3286D" w:rsidP="009D38AF">
      <w:pPr>
        <w:pStyle w:val="Bulletpoint"/>
      </w:pPr>
      <w:r w:rsidRPr="005916AA">
        <w:t>While new and growth assets are generally funded by debt, development contributions or a combination of these the longer-term impact of is to introduce additional operational costs (e.g. operations, maintenance and depreciation) which places further pressure to increase rates. Growth creates costs that must be borne by both the existing and the new ratepayers.</w:t>
      </w:r>
    </w:p>
    <w:p w14:paraId="064D80E7" w14:textId="6DD50E4F" w:rsidR="00D93F73" w:rsidRDefault="00D93F73" w:rsidP="00D93F73">
      <w:pPr>
        <w:pStyle w:val="Bulletpoint"/>
      </w:pPr>
      <w:r>
        <w:t>The application of Goods and Services tax to rates also results affordability issues.  A 2% increase in costs (translating to a 2% rise in rates) equates to a 2.3% increase in rates paid by people who are not registered for Goods and Services Tax.</w:t>
      </w:r>
    </w:p>
    <w:p w14:paraId="7460D576" w14:textId="77777777" w:rsidR="001F363E" w:rsidRDefault="001F363E" w:rsidP="009D38AF">
      <w:pPr>
        <w:ind w:left="720"/>
      </w:pPr>
    </w:p>
    <w:p w14:paraId="6D8E8FD4" w14:textId="6D481892" w:rsidR="001F363E" w:rsidRDefault="001F363E" w:rsidP="001F363E">
      <w:pPr>
        <w:pStyle w:val="Caption"/>
        <w:spacing w:after="0"/>
      </w:pPr>
      <w:bookmarkStart w:id="3" w:name="_Toc520900255"/>
      <w:r>
        <w:rPr>
          <w:noProof/>
          <w:lang w:eastAsia="en-NZ"/>
        </w:rPr>
        <mc:AlternateContent>
          <mc:Choice Requires="wpg">
            <w:drawing>
              <wp:anchor distT="0" distB="0" distL="114300" distR="114300" simplePos="0" relativeHeight="251681792" behindDoc="0" locked="0" layoutInCell="1" allowOverlap="1" wp14:anchorId="108BE28C" wp14:editId="169DAE43">
                <wp:simplePos x="0" y="0"/>
                <wp:positionH relativeFrom="column">
                  <wp:posOffset>337185</wp:posOffset>
                </wp:positionH>
                <wp:positionV relativeFrom="paragraph">
                  <wp:posOffset>427355</wp:posOffset>
                </wp:positionV>
                <wp:extent cx="5670550" cy="3524250"/>
                <wp:effectExtent l="0" t="0" r="63500" b="0"/>
                <wp:wrapTopAndBottom/>
                <wp:docPr id="71" name="Group 71"/>
                <wp:cNvGraphicFramePr/>
                <a:graphic xmlns:a="http://schemas.openxmlformats.org/drawingml/2006/main">
                  <a:graphicData uri="http://schemas.microsoft.com/office/word/2010/wordprocessingGroup">
                    <wpg:wgp>
                      <wpg:cNvGrpSpPr/>
                      <wpg:grpSpPr>
                        <a:xfrm>
                          <a:off x="0" y="0"/>
                          <a:ext cx="5670550" cy="3524250"/>
                          <a:chOff x="-161389" y="0"/>
                          <a:chExt cx="5605629" cy="3417966"/>
                        </a:xfrm>
                      </wpg:grpSpPr>
                      <wps:wsp>
                        <wps:cNvPr id="72" name="Straight Arrow Connector 72"/>
                        <wps:cNvCnPr/>
                        <wps:spPr>
                          <a:xfrm flipV="1">
                            <a:off x="238125" y="119508"/>
                            <a:ext cx="0" cy="2990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Straight Arrow Connector 73"/>
                        <wps:cNvCnPr/>
                        <wps:spPr>
                          <a:xfrm flipV="1">
                            <a:off x="245737" y="3094115"/>
                            <a:ext cx="5198503" cy="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Right Triangle 74"/>
                        <wps:cNvSpPr/>
                        <wps:spPr>
                          <a:xfrm flipH="1">
                            <a:off x="266700" y="1095375"/>
                            <a:ext cx="4791075" cy="1962150"/>
                          </a:xfrm>
                          <a:prstGeom prst="rtTriangle">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ight Triangle 75"/>
                        <wps:cNvSpPr/>
                        <wps:spPr>
                          <a:xfrm flipH="1">
                            <a:off x="266700" y="1562100"/>
                            <a:ext cx="4791075" cy="1504950"/>
                          </a:xfrm>
                          <a:prstGeom prst="rtTriangle">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ight Triangle 76"/>
                        <wps:cNvSpPr/>
                        <wps:spPr>
                          <a:xfrm flipH="1">
                            <a:off x="276225" y="1981200"/>
                            <a:ext cx="4791075" cy="1076325"/>
                          </a:xfrm>
                          <a:prstGeom prst="rtTriangle">
                            <a:avLst/>
                          </a:prstGeom>
                          <a:blipFill>
                            <a:blip r:embed="rId2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209550" y="1805912"/>
                            <a:ext cx="1397955" cy="625494"/>
                          </a:xfrm>
                          <a:prstGeom prst="rect">
                            <a:avLst/>
                          </a:prstGeom>
                          <a:noFill/>
                          <a:ln w="6350">
                            <a:noFill/>
                          </a:ln>
                        </wps:spPr>
                        <wps:txbx>
                          <w:txbxContent>
                            <w:p w14:paraId="39CE3647" w14:textId="77777777" w:rsidR="007C0AF1" w:rsidRPr="00E10674" w:rsidRDefault="007C0AF1" w:rsidP="00B60C27">
                              <w:pPr>
                                <w:spacing w:before="120" w:after="0"/>
                                <w:rPr>
                                  <w:rFonts w:ascii="Segoe Script" w:hAnsi="Segoe Script"/>
                                </w:rPr>
                              </w:pPr>
                              <w:r w:rsidRPr="00E10674">
                                <w:rPr>
                                  <w:rFonts w:ascii="Segoe Script" w:hAnsi="Segoe Script"/>
                                </w:rPr>
                                <w:t>Existing services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 name="Text Box 80"/>
                        <wps:cNvSpPr txBox="1"/>
                        <wps:spPr>
                          <a:xfrm>
                            <a:off x="2177095" y="364596"/>
                            <a:ext cx="1554260" cy="1205821"/>
                          </a:xfrm>
                          <a:prstGeom prst="rect">
                            <a:avLst/>
                          </a:prstGeom>
                          <a:noFill/>
                          <a:ln w="6350">
                            <a:noFill/>
                          </a:ln>
                        </wps:spPr>
                        <wps:txbx>
                          <w:txbxContent>
                            <w:p w14:paraId="3705218D" w14:textId="77777777" w:rsidR="007C0AF1" w:rsidRDefault="007C0AF1" w:rsidP="00B60C27">
                              <w:pPr>
                                <w:spacing w:before="120" w:after="0"/>
                                <w:jc w:val="center"/>
                                <w:rPr>
                                  <w:rFonts w:ascii="Segoe Script" w:hAnsi="Segoe Script"/>
                                </w:rPr>
                              </w:pPr>
                              <w:r>
                                <w:rPr>
                                  <w:rFonts w:ascii="Segoe Script" w:hAnsi="Segoe Script"/>
                                </w:rPr>
                                <w:t>Increased cost</w:t>
                              </w:r>
                            </w:p>
                            <w:p w14:paraId="5AE4FD4E" w14:textId="77777777" w:rsidR="007C0AF1" w:rsidRDefault="007C0AF1" w:rsidP="00B60C27">
                              <w:pPr>
                                <w:spacing w:before="40" w:after="0"/>
                                <w:jc w:val="center"/>
                                <w:rPr>
                                  <w:rFonts w:ascii="Segoe Script" w:hAnsi="Segoe Script"/>
                                </w:rPr>
                              </w:pPr>
                              <w:r>
                                <w:rPr>
                                  <w:rFonts w:ascii="Segoe Script" w:hAnsi="Segoe Script"/>
                                </w:rPr>
                                <w:t>to replace new</w:t>
                              </w:r>
                            </w:p>
                            <w:p w14:paraId="1DD6866F" w14:textId="77777777" w:rsidR="007C0AF1" w:rsidRPr="00E10674" w:rsidRDefault="007C0AF1" w:rsidP="00B60C27">
                              <w:pPr>
                                <w:spacing w:before="120" w:after="0"/>
                                <w:jc w:val="center"/>
                                <w:rPr>
                                  <w:rFonts w:ascii="Segoe Script" w:hAnsi="Segoe Script"/>
                                </w:rPr>
                              </w:pPr>
                              <w:r>
                                <w:rPr>
                                  <w:rFonts w:ascii="Segoe Script" w:hAnsi="Segoe Script"/>
                                </w:rPr>
                                <w:t>and existing assets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Text Box 81"/>
                        <wps:cNvSpPr txBox="1"/>
                        <wps:spPr>
                          <a:xfrm>
                            <a:off x="608093" y="687236"/>
                            <a:ext cx="1387283" cy="1037751"/>
                          </a:xfrm>
                          <a:prstGeom prst="rect">
                            <a:avLst/>
                          </a:prstGeom>
                          <a:noFill/>
                          <a:ln w="6350">
                            <a:noFill/>
                          </a:ln>
                        </wps:spPr>
                        <wps:txbx>
                          <w:txbxContent>
                            <w:p w14:paraId="49F015C8" w14:textId="77777777" w:rsidR="007C0AF1" w:rsidRDefault="007C0AF1" w:rsidP="00B60C27">
                              <w:pPr>
                                <w:spacing w:before="40" w:after="0"/>
                                <w:jc w:val="center"/>
                                <w:rPr>
                                  <w:rFonts w:ascii="Segoe Script" w:hAnsi="Segoe Script"/>
                                </w:rPr>
                              </w:pPr>
                              <w:r>
                                <w:rPr>
                                  <w:rFonts w:ascii="Segoe Script" w:hAnsi="Segoe Script"/>
                                </w:rPr>
                                <w:t>Increased levels</w:t>
                              </w:r>
                            </w:p>
                            <w:p w14:paraId="1A80821C" w14:textId="77777777" w:rsidR="007C0AF1" w:rsidRDefault="007C0AF1" w:rsidP="00B60C27">
                              <w:pPr>
                                <w:spacing w:before="40" w:after="0"/>
                                <w:jc w:val="center"/>
                                <w:rPr>
                                  <w:rFonts w:ascii="Segoe Script" w:hAnsi="Segoe Script"/>
                                </w:rPr>
                              </w:pPr>
                              <w:r>
                                <w:rPr>
                                  <w:rFonts w:ascii="Segoe Script" w:hAnsi="Segoe Script"/>
                                </w:rPr>
                                <w:t>of service</w:t>
                              </w:r>
                            </w:p>
                            <w:p w14:paraId="4F0C2797" w14:textId="77777777" w:rsidR="007C0AF1" w:rsidRDefault="007C0AF1" w:rsidP="00B60C27">
                              <w:pPr>
                                <w:spacing w:before="40" w:after="0"/>
                                <w:jc w:val="center"/>
                                <w:rPr>
                                  <w:rFonts w:ascii="Segoe Script" w:hAnsi="Segoe Script"/>
                                </w:rPr>
                              </w:pPr>
                              <w:r>
                                <w:rPr>
                                  <w:rFonts w:ascii="Segoe Script" w:hAnsi="Segoe Script"/>
                                </w:rPr>
                                <w:t>and compliance</w:t>
                              </w:r>
                            </w:p>
                            <w:p w14:paraId="2057A745" w14:textId="77777777" w:rsidR="007C0AF1" w:rsidRPr="00E10674" w:rsidRDefault="007C0AF1" w:rsidP="00B60C27">
                              <w:pPr>
                                <w:spacing w:before="40" w:after="0"/>
                                <w:jc w:val="center"/>
                                <w:rPr>
                                  <w:rFonts w:ascii="Segoe Script" w:hAnsi="Segoe Script"/>
                                </w:rPr>
                              </w:pPr>
                              <w:r>
                                <w:rPr>
                                  <w:rFonts w:ascii="Segoe Script" w:hAnsi="Segoe Script"/>
                                </w:rPr>
                                <w:t>costs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Text Box 82"/>
                        <wps:cNvSpPr txBox="1"/>
                        <wps:spPr>
                          <a:xfrm>
                            <a:off x="3772459" y="563503"/>
                            <a:ext cx="1352758" cy="673436"/>
                          </a:xfrm>
                          <a:prstGeom prst="rect">
                            <a:avLst/>
                          </a:prstGeom>
                          <a:noFill/>
                          <a:ln w="6350">
                            <a:noFill/>
                          </a:ln>
                        </wps:spPr>
                        <wps:txbx>
                          <w:txbxContent>
                            <w:p w14:paraId="5DB8CC9E" w14:textId="77777777" w:rsidR="007C0AF1" w:rsidRPr="00E10674" w:rsidRDefault="007C0AF1" w:rsidP="00B60C27">
                              <w:pPr>
                                <w:spacing w:before="120" w:after="0"/>
                                <w:rPr>
                                  <w:rFonts w:ascii="Segoe Script" w:hAnsi="Segoe Script"/>
                                </w:rPr>
                              </w:pPr>
                              <w:r>
                                <w:rPr>
                                  <w:rFonts w:ascii="Segoe Script" w:hAnsi="Segoe Script"/>
                                </w:rPr>
                                <w:t>Inflation (LGCI)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2" name="Connector: Curved 16"/>
                        <wps:cNvCnPr/>
                        <wps:spPr>
                          <a:xfrm flipH="1" flipV="1">
                            <a:off x="1577081" y="1631498"/>
                            <a:ext cx="738505" cy="1066800"/>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Connector: Curved 17"/>
                        <wps:cNvCnPr/>
                        <wps:spPr>
                          <a:xfrm flipH="1" flipV="1">
                            <a:off x="2952750" y="1237963"/>
                            <a:ext cx="152400" cy="1047750"/>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Connector: Curved 18"/>
                        <wps:cNvCnPr/>
                        <wps:spPr>
                          <a:xfrm rot="5400000" flipH="1" flipV="1">
                            <a:off x="3957182" y="1214894"/>
                            <a:ext cx="715290" cy="114302"/>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Text Box 134"/>
                        <wps:cNvSpPr txBox="1"/>
                        <wps:spPr>
                          <a:xfrm>
                            <a:off x="1333500" y="0"/>
                            <a:ext cx="3295650" cy="914400"/>
                          </a:xfrm>
                          <a:prstGeom prst="rect">
                            <a:avLst/>
                          </a:prstGeom>
                          <a:noFill/>
                          <a:ln w="6350">
                            <a:noFill/>
                          </a:ln>
                        </wps:spPr>
                        <wps:txbx>
                          <w:txbxContent>
                            <w:p w14:paraId="158EBF57" w14:textId="77777777" w:rsidR="007C0AF1" w:rsidRPr="006C7B8F" w:rsidRDefault="007C0AF1" w:rsidP="00B60C27">
                              <w:pPr>
                                <w:spacing w:after="0"/>
                                <w:rPr>
                                  <w:rFonts w:cstheme="minorHAnsi"/>
                                  <w:b/>
                                  <w:sz w:val="32"/>
                                </w:rPr>
                              </w:pPr>
                              <w:r w:rsidRPr="006C7B8F">
                                <w:rPr>
                                  <w:rFonts w:cstheme="minorHAnsi"/>
                                  <w:b/>
                                  <w:sz w:val="32"/>
                                </w:rPr>
                                <w:t>What is driving rates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61389" y="162888"/>
                            <a:ext cx="380463" cy="464498"/>
                          </a:xfrm>
                          <a:prstGeom prst="rect">
                            <a:avLst/>
                          </a:prstGeom>
                          <a:noFill/>
                          <a:ln w="6350">
                            <a:noFill/>
                          </a:ln>
                        </wps:spPr>
                        <wps:txbx>
                          <w:txbxContent>
                            <w:p w14:paraId="204F1C56" w14:textId="77777777" w:rsidR="007C0AF1" w:rsidRDefault="007C0AF1" w:rsidP="00B60C27">
                              <w:pPr>
                                <w:spacing w:after="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4529535" y="3094116"/>
                            <a:ext cx="476250" cy="323850"/>
                          </a:xfrm>
                          <a:prstGeom prst="rect">
                            <a:avLst/>
                          </a:prstGeom>
                          <a:noFill/>
                          <a:ln w="6350">
                            <a:noFill/>
                          </a:ln>
                        </wps:spPr>
                        <wps:txbx>
                          <w:txbxContent>
                            <w:p w14:paraId="15FEDDC5" w14:textId="77777777" w:rsidR="007C0AF1" w:rsidRDefault="007C0AF1" w:rsidP="00B60C27">
                              <w:pPr>
                                <w:spacing w:after="0"/>
                              </w:pPr>
                              <w: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ight Triangle 137"/>
                        <wps:cNvSpPr/>
                        <wps:spPr>
                          <a:xfrm flipH="1">
                            <a:off x="323850" y="2466975"/>
                            <a:ext cx="4743450" cy="600075"/>
                          </a:xfrm>
                          <a:prstGeom prst="rtTriangle">
                            <a:avLst/>
                          </a:prstGeom>
                          <a:blipFill>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onnector: Curved 15"/>
                        <wps:cNvCnPr/>
                        <wps:spPr>
                          <a:xfrm rot="16200000" flipV="1">
                            <a:off x="763796" y="2262375"/>
                            <a:ext cx="867266" cy="622285"/>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1" o:spid="_x0000_s1027" style="position:absolute;left:0;text-align:left;margin-left:26.55pt;margin-top:33.65pt;width:446.5pt;height:277.5pt;z-index:251681792;mso-width-relative:margin;mso-height-relative:margin" coordorigin="-1613" coordsize="56056,34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SXEhAcAAHo5AAAOAAAAZHJzL2Uyb0RvYy54bWzsW9lu2zgUfR9g/kHQ&#10;e2uR2o06RSZdpkDRFk1m+qzIki1AFjUUEzvz9XNIirTjOkvdydJEeXC0UaSuDs89917q1evVonbO&#10;C95VrJm45KXnOkWTs2nVzCbuXyfvXiSu04msmWY1a4qJe1F07uuD3397tWzHBWVzVk8L7uAmTTde&#10;thN3LkQ7Ho26fF4ssu4la4sGJ0vGF5nALp+Npjxb4u6LekQ9LxotGZ+2nOVF1+HoG33SPVD3L8si&#10;F5/LsiuEU09cjE2oX65+T+Xv6OBVNp7xrJ1XeT+MbI9RLLKqQaf2Vm8ykTlnvPruVosq56xjpXiZ&#10;s8WIlWWVF+oZ8DTE23qa95ydtepZZuPlrLVmgmm37LT3bfNP51+4U00nbkxcp8kWeEeqWwf7MM6y&#10;nY1xzXveHrdfeH9gpvfk865KvpD/8STOSpn1wpq1WAknx8Ewir0whPVznPNDGlDsKMPnc7wd2e4F&#10;iYifpK6zbp3P39r2XhhRnFTtAxKnUSTbj0z3IzlKO6hlCyh1a2t1P2et43nWFuoldNISxlrUWOtY&#10;8KyazYVzyDlbOkesaYA6xp2YagOqZkdNb71u3MGQxnROWVft35g4Cjy9EamfEBoqWxCShl6ijWXM&#10;2RuSpqmXaENaQ2TjlnfifcEWjtyYuF0/ODsq3VF2/rET2oKmgRxR3TjLiUuTMA7VeDpWV9N3VV3L&#10;k2pKFkc1d84zTCaxUvhA15euEllVv22mjrhogSTBq6yZ1UX/tuoGL02+Hm0CtSUu6kL3/bUoAUSA&#10;QY9xq78sz4tGmD7rBlfLZiVGZxt6etSSO9YDvdywv142LRQ9/Ehj20L1zBphGy+qhvFdva/NVOrr&#10;jQX0c0sTnLLphQKHMg2QK2fdfUDYvxnC/r4QDsLYjxWEfS8NCAkvYzgkKbCLAcgpbV6q4RIDyZ/A&#10;MGaQ16NhwPClmfPEMBwYDH9VHHzSE44TBxvIta7LMI92HIp8/zR8Y8g3grcCxUpcemnogwqVqzLs&#10;G8Qp8XBQIzeNKLmJg7kwo1IEcQX3nsIRGKqV272zh1TZcvU7JBGGDhnxhuVnC3Ck1kW8qDMBUdbN&#10;q7ZzHT4uFqcF3Dz/MFXzDbwteCHy+ZpF894l2BMg981hSfrOxg2Tw9TO45aETncxo+Flec9unk0L&#10;7VdCD3/S5NKzGCZXe7s5/xbO4r45v7Zu6gbOdzjTgrRr83cVHPbHrBNfMg4FCgRCVYvP+ClrBq/M&#10;+i3XmTP+767j8nqgBWddZwlFC+//z1nGC9epPzQQQSkJAtxWqB3wM8UO3zxzunmmOVscMfh5qEKM&#10;Tm3K60VtNkvOFt8gvg9lrziVNTn6nri54GbnSGilDfmeF4eH6jLI3jYTH5vjNjczT/L9yepbxtue&#10;8QUm2ydmhFc23poy+lqNxcMzwcpKAXftS3sfe4+uFHygtfM2DSn2kCODdNyXhiB+pTe7hoZCL4BO&#10;7GfNFW700dGQkscDDUHw3kK37uG2BxrqOen50FB0FQ2peHkfGoojakLRFFHp9TTkxZGPq7Xz/lVo&#10;SIU4Aw0NNDSoIZlx/aFMopFoPbOY3BgCf62GTmTU9AdbOXEsWWGDgByxwnGpAPvjm1kxKe1MOIYY&#10;DMpGhWOJF6akVw0mHCN+GuMKHY5FNAxSFfhdnRHjSM5dF4fZ8MakwyIf/d8i8BGr05VKpNpH0omd&#10;uxb5DfLq9yzxxbMT+AkguAVpHNoT0iSOgWqdHIuCMFXOGfnIPt1NwjCgETpUuTHqhQm9IUN295i2&#10;qewB06AsyQa/ftCa2IKPpWkc2g/TkZd4KdK5yJpFSUz9bUj7OJiYdK/nx3H44JC2qe0B0k8H0rYq&#10;t4a0pa4+A3Nb5QGQUpCzwnQoRUAfKFiaRiUzDlHeljQdxX6gQf+QysPmvAdIPxlIE89i2hZxx87R&#10;GT8vpg7ZjOuvKzGrKsfOYjMJoUakK5AFj8gnQbpVbo59VOp6gU28KEpsev6KCD9XY7OD9a9T20PF&#10;eV3k0PUPUxaBHwaV7JH2e8QVZ+LZcp2FxxrLmyHiflimqaTkPlqkPtaJbHM2Fp8AvlpZewFkyA1J&#10;8wHLl4rH911Je8xYJjYk3IFlxaF9uuMqLKviXwg8yoLnuha9k6X9NIxJAk8gWZqSINFpjnXQGJOQ&#10;pgbZJPDhNTSDDCR9m/LKAGy7so34lqStiJbH9gsMie9DOgOYAO5WCdMHXUeSraWAVsXpG8j47tMc&#10;tlp7PwL6Qerzzy95R3zI163snTy2H6I3l6qSiCbJll72Ey+A7lCoDqKg19MPGRbaIGFA9RNac0KQ&#10;b/ge1fZd/2C2I4B8COU8ARfrFZtbKbwAlWBD1j5WKN+knO+erG288IRh/RwXUxG5cHjnaip55jJp&#10;93ubxcO1kt4oI/aIleimQRSl36/qDPzAwDuCINcXXMPaj21RpxJowzKGYRnDsIzhf1rGgA+SDA/t&#10;iPA35eO1ET404kaIv/2tD1ZMIU2l3C6lEXJW6r7ruD6JYoqvnXSRgVJ8mzPE9eY7oVssm/w14nr1&#10;/Ro+8FMp3/5jRPkF4ea+WtO8/mTy4D8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T4S554AAAAAkBAAAPAAAAZHJzL2Rvd25yZXYueG1s&#10;TI/NTsMwEITvSLyDtUjcqPNDA4Q4VVUBpwqJFglxc+NtEjVeR7GbpG/PcoLjzoxmvylWs+3EiINv&#10;HSmIFxEIpMqZlmoFn/vXu0cQPmgyunOECi7oYVVeXxU6N26iDxx3oRZcQj7XCpoQ+lxKXzVotV+4&#10;Hom9oxusDnwOtTSDnrjcdjKJokxa3RJ/aHSPmwar0+5sFbxNelqn8cu4PR03l+/98v1rG6NStzfz&#10;+hlEwDn8heEXn9GhZKaDO5PxolOwTGNOKsgeUhDsP91nLBxYSJIUZFnI/wvKHwAAAP//AwBQSwME&#10;CgAAAAAAAAAhAP+5OFWa8gAAmvIAABQAAABkcnMvbWVkaWEvaW1hZ2U0LnBuZ4lQTkcNChoKAAAA&#10;DUlIRFIAAAHaAAABaQgDAAABe2Mp0AAAAAFzUkdCAK7OHOkAAAAEZ0FNQQAAsY8L/GEFAAAAZlBM&#10;VEX////x+vSK1qAisUxgx3/4/fnI69I3uF1uzIq65scps1JnyoTq+O5TwnN1z5BMwG6l37bB6cxa&#10;xXkwtlez5MHj9emD1Jvc8+M+u2Os4bzV8N180ZWX2quQ2KVFvWjO7tie3LAAAABOvoknAAAAInRS&#10;TlP///////////////////////////////////////////8ADdDDcQAAAAlwSFlzAAAOwwAADsMB&#10;x2+oZAAA8Y9JREFUeF58vYtCFMvSdYs2CLaCqAttRVj7/Z/yjDFnZFXh+s4fSndVXiLjnpFZl74C&#10;Tif/f3vOIQdX3yy4tfDBr7MNvp1O30+24P/TM1+n1+lr0e3V1Xfb5ezn6fTVLv49+/F6+vP59P7r&#10;E7WvdPtw+sTR9L0JRpF/DKb3HNHlO0N8P32379XVn9Ppx+nq86uj3l892/n08PP0QPXVT8ihwy9w&#10;fIYG6k8/g/rz1ekzLV9fT/fpJlIHuPr36hec5B90/JsD24sgJPHHcB79SN9fV/cOQcH7q7PVNH+S&#10;vCD5kpafrj7/3nFYcvXjkoPXP1Scrh75+MY3fT39fvrhCTTywf9HSDyBipIPltD3Qvmljfj/W6b5&#10;h0BPf66uPjw/nn4jXQofrfjTVnccenB/9SvDtPTd9E3Rdnz631U1cnWiNwWv9+mbummDnO3wmVan&#10;q/PlCrZP/8LLp7S4VwwcPV34kAPKYizT92zf4ERstAZuLM/56TltzxHt75vf0KyEwnH+r75y4+ep&#10;LF3dXBWJljMtPzr6Ix9fNUtKxGaVWM4fQ6V9ewAhoBCVBxcPH65ubji9XF2XVrT1UVKoo9HN82PI&#10;Op++nG7OV3fpe30GyYebq8vlhlbXLw8wKCr+iwo4Xz2/nO5vJPT+fPUE1RzhUx+vntMiI4YQ6OLg&#10;xV7R5unFljcnqHk4n083j3KshYSinzlLA9reRPgcARbEefXc94jk6ebr6QJd9EMgFNP4hLfa1r6e&#10;hejr0y0md/VyOp8fkY/DFyWCOGmSqpojiWtfhPbwdFatYHlsDUxwQA0NzqevwXK6+oCUTu9DbPpi&#10;2DdnW3oG4tv3VHxFCjcXjUTOSoHccgphjU3P6B4jkM0n4tHN85eba47V9enJDjeEj9ML/XS5xKDb&#10;8JeqcE3fmxcC1JX6oOYfPBG6fmur1hYLNnlz9QHp06kUQYoU0xNp3PzUC2kJVRieX6f735gGh3RN&#10;zd3zI7g+tu/p5uNJQ/PjGmmpT2IAFbimxbYB0+Xl65CL2RIOYrnXeClifrlBtdeQ8c6+V39+ZViM&#10;46b6kh2iRMztqQX+L4DGBjfoSWR2tVfLb+5ukdrvm+vU0IDy+9PPuxsM7eajEiliLdqhpQ8p9pxx&#10;PiBk9Ku/2P3+ghKu1QkyhVtogenLwwcO01UVgfkittIAmhtUdoN4FXNYYZjL5UTx6fzBroThf6mC&#10;bNzg683Nn5u47BnSTg9Ppw8XxQ8xGfGDhn4FITSyL7Hlj/NTMcdEcE7GhlRanPUUq/IflphVrLi5&#10;+VJKGPWD2tUREEhqHZujuwcH4ACTZu7hCz0yB/0G4d3pHRaANs6EAVvouy+40plBb35/uDud7rBc&#10;qog6EurkJgkUPVLl0KdL5jM/bjB6ApWOYKOfsIS50fPu5vSHycPiL18oePkirgdOOztWZXwwN9+8&#10;f4nFnG4IZhOpyjkfxp0bo5WGCwdw2QblOQjtqq1rL1aFbbu30Q2W205XVw8MxNcN/kWDFLa7o6go&#10;CxVFsYjBiU5BIXJKO+wDCrkhxsDm6Z1tPPkH+k+o7xE1amyVn/880So8+Kk6iA6/Lzew06rzO4Yj&#10;p7A8I2NPjGs1tGPYEKwOi46AA7ORoCNgt+8xx5sT/p0C0d9MHPd/fIJziMZA0H04SwQNKV/UiNYZ&#10;cww9g96OlCRtgGerIwB70eIDdUaX08vl5YbAdz59VAMXYtQfGp21fGeba6yeUdW7/RP9xctE4Sf9&#10;DT83MJZZxqGvCQwGJsiKkL4xQIZFGaBsd+I5R4/4qJQEq23taj0+/3J/9fISEyJ0poFtjMG6SmaJ&#10;EHXRMpnodKtL4qK+s816sn31iB4IdTdETrh+fn6FuAwZnPB7e5JFqLuznK4X5oJzAq5NnlCwqO4/&#10;q2CGubr+dsZe5Os7Q6Plf8/JyJgpiMRnDm8+v0fbZmR6klhIjZTPZ8LHJwLu6cqk14zJao5Lyum9&#10;OavNRbd1JWL1HPMykaX9r1dSxBTCVnLj7xjTdE3mPF0xafIEWn7JGQQkDb768f6d5yfSVtNxyKPw&#10;H/6gYHV9vfojaT1LQnT16mxxekdYM9VjnD8kCG3wr3nyHJ++E1Psenv699PHlDUn1sDShso0SHMP&#10;PnjwQ5IuJCHWmBsyzh9yaIa8I3lE79QxeDqurj+uvhPQTx9I8602g5UQ2pAg8HltaRv338fTB0Oc&#10;WTYBRTwmRI+fbOFcqu8BpGd2/3Z6ebKeiiI9XdnSYz/NEAwSaczHv3bloD34IJUmjUiM//1CHQcM&#10;ruNSeTbTNjf29Or6abpq0H5d3SNdSSQ1IXU53zeY2M9i3UGEpqvme/bh35/Tu2TgSUXuZd4q/vLd&#10;Q88SYfn3Qsgz2tCpCLBtRE0wRHVXL0Y+s74s5DjOF77g0TVTwIXcJQZ0xVj6UBKmBO0PnfYg9sYF&#10;mLH1ylhjcDNzQ0H3ZuPAYz2O2ch2uvmzCpgTVzM4Ow0M636T+mIK55vbIpSd+P61s42hIl1/u/I5&#10;3ZP+TAt1bdL4zASpyd28nBPOMrjncsAixbY3V8/kSZn+mGTRe+ITU0X4KAfJAT5eSFFfLkiDpoTT&#10;1IJBedKEdon0yWpvslCAn/PN5YvtRTafBiIOvhHh3wdDyUZmiZRMMnENwy5xyNmN0vdZjMgaVnh9&#10;1ktX18dfWp5wm+SCCuaRDGWb0nuDkiXE0IkdWYV2HuXfPvnwS2UXM3OBiZdrmWu0RhG8tSotHm+c&#10;Pk7f7Hq+MwWiFC1+tRIm0xI5kYK+v+hPSocWP3++uBI16hO0Hz5GYGRv+TSpvb4hwZRmqYKiToR2&#10;zVTyPomgSWJbRPxVguRTgBKJ8Jyh+hdXISn/BSUqGfJRQIqCc9QHJlfU0KXTZhqkXA363dmIpghB&#10;83mEEs6sUUjmRgZAErUMdoVs6j0R8M3XL0yMJCC2/+qqG2ngP2ZWZzVCv68fbxD1jQsE+nUaFcPP&#10;fzK7kxHgvrDuuM4FNnOAHKSTAg4bLb+8kAVychvxGZ0+SjSVZ4yYxdETo1xlFQlGu9y6Vjhd60uT&#10;6jEN3mUu1gQIimjz/KQxsAC/093PV/fX53c3eNct6dbN+z98KAkGupyCDqK/SJgj2C2jFfeEObB4&#10;yn+Yt79x8+YfDy0G1dKXuWF6yicUkjVFfr+JW8GG7jJQu375akAziTZD1KfhFrPuVJVGmVQjNKd4&#10;l6ypwowpo49BifV2Th5Nze2GcVybCn68usdSMYATYe304UEaG6ay0yKF4qsl0Q91QCyLhJc7q1g9&#10;s4xybOwno7pVcMmK3J5nZoz6boKyIMlXLqMJDXjeRUG163WSfNCSgTziS2gu00+65AucwYWqLGG5&#10;wFeU6wzRBs4GkouiKTEQ/XoFAYPSxNDwWysOwi9OAAz4IbGXSqmws+CgtCKEoSRTc1vEIfCVG5I+&#10;zp9MBe+hAwE/3piCUErSyFRzukO+YGgOlwCo+d0Z9O36QnSGIDyaXmZfNLBjACMiNMdeMvPYAUHY&#10;leWWQT/D09WFP4cqXiWCRkWHX/5RyP8PWeuB4b1xQdOnj1W4YuYK0kgHc7Qbp5rfyYJJR/QKLO8O&#10;Lu2aKMaygnZpyx/QdDvmnJHFzHnopUTjNrhcPf2j8Ex1UNmVKxvzi8fpTlMT/ko6HbOsdfah+tnl&#10;luYdsDmfrseZJ8xOW/pqIkbOSAb3wR2PbxSQYpE92V4LUT4k+6aOYjBz9EOfuiLLokhMZsa/xBrj&#10;WvhFY4N04oD1aVAIrq2se8XebcHHzGO2IHX1+5eeloLs2NkOaZ9PHxyYckrlMpN6ElRLb6GEyc6E&#10;t4mqLd0ScgPZ1rGSz6+lSeQW8m0ymr1TiMOh+HbH2CbZ4v5xr4Mz1uT0fJA7/vjpuYiuft0/uAUq&#10;n8nGT3+2XB10r05DNCPr+/5DBKb+8JdRT7Nb6lEwh7BnpqY/pouWkCO6nWyDEGBrxPBLCaaPMwF6&#10;NNsP5xBnqafmenOYwn4FSfa7U1ABevTjso3qlsKfy4cvxLzpkP2a6cRH/0Vcv4hMBgZLOf0eMzhd&#10;/a/NNSy+7C3ZrK8y6vfTNacenX4/RnzSQeX3P6uHHzQwO7zKAquMRiLAtYkQlUxhNn3nsshU35ZN&#10;c4PjsyHrLmug4DXFMa0yHabJJcptlef5yN5c0KTAafrag9QFv3/ViodWuBPXhdfVJXaZ/qYSll/+&#10;uOam6EK6lnI+tjUMx9+szFGXYflbwvKqCw5g6T2ZL4yjaKP21etzbD3xLU1DhljFm48WwbYVomhV&#10;0fUah1Xx3fkTg1LmP8uXX470+/TvPfOFkYRVplXykYUBB2c8lwMErR2G1QuZz/WF1REVVUdmsvYT&#10;X0ZdZIiyZ6irmDPWbNW0Bg1nUXQxYp7Ryj1C6OZsG/GJnSmOJ6nK+SOxm36X8P8rVpqW1s5AWXdF&#10;iDcm5B4MOZksbeM2FbMSIYS2bkXaz07GAlubzeDj9HZp7kZRDdcmD4z6EUR8eUhD45ySCwWZ+EKY&#10;gRze7MNpFjw/QSkrqptB6fTReQvMX8/K0L6PTHVhxgThJgHg5+ly73qCEOHXu7AoGqcrOj0h3YQP&#10;xyJZmtmIicUDzu7vVCetDN4RAuS8A8NPslPEQBNyYXp/NC4nfRDVU8k7PXvlQ9IgAUdj+KsflDJF&#10;0tpB8WV0S4FIHJpBzSCUoPyl0DF+Z/PGZonfDkhVarPT6JFDgVCBvjd7ypzO132ueUFghtGMmcH/&#10;pC74zQjcWDo/ukpz/WnpR9MDOiIfCh4vXXuowo76lIYUUWgM8stJH/EzhFm7HEfaEmgIgCAaiMSx&#10;IfXm6pYVkdgsFG32vcOiOxVMXGdSasfJBsI0fMhW5I2qGyYZW2DFgJmTlPKFFUBVqIM88pIo8FpD&#10;kNW0J0GxIznEl7urywODUUAJ6bUdGWRGfUxD/sxzryHm1byD9ZgJWEg4Z3Xe9va9hTq/ZfWj4r3y&#10;GgLgZlyVgOZDt6Ebu5Vq0tj4trhu29tM/GOWYoxzunm97hID8Z6V4AV8xEUpexKtS5IQm0tvIaeZ&#10;1c3V+3pPRFdWf4uXXPKnl8dm9reTZ7cqTcMw4OQQwFJvLppOk3BGzQgwxMzA8B8zuEVZvyBfLUOc&#10;t2oFnll+WUCR/2lrY1nmIDsgv0//UCtrdPjgNr1Hi4KzmWH2S+mrl6a7vWOo/PcCUIaiKH2evdj2&#10;rPl91eOjVHrBuaSa2mIsVCWt/XjzrBUx0OPNA3n04wU7fSYXiabadbzM3krS//KTQW1xuT+9RNLX&#10;TGL0Qy+PdfeTNwnYz4nUxaJSUGg2wpRy9PPxfH6p0lwRiDPjEjPameCVam0jVFlaQuzP8AlMVLkr&#10;13JE65FXcwgdfOBolDuoKxBGuCgQojo9vcrkCV3spWrTHbi+ua//u5YKSmThwlBzN76dHVTMcU5b&#10;9LoNNvTxdLl80SsyKHm63TCl+GTohS2nAtLCDlnrAQ9a6mVNUbp1hVoNWzdnd8tY4xMODclOzeYo&#10;WSS4WEMTric+3Nye3j909eSKxVsDYicOeno6vzghcUJSOoJ2JMfroA4oNWdCj4KTsQwq11ky0+Ly&#10;QNSl9bvzfVclGqjO4h0Cp594BHNn2E4sfbj+8mIKLAnUx6YqSurSHRrV8Pms1TvVS7jDZ1AafkF6&#10;ESI+9SVkoxy+lL3SsM7IYfvns4sCKHIMOzONJfVyuyQUiZiBL+fssdKCqMXEm5PfrNzlQt3RRDkT&#10;1ZFwrdJ9pzPaizedXZdj6Ym0BgJ68O8LJnN6MMAzKnM/34xK18R8Pmh8znicZihQG8OofoL2a+3o&#10;5vTenYNnpBU16LQ5qKm+qJ2xq3zkgJh1/81FjP+iLApJ17Fd58OPIJG3DKrFJYAmgct1eg5FUkwx&#10;Phbb94xCq0fFDQux+RPB4+etK2D1x4SAWm4+ajSgeMbhdXBWrI5DjbZGTy+wJj+JOq4jExoQ10X5&#10;jj5fCYkUm3ld3bqnffMe8pWYiPygyFqNujYSqp69KsHSSiau45COkiwwm71l9BkKGKnImuBHSV6B&#10;Ravn2CAYntT0E3NFI5ZjBYdMphdtpOvm6pJ1CmXZdUjs0avolQ7NOL0oxrFFuXQuxUw5CpjgLHPY&#10;QhIScLprQppru+vz+y9Yw5dMYEFnA2+guKYdRV58zPISIAATcR+diJIQEh20KZffieI/Q6KMaoBI&#10;ETTu1w2lKCHzjYeWZFqSiIQLj/nqfpqnZtgaguFTdiQAgcYbvXPJ1QTkPDOLc9IwRpMxNwcBlAvL&#10;JBUeRJKlXGAuFM6otr5zgLhcJtWLbTIofyrLNuqD5tgEzornyKgsGtRFaYRKMKTm9DOia7H/u2vs&#10;RXWNIAaArYib3qC9w6lCuHxlHKkWXAUYeLEgd890hZerM61pdI/XuHhwvezNGmUqIkOWX+mW5MpY&#10;A87rzBadc0fOcTZUEL9TJRZqsNR61elXUkOE7HZUkFidrxeQkpTr0b9VkckGPf88XHu1JO3qVxb7&#10;ffugq3gDlauOLOSCKPpAVF8iI1qr08c4+B0caKqZiPUTwQySIcwx7vnEVmGRZTcdzUm+nL58EIvn&#10;GdzjkVY8Xo2WPrCjqrbIhGKoyTVmr74xHk6uGkRCN4aIRXvmpwZPoL4539vl5eHG8GRdsD9mpcOy&#10;/d6pjaaPSnmrv5utJI7vwS0Tv7vxFQL5smlE1dTP6T7EaMSdDc+3L4+vIQWfSM6aepBwGEpvae20&#10;ZXO/iajjApHINbbkeNiKHxP2TAD4EjG11+ckJNpTZ0OE/JgtXijobVecTP7PYPqM1qc4s9X4pBs0&#10;AoHaXfOMSZUrW7DAlYMydtd6ly9eEiQ2KrXIDMYxhwcaOq5LAN1BSpJ2PbkKviI8U+q07IT0kkkH&#10;BM570J0xHS6rC28vSIgB+czR8RP1wxkLGM5yEcH4L1ukOAm0+WeHXyruZ+QIUOCOi7gjgOzlWcqf&#10;8xLHHH2e69+dNFaDyFtzuM0dZxY+n65evErsFke3Bb2sT8s/1NjasmxXuodHTW8uyKX7M4H61f24&#10;B4vSK5/8+44AaUFzCZcGg+g2anCkPvtH6YcteUCTbwZd4I8DuGUIP+9NYVPandg/f5ijnZRAYUr4&#10;3D259ERP38nfvqMx6Ph5HNVPu2RUer98OP1yK/A7HGLgMwAHf3Lt/fTH4QFULpZI/epT9nY/fafq&#10;h4eMF/cpS10yXnVU0HZUt/86an3vl+Kk5Odrtq96cvX6w/jjECmMfNfO8/fu7f6LXrLNa9ngt3dW&#10;XZ24rn6cvv+b2xe8IQPrKXr+Ouqn8FZt211T+Vc0NkLp7jhS9DMzxbTxhsLepJFemGy+3Tzj6NVN&#10;uPenP8/3OoNT+D7qF3jMTMAQYsIhHdN/nPjfsjBp0UdtK6Vee3/fwzYBTBGqipSTH9yf3t86XBDu&#10;o2oOV/f4cU7trkg5QkB+p5EjQNfH079RgqUP2d3nvxSnsF98385NIHwhjvvQJ2r+MSq+EhT8o6u3&#10;wlx5R47LIopEQvv77fYWTWOohVadJP+hTjo/qz3qdEBUkQxPDSAld7L47z96P2fbds7T8erpEwVr&#10;DxdbQNmUZoTTJ+zHGtux8MOIsz2LwilAlI2c2hyVDZpuOivMWJKoGPW7Du+Z/3I44/WT79cfZjmy&#10;qjDusg1+dfXj4qlX/K7ckjWJsf1Ph+JbnilQ8o7K8ev3LgH+OKpWpVjzL7L1P+0cXmx40+Xy5yIr&#10;TATBwOHV6R938PhmTtUGT3+06/tYcBp5PV0ZrFExL5pCZUdlKOwMo/OGeAr4T2NrbIR4+ff6gzNx&#10;0wmfaDNb5RYlaz7d37kLOfOhfVq+jeonXyiaHPH0fVa3P5BT9iHkSQE80/we5/UkV51wHMlzQkwz&#10;I15ROf73j3zl3BiWlbpNTveHUR+NB+eoe0a9jhOk7b9MiQlaoyQTEwkEHpnoxTho+meNOYJqRiSc&#10;SgaKNrX4c0l4INfBAkz7slCZy0PfL48ZVZQfTt32ToHf+XM1embaeb6j0ssKpDoO9z5LQNoOf7am&#10;RLtTrT/uP0gNhU9X37NTlBYd4JN7R5x7NQWrya0uKbi/+sE8rAWkg6Uo4lsf1ThdmAdxidP/aMvc&#10;iWZjuLE7Reuoz3G2dA6WZB72P737oIToknigUIPfAm+v40AflEBwUSqNYqpdFiPIpcSM/nSHlUQU&#10;H3odrI5s+NdkmH7R58cOmS5++8FnKI8DbddstmYmej/rpNJjCR/uNegcmkx3o67+MLtT1rG1cb45&#10;0UEukux/eVmjXr5G8RwCDTdXPk2QylAhCpXKAemnk3/n2Jh5m3TUNGqRCKHqK9/XMaWgaxjz6Pk9&#10;U1gKvUgIiPbRUOSpW8nS6soJUh/PptXpR67GAcRRcXd156h/YD8DbKP+fjld/S+79unjH3bB50tc&#10;3r9LbtXjyAr54TQZhZFS8LrFapxZRE9hBcI5acK5pIWQXgrW/R6vnlH+9DGB904FMoeOagLrd7pN&#10;q+fT70xWuZvdmo7qlcNuN4ca/cfvF73i9Xz1giWy8KPMFQTqMkR4oNIeyBodKqR2REhW42ZkZs8c&#10;gEjv+qroihxtVLW4hXHN9DsXY5r4vrxeXV7onLkLj+HrQubD2iERGXxmyLOV54hpiCknAqvWzi8R&#10;hGMSBdxo4dT8/wMG7LU41xAjIz9k7AljzHVHCpx8vbTw3uqEg4oV6KiX7Cvxz0DZqqtcCEib0JiQ&#10;aduz28CUQE78wSZ+3JyNQtjft7tkRxSCitU9rb0jxyb7qIrd26NcZGnB9OCIXNYmrmJOZD6OCpbc&#10;SExf/8F8s81gsW8WI+7+1AYdgSIXJ/XF1MbFbq5espfD2vwhlI9D8Nd9clrhqSiHNb0d3QoM9tkF&#10;s1DxeRE2RuQ1DENFpzcXU67Qs16TwWwi3Fyd3xvpXRAZ4ZD2nQIEtyTY55d76hkAFLLK9OeurvpN&#10;G5Qd3d0QPrQ2BvaWwJlBHFVknZiyA22LiOdBy+SIYuSJVLxqA81yhl3qoTrz72tMSOwfwSSZCfTB&#10;wDivuW6oWD8mIFw0qIzKWiWPUmXUCASU3pklCRSbWnCGU96YyLt2xq6c3y3W5l6uXiHs3qRWAWPI&#10;UkmtSFRDL+PZPlOM4ZPiy+krvG+rfCoIfIbhngS9NwiFHelCDBlAX9GbmRWoIxyl0LUjqv2YOx4z&#10;qo4cNNGmYDHE6VNI75mBQhf0ULxOxMOJZWe83m+QeGFF1dq42DLqNWaK+17ct81ers11eJVnOzex&#10;RHpzfV3xPd08ehGREbToG3etmCKvmKT/0FthZIWTRTQHTJhBcE6VO7Km54+5yHd6yjrCZuB6udQn&#10;FRNnGfXq8t7Lk9Jwee+mwGPFfefFwKtvn5j2vBphCNdSqPuVflW3dicuiE3h/ziNmDSTWNfp6fL+&#10;JreQYIarIfZPgKy2aPLN7Y1Unh8fdDUmzz/ZTXpAX4hCM6yKsmtxzyTDsVvFXXqsUckWvYbz3l1n&#10;gxEGPezYG4cjeiliRr3gDx0VH3Qn3D0akk/3t0AVhmOEZNnXp28cZIsCUMA58IJKUKwp0odSOAoN&#10;aPWWk6QBhOmzNg+tiD86ljv/1SrT/cFNxq9Q8k8HIIKtkWR7HTsBMmr2qGHDrSj+Z2SFkoa5saED&#10;PHv7ryeanYbjFQ+pThSi5h1zlN4XdHxrFhUMkYlja+Hw8iDhEXn6K29zoaEqvbV9x7RfxdNRaYvc&#10;63ZesfqRjRgojzZ/j3q9YAW8HwEzKl9PJhPXDdUEWvA6hoPVZjnwqsH5/lJJeLGil6u6+Xl/h5UR&#10;oh99/sB6TSBXfhCDerPIeUS5GVNpJGcSTitLQEMYSf4Zx7GXXqQQErik65bIaiVqRKznD5gxfX9e&#10;3ZKtgt4pKcTagu9arZeUSgkM0uBlRqWK6UNMufadtvZyVMyRls4x3lPi5h6AMX2Ms/3yHOpZL1Pc&#10;WZWjbFQHURwWAYcTCqPLs1vI2YBzasDZbW2DHFyj5NvTwxcnrWKPa+bo5gHU+Ecu2Uq96b5aywZP&#10;Hl8W0UMuvNvzViMh5+nkBEdPTC/RadbqbpO6yUxB8mF7Mdtm0vESGG7lqOt6D9S7+WRPljaiA8Kq&#10;hPJ/BOzE4RhuyYD9QbmB15KNVWIzRzmj3NuLiCbO2RBKINCEb065fTs9ATfu5dHjXogidni9SAHX&#10;BENI7iumGYecciDZVszEdE8ZZ3c6CD7W+4s0Ch9iTTd0S4jsqDefkkcrX6kFstEUftLA70Qajy7I&#10;/gWfMBaT1dIgU0uOZq/YTqbFoPMcTKCyu/+3UVmu2Mno6IEEn5Glro772sL5+sJy5FtkxfnrnXlk&#10;qDEGewRT9uT4mYncqxmJQqnUFJkjlMA2Kt+YB6ZpBABiNlCMgKm+PeXOb0ezj1tzlLutoDJb7qg6&#10;PfxraQbz3+8QQli9JmFB6m6mIyUvEFva0c3OO+iauDiNVi1u9DQR/HD68oUhHIVy+aU8E30Pu/Sj&#10;s1Yk+WnWJxL4f/PBXLQtbN48E7CMUgzRu3JiFxoGfX5h6onEyPljh7qHurTIrMEhXH30gby5wDGV&#10;P4070X+XMRxxzFeHXIMSud0+EZzDOEnY+IPzddRi42OC8OnhHNtRRvzLAd+/dWJE814rtOElz0dY&#10;xajf7pO7d7vEQkozV3tIO7WdZ2bixQoPJ2vihEHQ4l4qM1AuedGLtl4GgiI+MHQKfYT6p8sZAxXH&#10;1w8fs+TMcjluFVVgt5jY7KPQEAvL/R/kVGnrh039JOBHHjenLx+cSzw2s7aN9YhbBmyQBBSyLi/4&#10;OpjqCNIRQYTosMrHF9iyW0ZyAZBDejBpo0X+uchmmZ3HnJPl1BvJkYvX9r+ST/oPq8Jyr920Qu02&#10;zW0Prm8dx1GdLvin3Gh1zgoE88NL0+Tm8kWpOVMbg0IOR7XF29w0WM/MSMXFJO7cgnk5RKYKzdsb&#10;Q357tdftRx8FJQy7kscYlU8lEKk6zYRVUEsudNw5v3j1iUYmUdT9TrBn1DP+I1H8SReYjAM35y8E&#10;3XsXd70KbOuE8fiX4uig6cNaRh0ZjTyF3n+IT5zlf0aVgF4Oh5br04drbw5Ja/G4XNUCDEmiugfV&#10;Rz4UQRCAwVHP1z67yNGzfoqxJfOQ1VNuuaXtIwJ1fRXxgO0liZ7DQPL54xO5amZBTQtR4OaJZP/0&#10;tgz7yirc0MsdMHs6yiwKOJMq7+/DdkWDafn0PpHs5hr7PsdFp78j2ePn+YvXbbxI+M0+SK4WRTvp&#10;0pFJIgx+DCiD96YTSDvKhMF58ia5ns9Kh0OzjSTliiejJpOOM5O5PObAQVKXwI++SNvzaHf2bbVG&#10;RkmeHTPNlHCBv3/0PbKK59yllStF1P/GeaXEEaGMmt4XhBCNlNTcFs0+qhvqCBYhvuDt+mgmdEcl&#10;ANFCjXAmo05BztqK1lzG/k8E0Z/eVK7Usj0B/48XBWwLmhiowMvkFjEkuzJI+R95eYOgsQmRM+aQ&#10;LYSE94pYPOZSuXr/Q4PqPT78d9sFBHNd/91c4f15umDOhkdoDT4/GMwRzNLoc15zdcqy4Kdvt9dv&#10;7m9xE2rOQKjWmHABe6hfyYQB95EaOfy8nL7F8dyEaA5q1yCKkOkexaYio0KtU4dBBimFVSTvJlvu&#10;9mT6xSIeDRd3lHnZAQrkRHdQerm7kgQkpm9Z7s2gzPsz+PI/43RiSg7oLJu2NKNGR3TUyIIGfOJ+&#10;WrQJC4sNTJv1/X3ckDkXQ3nGqjMC9b6eB1WToWWOpo+jnnz8F8NDUh0G7MyiyWAUlnsvT6y8FJle&#10;hXNZQ0Hv0NAGola4F/AMSzXjjOq0Q47kolMxmzVTemS1Wcbp2p2ax6SG3lCamwQ0JT85fIhXcP7F&#10;+KBKHZlarZGet+pMfBrTl9PHayWUtNYJYX3dQ0MGpQCYwJOzuLyBrGiQlBWuBhQOZy/eaEMTp7NI&#10;6/xbOy8VvfOXP2Zh46dilu87W1798S1QQLRq7EFYuoVG23uF4RtroB81IFVSKkg7lDiCisZiQ2eX&#10;l8u159RawMfPUHuT/W7YOLtaRD8HVsXOwGHBiOdtX1Q5I8qUdzaWg9w4pqXR5z3USIsbSt48nFHi&#10;N49ogZHTZSh3oUDPaNaJmu8nXSarUgdE0TFN+mPYtrpkdy4Rj2+w52p1kILTu9+yXFNAsyL2o/Fs&#10;LYwh/fR8yYX3P+ZlHNBefO5euFsuPkrgEGforMFxbAO+7DhtRM9s8eIeB81AnOL1VhM/byTEURk8&#10;MvIKsYNWBmkS+VbgksKJeZJn5ALUU/PLt2hlzod1MfqfOYJmeopt/8lrpjgklCFYTRC/TIgmbJux&#10;2F+XNGpZCfMgRJq6hF5pII+jk/Q4l1BkL7GHVFPaa4ZgUoWmmDUD4EAKMFS8Gu6y0Zl483whh3u3&#10;tJdP73brxCNoC7lI4lR/MS4x81/cm7lPSAYn1i1f4pe5awKkVHoGU5YFj7mZ35yf8SVxsu7TlJw3&#10;Mmg8GohvizpBjAOyA/ijoQHbAJZWiuRr4lH/fwn/Rg5Mg/BMWRTid7fivVaJmjh4rtPg2s/xVohy&#10;wBfY9TvoSPGQd2Y1UaSY4WWFqUMl2TaTkGI22ff+ZJpedEWX7ymKjkK0ERNvdi0QXG4s8EUyVnP6&#10;J1T4n0HtO6wmP3UvUVOjGP7OebLGi4gq+B/bxl21JWKe2amD0v49lDOzsjLNGOB9Ua75yyl/5h7J&#10;GRVYU2fM1s0sEHVLJpv9kM+JuA3IZywgmyR+Me61m0Rh1RnZhQaNvcWXTwZAYh+QZTzIP5poUCpf&#10;DB3FI85nupdmwxMn8TQOnTLpaR3mEO7LK8eP2EMHzbJFs+EkV5wSw0WRTo+MywEBrKYaBG51mEA1&#10;dTndXrphjaD0OP4p3zxqAKJ4PraRCxoggkvTGt2/gmZxpcV/iEVBU0TcnSc/NBT3Q5OTek55JaWO&#10;ZwWUUU2PrUsrre7q6hpz88I5LVUx1qYgUfsEw2dPxQ0lT5MgZ9C8IYiKRBibOl3Kckn4+SMM55/A&#10;zJZuHlZUc7VbpiJft+85hpDgYFWAiesUdbN4so7BompYFcs3hfRcwpITM+ojtHZUjYejztwZXiFD&#10;ivv3lHHGePdfYEI2JYfqF1PLtPfOU5oZ86gAjXmA8/O78VnOyrUhw3sPGUEzVyxGmBnV5cYjBhG3&#10;IpThEcnXlG/ip2TAKc0TxjgTtbdnGthnCyM9+NSydNOeBY2jQo05OmOMBySkP2d6JAV56qUfgBjw&#10;JXsmENnnwaDnq8HJNZZhXbdtFvniwrS24uThxbmERhEpf7UhGc9eyLHDV6Prv95IYzHG58pFl/Pt&#10;P7ahkfHfqAnNcWGQWeEE2pTn5v4LHGv+VoXbXyJy1PYAzSO0mGLF7wzBcGx+YtC+aE7eH2PvOA0H&#10;siyG35kEaW5CiWXniR6S1wRZKL0zLdEL4fvjubt49qB7pkr/WfZeM2KNIpaCyzcht2F+83YmAfTn&#10;3L5DfPufNQHXnt/fn17nrj+afjs7maRtEHEM40kXf1LqnnVCZKuA3Owh8dblOkBesWoOVBrs2sMe&#10;/Pzk8efceiVQlM/QK4ARr/PeUo8EmnyLMs9/WDj2XlLhg2WCMzitvCcT+Kf3CxTTgvR/cEMFYCxo&#10;9A4MQD2ESI6/Y3K3sGCpvi8rQG6tDB3uyzznZrWI0vskk3846sZrbn/Kd15Lk3o7xBas23gdUuT1&#10;WwUInZCoiHF17wvZQTTIlyMYnyHEHmwHtRpqYjwBd3n7XVXGj0EbGXH4L9jgJ/IRsn0dUtsgVPEN&#10;ST4JGvBu4Z1Xb8mK7COS0N0LFFncLV5pLzOn15+n77BrkXe0mib9Uq1fP8c+C2EhGK80l9hnbqSS&#10;Czhz+yNgBTrxw9vScpa4jVywMK+UZfMjF+VgM6VVGKDHDxkGxKpV9zx9zz3hgkUxmtDvfNEXFYD0&#10;1YF7qyLUQXMGBtoWmVI2vNrmHhp6RJUyDBi6H6ApcT3vSBJPpejZavh68gbowKd7b10tLcKIWrlk&#10;CBgMtikNpGFP770ZOKdOFpWeyLJr4gFqJt9Tw76i13sv7tNIbbz+oY6z4dVGG4PlNYEDNDgq1PO1&#10;Bgeo+ckQv5Ry9UDhpyBT58MrFcEHNLdktRlFLrlY5md0y5h7qRB6xoR/3c9pVecg+ciyXstlLGSh&#10;U/yiyQNI3tmSTpDznvGVdBAEf5ApjM8xl9gO7VPt96/s+wD6F8VKCxnFguUOx+RTzn3fsXdT97oF&#10;8BoRvEpLLfEho00ZRegWFNeWrig/0bDWyiAjQM9iwgn/WxGYOXJw+TTb4X9G4ch7cqkqryFpuyxp&#10;tdKKEYQ2RZRegRGL6n89PSQecBovqe9aG1ZrcR5AS8ZtHch7K/jpF90wXl+r7TnSmkgzOrMNZMaR&#10;hbhrmvxDVYgjpDiJFkFNqLfrU/gasuQ1NUI6N/ZUYDn4rJjyDKxaUdMZHvoh6SfIfFKgpFGciExB&#10;bkyuAa/r9ClnggZNna4jqMHPuSOZvgTZSstBExPTUGHFYnPWlYxsWDDEJY0t3367p+JRepnHf3/L&#10;q4/wjRyVuK+A/UEbh63pcOBn5Egm3qJ8FDhkaaQyR1I1frkJf23ST6CcYAPfK5mq9UcSlnT5Xr6t&#10;8T0s3tJesDIPYzyLPMRZBGA20bAF/iXXkCxvgbm3qrwmsqUjCD5BqLdO/3Ggjig+qr/4QYSHpCLq&#10;dw8VkrOmgqwBz2W4T2GZQtBFWKpC2tEROsGC6aZROeSI599gqUuEBU8A/BrZ2Sb5sEXGIwGidLXv&#10;Ypir/rrld4z9Me9O2njFFHMEJ98R8I8gon5SQ45g87O72YAWAEYs2XfIA9JFC8r+iX6ZlFY3imN3&#10;fXPNqKeCjbV6exxfLeUjFvkdKYUy+nxkkCEz57SCCEi4qzgsEUYBfyqDWLD4/HhUpt+LBCF6u7mg&#10;gyHI+/fTd1Kg9gsy+IgF/PFyUkT+XfthbqCaou+nx7HyUvYdETP878vpO1Upf9ypdIKUEL6iymYO&#10;vsZZTWNtJSMjTuR7BK/tM+ym1sXrZ2iSFY+hJox7Qxq8JiB9koHyahM/72bLaAZJaSh5WIzEI9Gk&#10;8YFB8e8MTslqMWkcZ4x4D30ro/KF/5WTNGtuilTDpjeAAhBO7TlSLG2lzk2TqGizCeHP4lUB7a4L&#10;WZxoWN5gJorvkhd8EGUTzpRCmwvrCGovzd1VWhb1Iw0NUspjmJatnT/TUBOt2RICYMEvW/I1MaQa&#10;qHg4yyTNGXENVwuVUTOkOhViwjBAUaff0+sP2Jd4uLhXnxYq0IsCMWwsJxVFefWHHxhFp8Eb+Uy9&#10;UpIP6YKA5tBU5nmbnFzlDV58RzFqr/kOIJ1+O26n8D9FlrKGL8+dfEo5lAQv5qnZzdg5onXCEyfQ&#10;OMMBn+XV6Y8O/ipGp6Z0iUJo0fOSJa8coY53CnDaWB97jbFbgIhSZh+Zb5L02rkuypK7GIhgoSMn&#10;22027zsmMygGwnLk/rsmzPlTKEx/801KNFV8tAseqEgAiDuIjUCXSKbXy6snWJRjWWgWx0GHusyt&#10;yZHURAkn3daGuOG1pynmuE7H8UlSS/++4kqUtmUgiR62CP1zv7Ztnhpl/ihE71ShEIsa+UjTObN8&#10;qIv+BLrECO4iK4j+Xa8EtJWm3LTjY1MrfRq+fr909HiTOzSp6RsKplc6bAeqGy5SRBktN0KW31br&#10;jfhAqKVLo0gkHccUE2Ki++VqvQtjmYKtaPIyqNs5B3FtbxmDwoyc9rG5l9M3VYZ7SWBK7XMnh4ja&#10;e3W8CyG6D8aL5/eaTJtOBw+yeLLhgVe3kHct56uwvKiVSFBbbCwByMjRD6x46SGkIOb/9S4PgSa/&#10;vbxXm+iWAHDvLqTVLfHI3AFQVPAqdRjXx2mXbu45mUL78qyxadrTDG1gkM+OEakFn8C44ciG29hI&#10;x6lqO+u3Od/OqnuMykM73+bq8DQChlVIubnqBmzAVm54D8bLhEJEFcdw6kXwKNGdvWAxPmR5nC64&#10;ikftLm637jySBfkWE0iU///8NOBaXw973mzxdPnVYysxkEHp2fp2B4hiwRCijGV5U6umOncK5LqL&#10;d7DMaYAmYaoRiUNZscGv+Jr7fZQwMlpNpBF7BZjkYjgNojglBdhsBe7gHoLW0+TwX8PlmNH6htzT&#10;y6/hn8LcSVjOISXfw5FryI7mtk+aaE0B+iBMcXWzPG/+9aygpcU2OzT85Vu5WHquCbeDdyQMOTmP&#10;WMo1aSHH1xpFmsCczdBxXufmxT7goqASGKiPbMHoTqp7rNmTlkINPlg7FMrJ90i5q0sCcoSs8YwQ&#10;cvC+tJ5vxMog4NxANBQtvGBJpPBNKhnumUOsoVtMKQo1IywPc/DBO/w9/qpsGAcvtpnzBm0xNsem&#10;PwwSpnOtMIjyXkIg2Nxqt9TbqoRwjhiSJkREUob1ehRWUxM7Kk1ozq8IxZ4+kh34CulOWEGcWiXj&#10;/A1eY7Zxg65dI46MYhsT+I204dq39DAex5q8b7h78O4UWbnvVasVUfnOvBkhJAxsdHqxs7z6Fgqh&#10;Wq758KUJagdh0+dzm/T4rlDA+fG21zxm0Z6Bcy349AQrXqI40MKh+qXCm7a8KcGHs7y0DvggVw0v&#10;QwJ2sndyRAZ4hjr6QS9k95IAbeycq2pyFmmfvhobbUZVasR3R6d7eaW06gjnEGOL2iKEfwzCZjdW&#10;VAid+dVMoxKgtvISJIdiPK8BudT62mqPorQXrO7lRtoRfH7hJ4fe2CWkYKPhW6+AqI9HZgHvPgO3&#10;UknIhQ/fZgIQKmjKeHkHCIysqpClAGJ8/ggU50wOYnLxH4Rn3+9smZWI14fHAQO5rHwgOyrHKa7t&#10;5bWiOC8r9gfGc5iKvbYRVkMEGP6h903uS+l1wraLUOwNDQ3GET7prlpOmyidSlQz5ppTHQQ8r84W&#10;FPK5jNt+tT5Z9tzXedGvbkOnyuZXWLXh1yiXCfdf6H6RbHRIZXKYjNZ0CSwcw3CcVaIBR3j2qusf&#10;qMa6NWHSnRjA6acNY2KAeEomXzpcblLFDBzKJjQo7mexNlSoAevo4oU4GuBidVDimcSkk32lEVRa&#10;G8LueDoXZd7uBNAwOXBe6CR7MY3ccSHCvKC9nmDcgIZ5id9YWLUHm38sBRm0y663uuS2/xQGMs+K&#10;dBUmX1IkKY0XN6n4KdaJFRVLhhQyeCdzifJ6dswPkdhTvrD4TAPKmb44iPmdQFXCIYd9xYfl+Rkp&#10;I2NjUEEkqnNoLgf6bZ6o0xudn2CAqF15yO8oAdqcxUXq18xa86zoePRX1KS/nLKqbrc0AiwRJOw2&#10;VRlBbxy9+25l4IuVSEo3TV+GzS8w9UzDyhj0+eyK7FHCtVUxTzscwLd75t4toJG9oogEKH5HWd3v&#10;KRd4w5w3ogVgnDZZybFGptD794w55TwW5IX+mBWGmjJnT7/CGHB2kvi586qlSYoi8ZzwSiUC3IxP&#10;FkatNKRdDQKsXqXDec0CUBLNvLch45shMRC2nVcndcaMnbz3uRIOHAUGbje1BpqMVCpOD3wxNALg&#10;6OOotaEGk/h4Pn2R1wfvy0yZaPmKTAGHNmxQpN4Ik00aEEmMSLI9u8cTQQSV9oyKtT1UAMMSQvLz&#10;kgBJhgqJ4P3orThwk7t6Zzp6nPFoV9kiJn38T4qC+ClWAhBOcG9bqk7ADh9VQqbfUWucJcgch4J7&#10;RP8t/TK5AqOZQDHGvjjqlAPWMBfCoNzbfyCEYwrX4uzdzc0rMzg489Iw3/GRlaXRC0VpMqffJmhR&#10;BP0q4QyXRDhnNP6QIvCj1hGxV+edoIQwFX94uTH+GhG/aOmYUFskKp2NadQy06b0PIIQY+JwalPE&#10;oXWQGTqgzjlJK4AIZEOC15tK1g0Acm7IQ6l9JDqr3dimRqtAMryylNwXCOL/P8OBGOjO3wg7tItC&#10;8KazEhYXKaAvbDXCf6TtQygSomONX2amI5S2UjkMyTO0g3oo9RjcO6xYvbYIbn0JcxBtcD14IdZO&#10;IIBL/DY5YwLug1F9pBUF6gkznsjTU6zTo2XCGWxjwfYt0DVESJFGA5mDTLKSruHLi8cuYHNA+AVl&#10;nC4lSE8hSTl/3v0GqlCmXFC5oY9+NSjhQ/E6vIMSCSn8Lc3fE3fgmwpthSbXNP2WXLfDxVTdgFrx&#10;R1HsQMexYJoMSHqIaOA/3d2CvH1xlKdONo3IlNIv9yQtAwKcHVaJX6CJ8PlT5kwWDMs4fvly4RWD&#10;AaqM6iwkKdPRtfkg6morx6YNCE2TzCMARwv2nTnb+Lv6AO22Msjo0bePR0sEhQ4USqYNku1rpUlZ&#10;kJkbYrQc+4aNSH7jXR6TWKlecKgA/jT/uEvzN7D/3rxHlSsMAndmu6D0rsBiYtVB5kgKQjgR1B+z&#10;wlAnlidIFkkgpK4Y4kBjwZ6GtaSVEkFveM8drGOTigJrgm5MDTooZajMrQD2Ul5XqJPHfKfUu/rz&#10;q4oMGD3icy5rJ5srMP8wgDx+IAIzwRiee+ent4GSifRlRnVClz3QPMNpwb4wsJODUAu+hFdxQhhV&#10;Mexrea2SrpNschorTpqzGf/HUANNTnF0sT3QbBbYLIj+EVxwXDeEFFmbxXpUS5xXUOW3ksQICiU3&#10;UM5ud9+teO8bZOpa4Z7DJKNXuVPdJe2k6EAp8mZECUYKYKeLCslK33caAJowo53ulckQDyly+xtq&#10;cF9IJz8w+qfDzOvCxipFOcyc6Lul6ZWPqB/aOfsidk8T1lr2Dj9zClf9sOkMyspNtJlB1C3Aeg8O&#10;Z0WydBjLGAiPaJkPxqgFg18JZDIfT9OzjCINGiGeLvfKM9TYSS5pM8IRY2FyKaBG5reIoVsuCXmZ&#10;CHQyDiRjxPQlKn9xCwI5IkXVigDQ+l1uqxZTTYCjXhxp/rQH1n3w4f5Bn6Uvw9eCNxua5AicLs2h&#10;1fZpQlutUL59mawaJUEGQTuEnxq88VtQe9G5YvjIooIRkY2/1elGjDiZjJlCxvmQLzkTpobdg4rQ&#10;pCqoOMP9tQtQR6n6CCgZw9zA7+U/W1QCIsEXESjWWvBaxwnTkrSM/xQrhGTQdLnTX7EQSHWf6xXe&#10;97gUq7xEZsuIUIw3dHZb210hOIEr1xWQ5qIJkZM6JFrjtVFrcpjMsL4/ev0yr+LROStR4AYSb2N+&#10;8ixhgZnnCxb2gj5jwHhMNjNwYJa7oIT23z6AqFAogNU8EKTOOKYzZ79ppByABPDTcxQ0RTbPiiDK&#10;5gwfd2QFdJ0VX85Sf2agUMOp5JufIod0A76OmwdnQFvIhUcnRnpG1JtVBqLAsKYEY8HHHGJ5a9UD&#10;TwYmm1DghkYbNMu48x76sYOEQNBECTPZxjD9Ln36lSPKlotyEBlccQZFIam38Vab3zAxPWc4X8kV&#10;3ae0y6FAo0XmW02qDj+Ro5D+6kqniQVTGHSF5dgef8DdtAIXxLppxJRQk634ciBxHNMOTlKyypxa&#10;sx+9ig0tc0h7nA/5+H0YPj2RgwS4BIL5mQVWxrpZYJinNZR5N33sSUoXRPoDFNNPLS2tijUmV0df&#10;ry8ydmm6kO5ahwYZxfOexqZ1lKEjyplgYetaV9qevZWMUWEjngumKq5Qo8r2FnWSX0GoUN+LxajL&#10;Lynjj9Y5yWdmoAWlvUASyanW1lSLIOBHyZR74kuoZQTtl0Gc75gztGfUH2RtrimCqYvc9GSsoHXi&#10;o3cqct3ItxzQAKHS6U7vxfhsKmOTmmk1SE/6uwPhVI5VGQRHbgZfpGD7nP/L97ppK6BNLNAB3Lbf&#10;en8LbTUCB0BGGQdWaaFcvmAVita08X1Kx+CZNnIE4VKcNkoQNXNEafRN1NVlYFvfyOOtkxP/hn93&#10;K2amYig5c/V1rhqD8JuCa0ymC4WsDcorbfxK54FN+wD06Ix8ToG/3pNoR0OH9lt1MY5UcZhJMbJA&#10;5vm5x9KmqSX6yYZdMkGB7klfNBa812IQK+yryH8Si6NER0/SeNEMMrhSIkIzndHLMG9XKiAjN27E&#10;C5HDmeTH2YrOXh/86Q3H6Q5gKhFigUZQ0w3TnCdt6LpI/BnVIs3ti+L/6d5H5+nZp+pMJocpDSt2&#10;8Rjkv5W9hrbSdghNIpYApZhdmioZy6jIjAAk8DEg821sDSxWtNEHzcmfNjB+uEsBivvuUwtBgJD8&#10;Gf0B1KPgV9TwTS4ArE5M95pX7OUFWh+iWWBih2oNzZ4grG4uyuqzonOXWFbplU1hX0Bja4aQfcyf&#10;UXWhWFp392KrM1NxnsyRttWE2uuUTpsWYUt/+PunlnHLVGNEwMBE8B2K9KXmV/g6OVEIFj4ejCqS&#10;zLwiFi9o+dL+ZDMuvsSFWhVNGoHzttFPo5FiRRBWR41wQGFu7PaNTBQqdrtEvn3lWF4+43OywIMm&#10;3PejFMIq5nvr9JsSLxjlEuNy4Dwa+5DLwL/8YW2dpu/2wH6ghmwzMHN5ZgqJJVZmTIb/StTxYZ0/&#10;akH8lkN0fIYiqW2GGAvxR1EMQWGV5u5DxsuRMF1yJdAnh5Mc6hdQQC3yIsaf9RIxxapmDGG2Q7KJ&#10;FWHyBeIxs5wnJufqW55m7wy07B+thj+AcZNfSLuuD6HBTVPod/uWGmlr1N7iNqmAR7l2PXGvah1W&#10;mxv5bqDMEByyJqsFxuudwnIlNo+cS2g3DEjG9uxc6ZTV4s6Km6F1V3qos44MKdm4aLsr/hGAIP1R&#10;b2CAdIQPqOGMkajzeTlj7XiyttF4pOXFWBFphK5sxxgbxU7+ajKdERITLLWM7U//W8ifG5u/qywQ&#10;Uu0rDyxXHbhkSIlaGb9XQfLWC2a3NYShTHxSGntRrYrFCcvHo8eY804Ccqnv0B636c4miGgHAvc6&#10;UBJNDRHp1+25JA9dzWZM5JaFltroTGqnexellDgHa1oRL4Eg8ryT5IgzpUiVAYm/ovjguJhpNAWq&#10;BgWbSVw+MgY93vmHPiKYp6QSMGobWKHQPfZnlRvL7m/mR5y6jbTaHBz5qRVonLs8KPGUjxkKxFGh&#10;WjOXiYIaIMX3AMHJPxWSpUFgKNaQ+c+CjcHCKgkbRvMuIoIsepqERlMpIyhYY3cwpjRx7BacjWQ1&#10;gg9gbORsGSh8zjiS4xPH/Nw7MmVfSeq51P/hnLgqERqqxngv2aNUBf0+R1R4I1egFxDMi7RDb4g5&#10;vYBL6SQYuF51wYsUgS/xpxAfvmUIFTJ+hBNJd+qeJCYsjeWIj1F/Z25kerWc2T55XNqaRe7hyOYY&#10;CI2vTj/CL9FFbQL+wI0kSkSpp8yBHAeAusQlZZCrXwCjpJqyj6A5a67+4rLFjn/u3BJcwEuVCh4Y&#10;kTL5qa+YZ2mQIGNQvmJ4eBCK7BjlR0d2bM+iO1BQFLwdVME5n5Tnr4bE/6keU3H5gXpw0tezzJmJ&#10;mkATRsF7hIAI5p1mEvWkFlfxFTtJ/gAn4pjHfbU3HCblFW+uF1Oc8g+J6Zm0vWAHT7e5RcAODTNJ&#10;N1dB90PEqhFgoz6ZXHW5OVPm7TcatHGSC6/ywSOlupYo0bhbjUsRkw0JspJ6Wie3bQcAdbxeaVjx&#10;7Zg1FQz5Pva7sGURajQ7M+/g5TXn3k5WVBG9rSdxc281UqGUZhLvobRmV/yl0XOE5rfNrPbYL18s&#10;yaB0cofVO7rzH6+M3l2LiVVYoR6QlegKc62aJNcalPq1Ao1xke9QHD8nqiSWZTHnxFvHorublnzB&#10;OJzRNMsGhhDfmWEjHbC9QzwJTDDwki0NGliXV6Wc3kkJFmxJcdBRk5OZHBnZspJmVbZuLH0NhRzz&#10;6WQVSKAooLuvfuTqc2AqKUvSJO8QS4OUQ8QD1HgyPaCWQWMQ46nP+gt44TWdWNXw6QwS1SCT3E0g&#10;ZaICpaExkxSFikl+id8WjBwkAaBPeG0aZQULJA6VU3fMy6pthaYPBadfB/HVX4HIioERWy69Ok2l&#10;LsUIQK1keENZ9pFOP3IPUry5pqlWSrUN+e5M8xjLBHxvg+qiLESH6qj8nCnYo8vND3pAWue+SkkP&#10;by0izR4rXDW7kjxAVqObQOVUgCMnNYporjAnU8odGcWUF7aN1XdARof0REN5lwA9VE75hnHPvnkp&#10;I7FMBwfT9I0YBMZ08q/EOhTg7N77SSI18Xc6jJj2eUQ0QY4J3c8lYZuF1RV+237AGv1PvN40beCz&#10;nAGb9EtGqIsFKwwguX0UmmFxUZM+OA55AGeESwguOvw0KIWPg8M6dOatAnCs2wSh5BAXkAvtUKhF&#10;v0TSvDJBPdLJiWdkZHEjyOIMJJPUBcpNwO12mbfSDVwzHMvBtnILn18WOEkEBYZ+IL+xFfWkGObQ&#10;vrqg0HS4cwoHfE2A36zrBbVn1sZbtLTsJnCmaWUiNepr6uMHkVH0hE4yevcJs6EeORmOmX8qs0Aa&#10;BFDKN9pBr3/gmuu5yrsZI0hGDdDeGXxG4IBZGa5yK4Lwq0pthKl7dieCAoyinjrRhsH0Sd8RBpsJ&#10;DHEGIymNau0MWSEa2pcyxQhJkVipHeMSCeK0pCsLqJlbTQFo9+e+KTXbA8CZCmaQfKOPshER97DB&#10;GAWqbzDMREimSJkZS2h2krhgM0EjNeUEr0QntCaQwY+5FqzW1NOAso+97y2cWKjihZRxHCHmusYE&#10;0cXrWcnkHrv88sbvvC5xAOlEVowW49TsLEdkbTTiEt5retiGtpbBCIGcQRqEAv2UpBiQkQYRiASg&#10;Mqa4OW1uJ7L5Sr2SQ2eboeurAC7s7M3AEpYimAEzdAVBDYzDav8XRwYSx7vdnj0VEPTF4KWzh9Jh&#10;dbPf5T/CvX6DbHqXp81f6j40PqPcyEqDFatmmbl0pukyBkBbjSNh0jdnGV1MLoxtviRTKpYlQUX0&#10;q7MvcwAVHTiKREOvnNcOvuZGg86K+HvuPg8wmrzIafxrGYSiToPuidRF1x2TXX959CuTgvCbgZ4c&#10;GiJU6odrpaZxZMccCF02AHsElBdBPjp/u9nHiA9ZBex1kSujeeTmX/ijyER1tpzJyCZJePQymRAj&#10;GdFC3VUefYsj+kuUCeAVZLKwaKMXW7Nts3js5OWu1GQvK3cjHKBw0zkTZZzwPlTn8tyap6FRuSjL&#10;3vQ525aqCXDR50mZPFeGX79A+TV6ou4fmYqFZ0tyIqT37EmOeUAvHQIWRBTnvlsBzeauTiBNS3Qv&#10;f6mX3KBZhMeHKIDMcglEfCcPpgS8GqQKyuiIghCMLuaCmiP7l3QnWHMRxEnF2Snh5yNdv6lmhajk&#10;RauHk1x5n8WrAtB89NqxJw01vGri9gGyGIeA3ICRu4GZgVLTh1zq1vUs0ETTVXVT8B2yAswR344I&#10;ahCHaXI1hADx0afza27eKP1CyCqZYjWBaNBHvLc6lOwBYnThAZWcYVw/0dMD/NBXC7WNAfVRUYTq&#10;3ugvZOp1aN3ZJy0Al0ErRu2pVaJuh1d3164fF9xCs/N5wrbhRFmgqSWMs+arRdIHCdDMDEZzdusA&#10;ZOIfPxPusB91ChjCDG6zcoCFevsZGfoz2g4Cn97n0AVO7xgIe9mDhRD5zmlY7c1FH+p+DlGwlx7N&#10;oeQ3mEgd6t3t95LcBrwxFWwzLH4d2n3ltV1oICkvuarjqltO6yGJ3svQAPiQIQEKvpbxqau1Iw6J&#10;Psuf/fLIH42Q4sWrNV/vDEhmPhpSumWeA12vQhixE5A6TOaUFwfqca9AZExarOBp886CTdtW9qQy&#10;gC+TDiHi0EsShQjeNZ8FnWIJ4sVLb7dYNFCa14/PtBzIiZ6BiK2xzDWUeQoSsI+3Onx4cI1B09WT&#10;aorf98LpI3kZjTtxxIy/e2mEM+nTsiv83j09ashgBEA+gethrTYkKSHdpD+dWPxldlX+4hNJRjOU&#10;CN7QOgFdAKNI9/q4PorRtzBd0FoTR+cYtRnHsqlHvKpjD69dH2JCGqtzpSRKFoDm3T0fkmJT+Ylp&#10;b8SA1EYV5h8GhrR4ai6O5T2TrUWZ2susFxiDkUC1+YPG1csGNgO8zAgMBY6L3rPGSHUCEjYBop4S&#10;DlVDwt+oOJ7D3OUWHtbRcCeAU7PawoJPpa2R7k73GjFHSE6KEhxUuqT2kh9NGZWoFN5MU5/34GyG&#10;Bg+REsAhzqUNxHYoiVBSWXsnQkvHJC0Ai6xIaks3vlzU1RevUxtvskRPBQVB3gnLDRSvgMJragUs&#10;3D2FzVnmR7o71qUXYdQuUbPx+NVr7XD5UY1EknBG68XfbRNngXESNiY5Uhq/NWjVHm+MXzdZKSdQ&#10;48FyVbGe58UFo3Znk8xjTBnqwZahRHssXwkaXzXh8Dr6B7zk4D1Gw+uXKnx4zbGQn439/i9HbtVD&#10;/mPFDFFovJ8Aknka/TKCwVIlxcsBZQKXbt13cbOslcOYCImnuA+sMkhSoe2uWDnCrmiDeyD8rFoj&#10;5ieW7zRyQkq73BH2EVyeFRrIQBttfBudSOZiH/A+vV9uOeqojL/2tEkMYG+bRGmfvQusg2JQRBfD&#10;Kpjv1efSKVCiOK5iiD8Z8cjqeTYPFyk63wRk92Fgp7eCQQo2C2VjXr6FlDTi/enSdarC+dKYDV4j&#10;ix0evHrQ1AiyAtdONxYAaO16BcSf5gV0l3w9BOPplH3+IUVhO/4ErXXH1wOniQ8OPpGCSTk8d69D&#10;IIZ1kbCzysFjduhgM0nyyOcM/19Ij8P3J07dexNzYlaWWny5nyt2ZHWNkvNeeJFkrACzPTNRRseS&#10;L3pJIA6YC44uwYkLyvRabinq1cHiST/g4cAphwBTT2ektMzRWg4kLDkteJ4W9o1aPT5nLpf0aFIn&#10;uoUXSD6jABc7mPcKkpLHl9dzxIaJ5eKLVxiG12FKehyHRtiD3EYGuXRJHUPm/fO5kp/0SegzP2Zs&#10;Up1o8QgriQyA5IIG4odT1R/L9GmwAMR5RdW4ZmtAgxVnTsKqgouf5MW5FCYN9TZdb4FNcwFTVbNZ&#10;HIJZgWhnWRTDN4Xjuhov+jPsQ8yotzCoat7fT586weZtO74Zg+N5sQ2gln+d/aU/ogLnfBIsc9A3&#10;q3u95Ruf+pdjK+sItVVpCTw4/eU0C7HvPlUkNIHHA9ozQAHF0zylv7L42qhCMnk1ssE3wd6o77ML&#10;MLNeYrRAGoNUOJ3+7Rhfl3uvmoA1kPlZB8qLOrR0ykO6hd5xZhW0fyd6QII/lBTI89Pz3okPBJw8&#10;o1MX+z45S1Ivvz+Jr4S4WEu7NI/KwATRc65I36eNxIRZOepylkknv8u1wEkooKRksGM41UQXm0qA&#10;2DHkJv78DKW3py+pgC3pZolHfR5XfIYhun5bOwDd6+twn5FM9wrEALPjBi1J2ech5A/4KH2Ytamc&#10;wBEs97SJIeeO+W+Z1ZpDqq+3vWpZofYDyKzvKegYVoiejrsdpC3kRlfxc+QnExGMhZzgBhnuX+hC&#10;0bdLszW7EBGbW2/KwTXm5YRloEegLyGf83qeiDcdkANjqZWB2JavpKWtTQECA3O6Xf6cfvkT7htU&#10;qq8h+hV5ZwzysJKj0aYZkBEXXaDot6Z3q2A8Qd3XGKhziqXIaUSziMvl8de+zwNQljA/SGPZORJt&#10;h4MemEPM3/Nr0lbT7KBZ0EMh5zLb0vzcAN2/ohnc4Hg3Z2bOh7yHxZfOhdlQaeVBhLP7PFbpWweF&#10;GHlU6hmc+z4sWIIifZOP2QwKiuL4BLF1Wczgk9IoLj0iaICburfvxbzPIRmlqbBHb3w2ba+++Pjl&#10;YtaO36XcAz5SWJD6by8xWlWTcT+vcIkx+CU0bH8f2r8FU8Riv6fSluOfsvTDo4i8EKHMqa8jrAuS&#10;tCQ6NR1JWY7smvF8UciPKjkqzlFnz4LDwuzP05/XxE6KdKK+AvU7xoxA6zEBqf/1K35svzAT52pl&#10;VQBM7pRPCK4ygj0SHWZjoBxh0MFgqTA3jOXYl9uWgJgJc2wlmBjmAacjp184g+9jpQQT0A04Cs3p&#10;35gtDdZz7GFsk4IX+v2i99YWsOrzTzfSEUlpRi33MRoqRyUOoM/H7wkqSDFgjTFpyRxqgnLYjpSF&#10;PkcV7KfPy2UNNwl51W2Sb0+Q6DCbIMsfJvDawOCLk6xK//qFHH7BFajyMHGBJr6/8xfk+MPzC1Ll&#10;LwhKr4aVLt8zMULHYpZD+YkOoBk92zTO7ztBI8/wmTdw0iuvkYsIhL6orRlLJSLkNCmyhmJJjLfO&#10;45GfT8v9/rE2/pWagOXGyH+hjG4exvhG1J/glJCcphj7hrNvFJQZKamhocLFLCiWNruCuFeCscZY&#10;gaxfy2deobxsIyYlYNaAKRgjjauX1L4p2oaWRPeMNZV+khT2jWp9OXML03iaq06LYNZDi9BEufij&#10;YSTyAe/tHY1IXtlQEO3XWU2g4k9UAHyOvz4pl9TFCnTpP3V1Ik5sA47KHdD1YYSuYYS+knqtLb/C&#10;bLRdOQ6l5Quk/cFrp/a+Ai81QoS5mH0gRvVIFLqhM3h7BHR1o4cFVIU4ihnTWk6GWZYGi/Iv8Yps&#10;uldkmWOs/AAKxliKQe1xcSEN7QJoloGK1o8ffGak2H3fOuyR8pDF0eBDkocIycYjzBzByA/fPWtl&#10;RtV4PrJW9YGYtBAjY/zjt38/1ZYc6NiVfJlVsYvypyjIsCGTQGSrAHzXMcO1U4hIBBLS0C5Uvkbq&#10;QPgMx6bkSSBTFKMIf5E6zKaRv4PspZwDsyEpR5jTP8/2k1RL42F8mxS6V5HtoE4CdoFaW0lJ33Zt&#10;pzKrYhUeEJuneBuRAz4dNj5lNS4rlasLLNtwYrPrtJxK4DCrFySMjEChruVKHWY/Ghk/I+U/UmpV&#10;EBR/jhj65y8tgh7tKvANO8MEA1tkqS/XTSuZvY8huWhOO8qRmZWhiU9fyz/JfCcStU03lo+c4zq1&#10;jfQgbYg/Rm2ZM/vazLpwIoF8J4ZJPX+YTAz6nasJAhSxU2YvjE5jq4KAExrnCBLJo6HWRN2uKaVW&#10;ZnvSsMAJTZFNXEBmY0jv1EKYjWKDwgOkAk+ovWGmryqFGO/7pRt0c36Xnu2SxyIB1ZZkKWfl7NUw&#10;fq/zrTgj/ZEWoFb9Q4r2+o4UUrhQ0H8Ota+fUmJ2JpKUYlNHZiXJ1/afPqMLRw+zkS1k5GW3o9io&#10;XQtlLGx/2+Ppi+8hxljOUbOu1763SiCHt0U4wWGXReT89CCziQeWtEOCt4L/zue9mr1FAmBVCjQ0&#10;PgQBJ4tZPShvs5d06qMkVcDBp1pNB/4UJyL5dJxhFjl/P31xrGiEz7i95VEsZM3rpy4KQC29b7LQ&#10;VCP2jkUDz/MeOjn55RgNE+Xso0wlnbbIPSaBQxu+MrS/8BBPhhKHp9IqWyt/xs1h7Ik/kAZx0h3d&#10;lHj7IRRmuB+waQ4euwFMY8VK5Yfop4rVltMVVTCuaqcwbQ12DIorgRQRG6RP3kZY2v+d97xRk58v&#10;LXXzfvzP2rWsxU4mPlWkasJ1wJM2nOFsyZ9ng4Fha7CRFn9qWBmXOBQUb8KN3tHUHwX6XaWLA0AL&#10;ikd2YOFx8IQdlaKAMm54AkKa52Am8tQMgiH2FiyJ/bBlplpsQDgTO+Tm1UAzhqWl5iO1yClFCC9I&#10;+fPM1pAIjnoTPVP3wLlSrfW44ccX5dmo4XD8vUjCSQLs98zgHxwiYkplzevf6Kx3gJYta78PYs9/&#10;57N7oBSlKYd5R/OsgMLZd9tgPYmIMwYwRtf4O6VN3jlJVTDk5+M10bSJiftqbolLuPNIPZIhK9nY&#10;QPvywUF8zXkD43XN8VmF2KiTZGeEzyG0E4h2A1isrqFEnH0hegrvgqVn0rNm2dCcF8bHaFVFfRyY&#10;O7EMp8lSAPDNa8KnCsDw6kRp489s89+33k+9RyrgU/OMMFs12MIiOj8nNFBHETRF6GKgp1wOy5aK&#10;KHZkgSUYv5rLu4BLe39bIWfBOP2KwwyzYlH5mfqEGU52EGDGxLvybnwIbBWAf8yRqshAiu4/zNoD&#10;JCHURiHD/MQw/eX0CR5/xERHsR3xBxLSl2OfKUb2RuVQPlG5L3qntOFm0IvoIer0BIhDq2pkSbHK&#10;zxhChNauCCGj5ZsRwLKF4KQkOZIdd0CkWBajxBwlLNu/84zHsaR+8oEHyVJ8d5widmDAJZvx4grn&#10;6Uq9dhTasGtNTB0lslnGsCEgZz8lqkMOZ4ZkBqSbzFoS6OXjGAKy91gUg5QZfgYPGfEmxzd2x0hH&#10;nwBHod7+MY4c4zEjLj/CFdaI5zGQpTYH0M5nVoKvp+/5EadWSKZhywHWfC/L0TYjhAA/6QG6eRFz&#10;MF7UGv0hipLNZTnRKqDgkF8Uabo1SVOKM1NM8wd9ONhGohx5D4+d+MshnVD26sfYkRijMPtN7pCc&#10;XXhGKAz++DzCKydRU6fXnKe0VvwZbUopZ9gr+Lq07Sz7g6Ftj4z4HJelZaVH+4hC5FKRRrbIrryj&#10;mPN5BN5rCHo0Oh+Z5TQTpNN4TU7SaJIsviBCT/wushwBsSxA7KnYX+JvQ43d86T+llmaIOrZ9inI&#10;zem3FspJc88YNoLUNPXTBOIJ2xK6MMBsSMXwOIkZG0oucm+bnVmwhMPvpx+EsIiZSpokWwoEe6eR&#10;xtZ6jfCzV86NZFmSIaLgTVkp8fyWbgmamkxe+4xNl+WQmSNDHy0UTnulA9RLjWxMGiF5spmTNGoW&#10;q0hbY9X/xNyWO7Pn4ZDBxgSjj89UDLMbCRlFjwyDAgzFE+1ec+wv83VaqbGX6Y/RTfwkb+pHkYiP&#10;Ebtj7BGm5AiVAXFk5auc9VrLu/KnO9jIcJnlyOVbSa2fePToJvrGLIvjYXaq0arPd6dIZp2Rtxb8&#10;l2QtLYkkOgh4IkN30mqFjbUTCpODCpxn+ZMTW/laAs84ZKSYVfzzu8+9xhvhCUnEsKVi9R7f99DY&#10;8ig72suD72IEKs4e3T9KAad488vfzCLTb+sN4DLrqljxARmgB9UftBQsdAS7tGsapyUaw9h7YQKE&#10;1XLOZBAaVUZiT8Crp03w4YNaxkn7UpKT7O6eO7pdEhN1qI95XWy13yrKcsWAU9pszCKrkClhLwdm&#10;XfGW2U1pjpKimst4Kd9gWvtIbeyE82+yGGTIuW8mtEP7WwQKxeYtYgEcI7EXelE1h0EVSAfHhniV&#10;qamnV36XQfk89RXSMwQHWlJeVwI6em3M0lWD02a+dTehzEpdmd1mUH1Io2tWDIyv+32e6RKd1I/4&#10;QquXyg+mcREBfdPdktA78S6vF4/VagPhYJt4aMeZ1gprKlNR5yJr3l9vEz4WKZ7Z7IysIB+cfG7M&#10;chDnRgb3+blNgOmDNovZx9lEiVv5Pb4UtEaJslPfi2nFGqOZf6Nx2Fs3fdDqNx0Qh4ZHRdN2urRB&#10;JAE2cNYoFQ9lck6PTwjHwtC5fH9+zOTArPPgk2RjYjTdmMV8Y++0uiYXStn/kLLvhVvMtqVMSlr0&#10;JqQxrogJJQIJ9yBXC1CLBi4QBHasB2wBmmiK9LL111GJXEMRNGEAnIa4tI94KFMUHBHIgykUWeJZ&#10;tlOBuR0kNV4zRWBV5cYsJEUntPo22yWyF2Zr1Buz8yNum2KTi1yi2LpmTv9XldxHsSGI4H2/2yTi&#10;1UWSjw/PIScB7N9YBg56F18SqOXDoxvR+3rMjdne6u0ono+Tr8DhB3KHJbCXMUj3Swl9ixMAj7nr&#10;ZYljY/Y5z1FsoXgNYJ9JJRzha8Out6TlxuqQOLym1atvQK6Et026POgAUIIUUK8/qx6wB+Uept3X&#10;mLueB8m9ytKjXiajti5bZksezMZ6wb419Ca4lOU3VQhHfzF7m5YrFLeU7hpiWc4BI3tnjwr4vck4&#10;F14B8Z/z4vu8+SJPIAL0kQB4yF08iMtX4QZ0HDBxJAPnrtSjqOCWmhlFnnAGmt3Gpy1E2AxJRaI1&#10;3UO0DR/fMMuIDVcbsxrMnjx5og6kAcrqe9TCl4TCD1r7n9XjS0IE43200SgVUTDhp0/TuBXCEg5r&#10;+3clpFZXdDoVzKdU0SZwMsw9mpKITrkeLhHlo8x2nNGJORHjVQAxY0ZsJreYJQiRY6/kqWQwlha1&#10;uWxIztMKAAN4x9ce0dKKStSRQWmtfiXiTkrPVlIC1rYa8+mx1CSBBlTK7FNwnFSq1+1NEouEqnzA&#10;ErjXOGFabDSqAKJZRqxpwnq+OwWKPiAZ2oNdNpdVA+eG4xAQO7VVwVYJMDUEKvyS6dzEftGbOOeQ&#10;g/i+0ocua42HParmfA2UTZ8w+zCLS72aJI7ow2Hog1kLIgW5FsdmVdEsJV3HPA+zl4nOGS1NY58W&#10;Lft3vNPHPrEy0v2w7q4WbJWzmB2H+b7xHlVL70q25sHcFyzWx1yCb3MIZaB7Qz5N8ktA4eHFF7NP&#10;2NuZhRsLlhTCAR/1vJea0Bh1JAgMR42M6SY5Kosh21FiCMG5MJnHpVNRZQjlHwgmaiNGvvvs9yN0&#10;QnZ1nzuMU5+6DChvAZUibmwINxoKLb87+XII0fM1jVSB9Uu4IYGP3uCZy0aIv3rubY6LI2aeNGaG&#10;iC8qkCWxLPdoZPm94RadzF3lBZqUXoexXZgm7vfpvN8VaI61szI1zEtndXyd32CTWsVNk1kHUMVg&#10;DzoFZwyUsg+5ndd6sMfbxHzhI8wq32C1j00y5DhYGGtd1G8ZLpt+3k6NoMNPMLmMGiMUNpeth1OT&#10;C0zetZt6n99grFhCi9KuE7eWWh1X7DKjhzDsubczK5Br13vRH9hzmzHuzQCW0CN3eKsk9V9mJzhs&#10;8s/3BKFbOvrWpdkOixuPhiIyvuzcp3ftsxvxhBWgJkM7W0HD13LhISU5/ihJzXuqaYeIpPztOlrR&#10;RTaUAUKjgNGvb177hDaFucmRqoc8eMChvTOwg+UHsWxGi2o2J5T6RaG0Iq8PpC3mUjF1LbySBugl&#10;SbCXgGFX30sSkE6xe+xjU0DUopn3hXXUhwHQ2daAELQT4DwOMh97zvFFNojRfFpJv48wS+ug/+g0&#10;TBWkaCfFkxqzLu/mDrNkBsWfKtjzC0F7CgkhuP7ZqjFw7x9HmNpyHgDI8G1FCQfyGE62bGvsQjdj&#10;MXi58UUGnbiy/o0+NCZhRucAHAzjz+woIIr55Ask3ZdrtwR2WIpIvDudr9Ipc76wJ0Q6tFjL7Gxf&#10;zMLeuV0D+3b13X3LWPYYuETisX7N4z5/5neuLEEpk34MXoeRa9r7QPVvf0UjwTgB7UMWz21YR+Ag&#10;ZL5XzFQQy3zbg8XFCKI+rNFJBFxhMJnKMBuTSpu5sz7siX3OfN6CL8Xr3iQWIzWYsQvtXAisgUdn&#10;XXONRmp/Gg0BDJRGEYsanjyUm0ue2rmFUR/3/jhPiNs+0gU8rxFY5eMT1kAJ7X1L0TCbB0PCiGcU&#10;4lImtz41ILMII95FDYWLWVZkns9Z9gJnxJPvzwtCuaSVNTXwlHJg1/V+YUsuUVSeYhCdJw1PKUlv&#10;fxPZt5T5Mhva2ORamfU3RGboxCrG4Pv59JrXCvr8gwKUbvDlV8ns225xZNH4bInMQplKKbOh2obb&#10;iixnNQtbZDZIcMuG6reriuF9BB35+PvfQEeLuXeV8mDocXrShSc81cPpl+xJrE8xROk7/TRCZvgh&#10;rnRaaHSGH2MZvNuEcVrZ69R9wJtx+ZYEgwjGmVGsCVmq2xM6hGRKqKSNX9QNqkYmmr2evDIS50ic&#10;5H8XZsON7Gzv60YWvkbKsyahUoo9M/ILCnrwuSmoQgP2SkYxUc6hAeMtR6RUIIEU4g+EpE0nGYZG&#10;IDpEuvlA9TDLSDDroRUJKnljqu0YSGZx0uHSr25I2LXxghN/c10w/NPhntHeRb8GIkDO+sqJPGMn&#10;mtDdWsWCU22KdXBfhBV5vJeAeSisxmIvVeSEaprFHOODlLosGZhRhWa5PDHv52ii45QqfoSILrB+&#10;QLO91vE9gyLPQeVolRDi1rntGvLFPuGJ5g6Uly2UrmzXABz6JBRVMuvr25VFH1OTcLSlYkEQWvSS&#10;eRdEOG5QjdEAHFhlEhqvh2NOkzm9zyQTm4bw9LHe1EJmVelrQldeSpIo9wJHibuwZ84CNTCrhCjj&#10;HDUw2rylr8xmzv90OoMShtYGYT0jAvIVhVKkID7OE5tT62HitX/QfJ+rL30NfVPFUWwHVE3j5R24&#10;WV6asOgp7mC1BGgcVCD6BczyGXpjmb8RiyhlT6rLbGwmfeiLUvNzEotZcfJFS30nFVAQgtL4Npr2&#10;AbTXIAva1uo4Z4PR+ok6xiHS9TVVz43gbZleeeqYLyc1OiQYQ3RcFoKf847Tvh2+nQwBfMmownrN&#10;o92t4oAB74kTnDCszPf3KKgiWfcckuFq3pbTZ+Bvcm3Jc2QWtbmLGD/KDBe9Eh0VxAo981he+Bah&#10;BGrZjPPqiJG7DWNlgid6Ygjn3DjcKFl6MSn0wdnFteWIGqx+ZUjgVfto4Iy2tMPkcbVybNKXB8hS&#10;Z4PUzOaeE5C+GpVTrMXEtcQUP4p8Akqfth8TkhYtGdHfB81reGihJnSqVKgFj9vWE+cTvyTQO5sS&#10;ZaIHcLlZbhdD5JJRksXVTOviQ34aGaEJlXJGcUbMXJHwk5R0gnEolkZkRxed+/UqEckU66tJXkar&#10;UgVfp8KY82trM+NHd/TOtQEftIdY+H2K9Pp7Op0uRy4gjZIMWibFI8vKgzVoIpovGosnrkY7s3n7&#10;ch62rlgUnVRjAMORwxmMMxy+5neUHqt6ry1nDJGHlvwkiJpcz5QKjqDAkzY2N2hr55y8tNsWaAI+&#10;+2x0O5eRGI/KHwVTYBSpBOZXhyjWadovlm0Zpr3LPC9maWstkEZlj2Ejdyt10/sESNlTBoYA4KdK&#10;RXYeB6v79wk46klea+41K4SZ5SnQG8Pisnl3ND188r3TJh5pm1C43gymDk0EaVy5wOdTLSPeU1Ns&#10;Am7LbUWlXCI7QcUSNcCZomQf4sIAGoTmLO9gTF/o9fH+nBlaR8BOeiHS192o2PA6zJEnR120jOWV&#10;lDb3CX+qQnKi4mPkWgvNKx0ApJEXN1CEoCmjYL0DLhvtKRgJ3eVaF8Do4WyJXHXiT1ZZBDPBped2&#10;a2CCsW9h1I6ybMgv2AGcafR1PVvx34WQU0l4rbfYL6J3OSDWySS1AGOuv6FSqhKVnirXAJNzmtJL&#10;WYmzSY9xNjE7oRmgI4pTdzKddztp+/lOnABsn1fuVM4ooHJnzMo2wYsKiPKHZpL/LIdPjT8wQ9Mc&#10;//EX+RgCxYZXkNGtO1wUE+KMcsujdIaLmSIoDU9KTfoiBECsbSke37nD19e8168rubQa/8fvzv01&#10;TDeWEtfA20C1mBVixWEWZhiJYw2glSaZmgjSdiGcEcbAtVV7g9NOHOcBz++SDq8giwWoO4oju75m&#10;ryFWHrUs37ZvPMvKSfosF0jGhrT0yrshzCGRP0H9eVw2DUQGSx801BJlYX8lc4YuDEa5IEMBA2dE&#10;Gn2TIpMBL52gD1yhy4Zh1o5yCU6/EIlM20Dq4DU0fkRMoK+6+llSQgP2qTXm7Y7w8Q33iSm2yuf2&#10;V8t4K2LMzQSM+1GXzYsEbBGTPpujfdEy2q9S3gYSYkGd9Jie6/+3uTXARlYiboppgEoSs+0Wa/TH&#10;NxgY67Fntl+0ZiZa1liZCXwFjFle7LdZ8lixpuQZqKtYWiKecZ8cD6/ZwUwBJaHCT/ozXvYQgTSQ&#10;5Z9r3TZ6mzrpBuZFkqqLI76iho9EemutRJfnrNMYXPuf+PSrOQWqDNr+Ev0rzWmpiaeZBg0OqINx&#10;hEJhrXisMO7SiZ5RaWxGInzZrbh2reyzaVB0ImagQRb8VtLH145Y+rAyNesibJukvU7JASjygZD4&#10;TDeIgLBfeXtpkI7sCXmuq9AMC+ck1RQ63/LFTGr3CNsoAVngpCuDdryZ6n1BSyJ+jCpvGikgmBj3&#10;MFLoineLKfToxBMvuYMc5XY3CL2hLmDPmvF6ZQoq0yRyvVoCG8d9VTAOjGxhhqbNgApUuTfyfHr1&#10;hTZwpXE8YXRX7tc4PMWIydeFyJm/xcLpmjutpz1/FTcDEFBXpPdnuafhPiZx2BWvb9DxXZbn2QYE&#10;YJvm+bj5MvkvwkhdhFVrrAllbGcn39YIAb6BSGZ95WAM+r3MdDmyIFVmG3dZAzdwzabyxPumErXi&#10;Zwh6RiVjeBFGvBjuU3TOMjHF4IoVWxxaC79vvD2BYqjklJBZtnIpKT8HoPElkGaAw0iQQ7I4I4nS&#10;729NBWAh04SUpaViy8/ihgmBuT14YTgL5wQBVhlUEehyXzVpq/aSlxC4Fu9bXzpgIkZ+53inYIKB&#10;wJlpF+XOnQWXMI7Y5DnaaPaQy/R5Ezwuw1dKE32ECQ7IcfxFL8imrJbRiTnLB2rTNj/U4SDbhrfK&#10;hLGfMszCWbYgIUw7SJr81OwdAFRPCFZ63ljxT7DNbLDRFHD/qbxuyV55iPzHwGB2+jp4Vu4sijm2&#10;lDaz9tHgCisho8QZ2NmaUf0FIQlxky4qeOciX0beb4bcV8O94+83/Ko8ql7ce4lE+crusosS6swI&#10;XvTgCf6xLX/IqNMOIyvbDaBD31wNA+Zhijy8AaToqzN9f2amYxk9zNJykqsVBlou2NxvvIVDR1Z8&#10;LkO1W8bRmRV3uwE4BrQHt0LPi7FZ/WphwWhkhkOYE1MMWecoC4nVuZS19tJ3xIDvrqoVR19Vrtsb&#10;xl8g59fdWQAUSIWF2rFRy/TFosYcrdqifoKxUdxBNLX+wUPM0tDkQni7hiqAN7NRmH2HtGQzjlN6&#10;vIe16oAxrT+4zPWsdnxfmbt008lp8RWxtsbT6CZGqciXYGjT6KqA9X7TMTOFTK8Iw68cTTxP3GpJ&#10;1o6IRW3E3KhmQFVQOv1Zpb7GLgBeZ6NOeQpD0VY2RZhsgAm3pLkSovNYsWUR3JoMJuZ0kfYDbGPF&#10;yTFS6Cnl5l+QR9GmO2lyJeZenTaqWOTAuhiDrjUYBMbNCwPB7esXQWVEckBVYOCls9g3B3Bi0FJJ&#10;KOSXdlbFZRPyMRH+vDQSUoPLJU4HtNkvLNQVTCGN5u1bimxisee+4SpMSoXqgbFksxPsrKbo8Yvx&#10;ERvV+RjKKoCaIN3Hgt4kzSHMC2kPqsH9Bgvu4gkprZkB2qN+ThJFS4/1rihIjpDsz1jysk/KaLNC&#10;r8PTZBN2sgIg80yiHOips03jRFpyhPegkS/ZoUqT1dUVoO8fA0kaTtaczoHuAQLBTk1m0QZNirC5&#10;WDG2BsYYoaeBhgJFSKBNpsT4WuaXKB2qCY+ibnOHBkeoK333yGWtCVb+29/A0yfGipVtlnaVUkYU&#10;YwzIcQAPAS//OS0lkg0/QFoGpsC4X61beOnUn48yRzMigy+LT3wPUAceM6UX99WfT7do6w4e+zPa&#10;1KmV3YhBDgsZpNKWrzX+kv9PNQ5fa3UHc8UzNhkenAuNvzNtIgpR3Sd6rAX5NsnGhgJrgrcom44Z&#10;060eavIbznTtjJcVen6KTOgvWpDMZmPmC81BQPnHL75hWrSQFZmO3N1iA22vs1SNOt4avnEouYwU&#10;hydpU1IXW89VWtf2kXdwh3q65OrvT4bUfzQfhTRGG3EFtlhMj2z7pkoOmXMkLVKMJyggcFVPxAbK&#10;kNCLPZ8unNXd6PniWZgNS32JQLgKC44SSoGoOzCh4J0qQrHLisGK3PlbapIW0ebSjBEly4SfOB+h&#10;iSUTBZigQppIOAQLc7tC13R+S4YmCVUI8J08gpt+GRa91CjA4EAigD3qfDu0gUg8vR8JTGnLPJsP&#10;xnWW9oAuhTX6cIVF8AGVfNWK48GimRSYnk+JdzGwsEPb/MYOJ16ym5UClKRD/dJfxIo/B9RbDjRF&#10;33uOnKIHsI832yf8CT9CEifJBEH9RHoBo2jcSwyixabSVD6LG3nEGN07CYxNC43YUUOv9oGe2pQK&#10;s2plsSmpZTb5kFOhv+Unm5UJRqeQBnfc4yV9bC6gxRhKTES5EH6zIIJTZ7MI0MJRyhev/tkul0X5&#10;xvDuMhkkJkroMlWYzQJD3DWtVTMbqgGFfHovdu13WfFqucITKIzMIJLOpCOM5m+Qy0njEyw/wfCb&#10;8JT5bLMjA5rfdjvHpuWEz3iMOTPCsz8SpdabzcELbRmfVkhrfv80dk0lzQIw2/dM0SqeO/LaYk6g&#10;oldcptJrA64Ygbk2BCMQwKygG1dy2MI7ysx6+KIESswQkuev8JQh2x4Aa/fhKPSSH3zR7OJ7PPFf&#10;bEiV2xihggnOzfpokpkHXP9QLUasIFs0+1Ljm0i960IROoRKEfboFEHQFbT2rRVTWtsWZvnCQBgo&#10;zVR51gCUxNE1vk55aJEpbqxmwlPQ45kpk/McOZxWSYSBSW9bur+NWOFLY+TLn9EKNd1tgxOCE9PN&#10;JeJDCLPd1T0fxpBZcc+9YZtprngh6IIG9STQTschbFPsssBYi9eglGSaGCmNYqgK45dlgjFUrnBg&#10;h9HsmnmcX3Ko1K/xaRARzV3YIl2XiNDhPEy9NjNXqGczBvYg6zGP+aKYF2XoPFC4j7UDNZ7qH1hL&#10;EqEKiCLtKmGg3xVbxmZ++k26z3i5HYYm/UkQTuxGm9v+NEHwRjowFyEt4dI3Do1IqIx3K4yPmENN&#10;Sg8nlluPUL/UZREiqTX1sdisOw2KDwgYCGHAq3adUfI4EIS0ZoYuqMPJ9jcr3jBobG3d40t2Cg2/&#10;9MuaRTqsZZkDPfQ/pMWvvyKbbUB5MD5VwEiCOCcDyO3R64QlBgWrLQ6hQjHRPDNappL5yQlova43&#10;7czOgwpRr4SkeM+dAIlqTmSE1Yop1KUGZokeXeTnq/lWoND7IfrXRI1M0bWKLXbpbVoUm0uZPB5N&#10;zCDhN+V8g6hm0MEC6Ql7L5IUUdSaOm/IyBZJL/ROMNWYsZdLE4UZOhAhj/gzdNxLSgcm95HsXCxT&#10;4DSEsUw7ZQ7r43PZl+1jj8ufJj7FfT1KmAD+bBOHlyYyfKS1D19s7jx9hW5LKh7XoPnJ6hqD4Nvg&#10;DRxKSjtMu+RYG2QajCUYCsaKd8n2HJm4IvswVDZbPXdRltib+6A67LRPTS1uBNhNHptvygiewFOW&#10;azQwoB+GLzZnM2MvBX2xNuUiDyeeqgN/nNz7YJLKXJ3+jWjRjwgKZT9AEIUlrXilWVrsmkc4hJr4&#10;miNB1gezodwR5+Q490DkFJAvpltLgMYn2jfUhgyAPrV83FUlcvJC4D3Y1UyRmjaR3n79GYWE4abG&#10;cSU94QLZTgRxSSx5XDsICsu7AcoRqUroKmiRkXZiwKCjB0wAB7rT2PhOBMn1yai92PX5u12UKWss&#10;dXrJAfBkx4s28xuSvSvDy8W+ln/NnWMSor0+3TlAF/VmPxyQoS7juSNAXdJ+MevnMTodL6gYLNCH&#10;ScyUpDKhP4aHlFtDINOIGdqfok49hfX+USzNjQwT5xok6AxhbR3dgZAGcuAi/qyniJm4nKHlotiQ&#10;xBUZ3ktm6VAFreLrjRcBLxVsqyCfMu5z5elfGBMIEArojoePrZ5uo4DdAlkVh3hIp8bfprqFvm/W&#10;c8yXai91EmRgGxX25y0plKWEiXj71wRC+pK8sghAm18lgeFfcCDvTppM9b0TO1KgRRZZIz0HXcTS&#10;y2W9i5Ew+wnUueq1QTouoD9C5nNJoA5e6pGp7hAaX8zA7xzFu/yzYYF4I6o0qk/Opn8u2CThlI3u&#10;UpBBxEyTUPyhL7QriNlZ00/48AbTStqIYAL1G1x503zTKhpNewDROCfZAWZ9Dsp3JB5hDwThCps3&#10;NYpfYkmxl6xuZCapQ/wjMbZey0fqc18JoqrExZvmjH67GSOCgjfsDGS5WRGLR/N6w6/GdViYG0np&#10;aOgddFCUmwWVYV00vsXpvuQhkfaRFMtfnB2foPVXsouB1TDAMghbBUt4dKB+Ohz2oXvUUL9J3keU&#10;Rp1maQNXX8arTAUx9nWgTTWgIwBls5muNqjbuHAoC/AaG/zq7GL+MvkMXXMbMyX+0CeQuy+DLRcf&#10;ga/6qyhiBx4wNxumBpCMNjZAM+Xc+QHoD7blx8vMg5J0KtqEw7MiIYdeVy0jJdVpKynvRoGD0iNa&#10;VrHPWg66ez/6o0yXAIfnuW+ILskMs1QM7hhInIum7xsFUvEINhgGl5GthFne/R1oMp4FAQBNzoYF&#10;U48EhMhYAtQiMqdcN8kmvvznpsCkjXGYbNlARX6ko1cBEKjYQuQ1J0pF5C5fQSMlIgK3cuD0axAn&#10;V8rso2LnF8WCkPGzoCq/QFyWOOKd17cUVajio1ysdkjLXhwN5YlbBTybgqc6jyNmru2tBh7FcBJs&#10;QPatlPTaIhXgybZj8DJ4bVuEHzQyzzhWQr/12JdsFOQnyZ6k/slA1kiIqIl4lCUDLpoEY+LNHZpq&#10;BtCfS/dmRugBswm9rfmLdcus/YG8Z0ua9l9WCXnKmZaB/gRgWdFy4nb278UZVpSsfTksibosA9SK&#10;oTe3UqZ50FgsN5GNik2ptuMqaggLIkX9lE9/sr1lE4zzmL6/VJdyKuiaaT5Fvk0i2zQhF6TZw6Kq&#10;zw9Y0K4CLkdH948Cz3pMLKsrTI7oYpmPE3hfSla03VGUk0el5Ayz+XfypEQ5tzBA/huicxMFfUSZ&#10;eynslgDgvkG10c9IIcgbjCmkbT22zgURCCRPH1HnMgGjoQYr0YclG1ronhe5SjegbdpIzWh0APpy&#10;rCDN0FGOtV7UjXKNJlRlImS83D8lCQqk+1tS8eCp80RwehjFJpV/Mgw7zB0esBkxZZkOwkMKHean&#10;2LDD6qI5iiKmXflHVT46I8U5LxZNyXb+ZhsDM4wIED4E+ART4F3N2UgrdTQSOb1OH8GvSvyBnslB&#10;4rI6hKbuUPXYdMxbwxoOssn9jj+MhMJE0T+xGn+yOptwmi8W62em52GW4TJWKBE6wSlAxkqJ8r/u&#10;74pWg66AshlKzOT06l1f7RHJoAsVmwJjUFl0LNrTwrvHE3n4+xLlUkejbGzpsjafrSPYsjCDxlE4&#10;dXSiZ+4KzYUOeDHGRVPy6FAMj+TzVlrrt+sKyTEJD5YHHLxyXVes7zCRPzePhulq2kXB6Sej4bOc&#10;+l5woJNPLMvbOASWT5kHHYuD1zUqRLnh3cS4xDUSpVcKpXtWZSLLAhSroTgrpjskkGSzIn6B0jpO&#10;Fvf0oIomCUPnD+pJTJnMb0exhoQWi2YSquQT/hzw66QnidN9JDhC+eHV6orVsSCKw4yybFdfkzlI&#10;E7udKPfnpl1NRneZkDKqDSuj3qgeA03YIl2OBOj/G0pKTpjVRCpsIwDD/yn3juQDrWXWfhlc8Kd6&#10;J68Sd3b2Ael3pi8jFLwQBzJ7XacdyCAChULmbzNAyJNX0wRQhPgs0XHHjFn7MBLHiJVIQnIyPBag&#10;CMn+vcxTA02f6JsUmyHg5SW/WZaLCi9gzm8i2kZ25iGGbGH7A1dllk58WgEYCJNpdVg9kwALQeJw&#10;4QPpyOP0AcYSq9yYohuN8/wt4zrxeYFXmbixce8tJyR58P+AAcUwm0bmRrYYsdRljRNNMUDv7R/T&#10;i8HEjkKIisWzIydr7pwCqI2dZ0mgMT3VBuMMHpM3gh5vzWBC9uTrsi7EPLXxnTxqMrlrwJKfXmuw&#10;cTdAlYy/AwMFd51Vuz0AJiQLpmQyecDCuwqzMcgpdaEhy9McBKWBORquEVMG3c8K6EV1OUPFQv+p&#10;gTieT3bmnv2QT8mE6Rcf3sEeySKC342fhjsa8o04Mz6tvMjqGF+bSLsBh0hllnYfKyEFmPew3T9d&#10;OWmMRNVrHJWIDklxrqS8iyUtaBmxRHRprXey9vwSursNYifY13jAoD1MdM6vU4JWbBz5oCVgqosN&#10;gDdNtIccJ+/mm+nDqU3ssaCMgWB8Tu+bccLtbmTgrgwcyCxyLboM9ew49x98o3KeSAfkGE50ko9y&#10;AsUJLnk8Nd6UnKArXIlPRmGRP6+cS2tjxJx+g6zIUDQ0jDVhLdjvQ2awH049lTIYac0nI9MWzKZu&#10;VoMLofEJEiBymNubKP9obmAIUCVY7RkVo2qZlZOJ1/x5o40vRrz12WrDRScBL0M3Rj6hMYyJz6xl&#10;0kJvWoL1J6YFkN0ayIKD3pYpV28lpMQ5ADRFcBEBKa4XWJNehy4EDFnuToIG9FGslNpNu6xE05DP&#10;GYNWKLW/HGqKnXXiTxAWKQM3v9Amsiv67f70+nr1WYEmhsVE0TjNTWQ8c/MC1JrbrZwjwIxFdbdg&#10;IGO7i2cEARH5+Uvx/q5BJY1EeRJGT3AbnSJ6PUfLTkBmSFRmRPTCHV+2pkazYWzIH5cVn05f26Ae&#10;NUGJVwLjGhgRxkc3xgcR0v2G8/vTbcB1OhGU6EJgnq0+jdXbGzOYVfIvPwlPfkv32nodOhj/bHks&#10;lz4JaKrmOkyBMqQjo35nbtKkaI/BU+KqIPdxxyO22/TislkcF5/yEsez0st9KPz/kCWAWBFIB0i0&#10;M/z+9h219IvupZYRIcl1qL8pTCORK8fwPw6T8OSXusnjf8IIgsH8QdVMK1/AY3Golak/Ehx4qBvz&#10;DRIZYxAczeAAGkJyUhnY4NPx5acWAHQi1M/5jCrfiYah6/lqBeOIBpUPn1AftV4ZqgHIqtx9Ok6F&#10;QJ3bzrEV74DunjUAwoQnK2b+mJlCOWTC8mlVM6XYtvR43byqEPIz7cJINAS9j1RgWVsyF9VlOSvR&#10;NukMoHcDYHOQf8QU+0+ekzzOldFLJxg1lO+uGnIveJyHMfAm3+amlqnMegc0ceqZYcO9i9ZqqdGD&#10;eNRK+PLHmudKEN+Uy0/Wc+VJ+GdE9EUFm6ao56d8RqUqMl9e903LeEDTpykg4ZY0M2OGIeWKaINY&#10;jKSPHm6D5uFe1y7zxQoDukzipJG26m/ICv+0ASjRlWMw9zWp5c3I9V5i3mv1ANR1F89IiThrQ+CC&#10;MqX0u0aUsHIuRrkEg/hozWfmPUagfUepHI1jsuPTlszVF5mF3oxAM7iPAUiZ36fHSEYi8/ZKxoJP&#10;g5WS4UwhL8PL6AHQnLfLJF2T6T6p4jAbot7kDiBpyrGAtURv67NG4e6xUy6mV9vLc1BxUin2y2Xh&#10;0qPJYbfa4nvaQWkzKWoQCmNQ73c2qWyGRQd7F/r2P125qYIF0xA6dDR6Z4OlVgptngQYtSm0Xl+9&#10;Z/cRIOYR9A1PzPghzgqw1ojnZtT4+bX69v2PXqWS0pkis5XlE9IMdKu4pZG/nwR9E7wkKP63nR0y&#10;9VV70B3j0GUZMfiITxOgcdbk+RFkX28MXvyv0SnDFrqdFkBxnFDB/y1UrJrnmPKHIT/l8G0S54xS&#10;LWnEiVAK1lAR53IHnPHdKcBi5YWC7MiEKMWVqAg7dxVd68Knb8bJeBlXwySs6RuuQ0me1DZVkZZY&#10;E8582aN2JQajUwQlhOxCbvzQOSEhuFclZS5RIL2CdvYKyc6AEUhi3ekFPv+xGb0xQB1WrgmelaND&#10;aEi07lSAEBJeMk4j6B8Po4lYaV60gvV2gIx7myuE9snr/7LhM/SQJ5++18jSFFKQY40U2Gad8P+7&#10;pjl1UQ4VwZav97HI5Ikx9/fFlhaAQhkd6GUM4s/C8//Fu3Hto/CzvKsJwvBH0CgvZWQiHnSiyItX&#10;YmXSEaRxbQ6RYI4Tl/MYvBV8E/IMJEBsgJIHOpT7je6Aa4c4Z6NkrD4VlLmzqHbCVUVgfoV8Eut0&#10;P4CvmfzO72iEqtCfzxtTFkODfZt7VpFEQNmkANWdjDlgUHzD5i84N4fjD42WVNrXlOubzCr/SAGz&#10;QHBNMbrXwCkV6UuXbgUXGPUxhpehrC9T2pRxCvJy/9V0stW17NBIgq2I8JJUODOpquJy9RFcZMZ8&#10;giT3BQt5mYRqEBWHxq9asXcg5zo1rChUsJcei3JMOiY7moc1IFcKctt3d0IWa9MgE2b3MkAfybgY&#10;dwKzT8KYSUHQZH+ePeEysuYsGLSTyj76zODK7Udj6AMJeyXnnkxMZPLC+HR6KRksqPE2NHuV2Cdm&#10;VKhC4CAEeRBNzD0iW0UegpKU3h02im1zIAF7AAo+OspW26k0yzBXg1Fsxg5/uhy4cyWPrtnUSGDW&#10;uvV1HbZ7t9AVbODIlENh7uMOeEA7hHIdwRizKwljUohJ1vGzuSO11WyCerBAk5wbjWiXIlstxW4j&#10;dY+/IOuI96MuYIM168CVk6/WMGu+kJ2jw/F7+6g+vnDBKLhndIMefDiDOOsNSRsQ3DXi6NNmNXGo&#10;gQYOfKO2DyW1cobORbD0oLXmIOvMlwlG2Q+PYncjjn8MwKdXDrKQ91njIgbilnyjRbvbpKFTUAw9&#10;1pkNIO06DpvJAzWvLWroxEhiHvQNqUJ6edmOTrZLhcy/D7MgKddHZj2ahrNWsf3yWoFh2r+wntgD&#10;qHnAem5DrPaU0A0GfCpmS3n2nlTUNktHWqHd+zEVQyrglVP3FnFqbJQRVXa6kY52bpg7bgFa+EGR&#10;uoz5AW6IdKlHCPscut4w62GOgOQknMVrAQJMFkEHI660C50lktVnW25NSVDUW11RbF3JXh1v3CD4&#10;vO8HAtIE4qFXJmOdkUAXzE2JZ9Ivz8CHXBbWtHqrmUEQ8SDEuVamcURjQVIhhb8cAZEkRL0vs6/W&#10;8P95N2K9dwGFj9i+F0YbIIMWgLAcUjFvRHDXZjNijpufSgEkhY+SZh3tUA7xZeSaF/BVUj4UPqAZ&#10;uCh2ReAFpZZi1vTKIUacAwX3N7PhLsjFkImWJA3x/uu6wLNCmgRA5cX+eUs/M0AuqwJmvzmicjTB&#10;aflrpl2afS8RJFUIebWLbqBp0wbsg8/4NxQMH4D26osws67dsf+8o6aKxSwyeJidxHHWi8k5Gks/&#10;+Lh+lvW554GS+kNgLWjoZNyCaLj8RrqzG7hCyAFal3IA+x4yzbSjcmKglye3exnqsB3LZQbFxUfH&#10;p5lXPtoIoK97dz/hM29YoV10RUtfKZAj/b0iDbP1AgMJusy+Uzl59MksK2MQuVkqLQNpEUBW76uU&#10;64p1FrGOmyOZTkWkHFOZGiMlUv/giHwI/qhoyJJA9yO2x+JpsCxhtpZRjMn/nRy4V0jDWimn59M/&#10;Uaz6tDA3/m9ZvcGVgR5ktvn9i7/WIDwoNUt2bvdMEVaaEtAszVd0ok/9GkkMs4yMSiR47ev7qJ+S&#10;qsIh2mxeqiI+GsHiCM/4VKFOBp3NZoMYbbJnirvXlehJtxy4y2thXniwXCWEQbR3x4FN7A/JKAET&#10;rixcPzdPRhl7eKJ7FdprrCUVoE9TrIPtfzTgelW/rqzhUwuG2Y3gCMU748dMjUeGJ9smPqkIpakI&#10;FF2k6CJZ/Y0QajkcNEqoT79z5XKE9Gwm5hyW05J7vWZu54JMl/4GH+jI6doCgNG+iRSxZpxkdgCF&#10;ORiLC8T8cLTlJpRU1G30JQ6lk1VALLAhJ483AYt8pWkefPoQ3u9cOxDQICTr1hRmxzYAs0rmNg8U&#10;jKs/Ki9EdJ9kK/RCQCUZilLE8RMxGfvP8AJSTSu8IApWxpZTWO1HCYUHwyIS6faGDHmNAMgL7Mfw&#10;VIW64qhoRnjLGyPNHCTYMF62xW/u/Lw1tQDuttbUW3Ltlctx9WvvPFCMz+qSXqKfDQywRtyl+3/5&#10;1dht5wlEcVh4rSWu3EksaVHjCChjT9MkbM62IiGfgb3Kb2VMhKFJOhR/0UzmFOo7//SmEjdoMx17&#10;3wEsfiwVxSvUdAn4PkCQkg+/ZJYBotjZCT6PM56X2SqX/s6N1QI9Ih55TVdlbAVNS2QYyPxFXXlN&#10;NqHDIuzoATAu5vYNHZbj99kLcGHYO09GlIDhKse5jedBI9ZAwf07FmjVXBYONMw/5X7y8kMlcZvB&#10;oufJeseuvOAeXYuHY38rLvUxraT9dugM2MRuN+KYU+4fgI/yXMHZDSW1BC31YdDYGtS9cgwCStc6&#10;ctml6WfJUv9nI142x+Ky8N0BK8TIJHcJOhVhc0hQmXvdtuQSpxuMYbYj0CALA6XFAB/x2gFqlFtm&#10;qjCUlXnnz9ybXn2MgcgfkHwomL+uzfHcp/ATQ10R03Oa0XGtI6k0jCckZKjcCZLrdQhYPvKQf5cb&#10;3hQEZFyb0c37yTkEjRsq3pwh0COToIpc4mRgiowHEPzkb1EE6LD0OnEo7cJiUQTlYxW7LDZNLMJc&#10;WhYyCRtaVzJktxm0TbdWg0gvjbA04ipFS302AUB4FMq901Qwdj+nKyPM3N1yZcIo8P8umrUqqqo0&#10;lVOLFHit2LgRDduAgVRcM5CosKYri51II9q8IRRIC5tTFfk/FaVMw6CtDDRQm+f4aQYF4zCxH/6M&#10;k5Wge6i5mSMCsqmKm/m67uHbeExU0LL7x0m6XRsjuTgffVVXKGUtm9ZA9pNCIB+d5PquTqBP+YaA&#10;mf6hrDe5ZcgGzQ2iqgiRNhEDvE7yrI1CBaJtEN7WO6GDYXNafB+QT9Y+4TXpVbRmXYSQ2BXWiXKW&#10;jxUzHJqt5B9BkrcoMJQveAsEX0Tknlca5kelgc64lUoDZynwqLa6zLfgBFCnQ0dWMTi859VpRCfY&#10;pwB04KI4e95bcGowqVK85uAmI2HHQu/uGbeVftoQtp4bbzFkGbWOw7tJLVSPomkEPPcCF5B9MYIO&#10;uEWaMhrkO03L/0QnpFU/kKokrgeIbjIYFiEmtQlJdJIkS1JgO2cfERU7UIvLmeLywsgsEjgyp33s&#10;JVrf/mXYysbw6TrpBni/ZFrAjRw/j+woReraP13HKxn6o2aRy8lVKN/dnMoUOxMr45SocDlzYoEq&#10;xQBmmORbaYC7qgrhNMZvGYHEHkUEkYXxnJLVsYS8OKrM4lKuXoMAHsBo2LokwXzKbY5Ugo9TOojC&#10;zl5wqPjRZKgCxMfpH7vOfJ0fKriatwrXzMoiZLUuMfNproYH6Bh6Y1vwVM33VnwFkXmEFNugwGd/&#10;UiO8elUPZDlN6wAkJbED9PFIKxXaMjMKJwjAwPtB+TE8VizmeL9jOe8uWwObEKvGAJzFqYvF7Vcq&#10;gVCvyPJoYV/gHxl/OBqxsjTnSCxj2REf+TBz1kUGmf5NKqAOwTG+i4/wGsG5UmkcKHxhWBpbCA7v&#10;93jqJaDsEVIBHpD8gk9XFpT6qh+DNx19kMtMA/3Z8jrrasHMmx5/bESrlPUu+wLNXqtYldVAHKKY&#10;gKOSwC/kbR7K+IqsTK6fSPLqs0+fueIxsodjhSxNj82LF1sBimk2N2xAmBMH2PXRAjUQo6HnlS/R&#10;m+KVGTq7ie0SkW4UoMBkvYAxkF61IH8FhpPmHQE8wHfNOC5dZ9KRvMNaWrrABg+1lqf5XreZePkb&#10;rElyGYZvChi3vPqJHMQ7JBmMxwIBkGjoRLNVHQXmbmQfpeFEIZ21YmdRDqN2OQ1RlOwTj+h6Q7Kq&#10;93cTZ5if88udVaxYUhF3JN+nfCDPmnlbU85eJgtac/BcwXJXIfuf76x3zUkhDhOJZMAVnapg0ylH&#10;g3PsZb+nBECBopDZBGADw4MO6AjSBib+VC5IaCrFgPmqllWLY2C/h1l/YpyC7CgnUGaNH169LLMJ&#10;GiU7btwlU2BrekptmLAevAYbw8PSa10ic3hFhF6T0DBjltlMihj9bB0KWB7GBfrcLln7thZl2Oqd&#10;MwkxQmm3pJRAv5S+dEV5phfMJqoCJB7/Xv2irYpFDll8hlczTEkIClyRfkSnMNXHa4D56auxmfAa&#10;5T1pdWCks7zq5blgtKJTrsmFbgudd8TOwEMxQB1C40D/4MQaGdZ4ONb3zY76I1foMlEXAKXS6W1R&#10;BE3v81rMnn2XsL/95AlILA2vci3zwUBrBIQj1qxfFLGNaoxIIjZU2hn9WpUSwhjHpa/qzK2SW3R6&#10;ipBmm0DnYZhcA05tIMHBiFEhWwPpMTGOcwuSWjUTKfsF+Yp04v1ETNWymKU5DnOVX1aB4qT/Uv5q&#10;PSjChdfgkBxIY7xuiZ+9QKDvB3OI5IvOtV+6fVUCsN2JrVNs2qtzP+1nqQt8O3HS0RjBkASn5UEL&#10;sEeYJT5hCFk6V6s7XQKuDhJwZQj66us7s2noIdWWRkouZu2VaWaSJHKnEoN+8pa2mo6pqM0mx0X3&#10;uXsvv9uTNM1OnWLbnRM1thkxOgBRJr6hGYUQkhBHT51sNKls4Jdv71c//UT3ZXa8CujrtsDF6EI2&#10;x2DLoWjaUo6RLvLvqSNDWn4K38Fod3+VYeAFkvYwjQoah0o6h8wKMJNfW5ghpGcdKZ2Eqc2ImTNG&#10;sYtmvCQMKBNAUisnPhs28gM+nYAtGikCiVVOtVVT17jDLMPmWj3c0ojUvhHHCVJeQ5UqKDWRtI9Y&#10;zEwjiIbyZphR3ofMGQrAdCuTTX9Ys7SDTnscAigmoRjVD3N9Xyv9sGaqbJncz9urwt1oiJiJqCWh&#10;5i6o2CSMxdW0asbaFKTffl/iILuS11xucnJV+ETTsQxtbAxM247UJ+tSeViAfPKX5Udoy8oukpOc&#10;pCMzxTaP0fymKfAxiT/JYXPh2AzoUKxTTbhwfLNj4p8YLQpcRJ4lWyksycPsSjv0hqtP33vMGjR6&#10;re0gS4eqsXIq90bjHDpTepL4AzBEooX3L2azJ7Q1FFf8MDluZBlgLg8PHC3JQ3u2m0TmqU1b0akm&#10;1HZPD1+geFeZN3qTBDBuDPa+Ndom+EeVp5MvnwfjA2rHIl0Y5cXoAMkAo0JjLIlhiEipQBRi0SuW&#10;YhFkEnR57WZPmm4xPocR8KZYuoNY1XcAbIjB55KSQTeUjuvRD1pYTXkq3zgKjatFweu8vekg8ugv&#10;k4nOobZmio7z/yEcvmAzD80A3xJrcakSi5U8lar39HUCdOBRLMe9k5C/2c21aTZ7wnWk4vcbxV4q&#10;rDAE9GpeIv1XyozFpcX3O1CwMn43nBmfj54LH9ZNSLF71zxx2o628g7f6+Hvw8tkFLRuoqYdvgZt&#10;NYgXA2Brhg4luBQL+97TXF6DP02TdUfSzgwZ/eix9DKVnPiF4ai0MuD0FdrTGw16bWSE4j6kMosC&#10;FqAlF/0gllnNg5LzMNsmFHOUFa68iq00aYzK+N0oxluSsjvAlEMD0MY0hnDs0ycpD7xWQh5WQES5&#10;kGqGE9Da0K1nSz+u3UYkz6A3ZLROKRCiey+Eu0vn0w8qUaAFAKE7C6mFzZ3KLw/eRLddXxVyk/gK&#10;MgpF1xCayMAxZTAtIWYTADInOmXgWS0OsgOv1YEnrZPwuECrAeQDiqjeKQrIMy11Dr5GLqlzNUnj&#10;eOML618qiWN8pi2hOzRDq9iiMD4+ENl/NGhAcSBvIwgBD/6ac24VDWS+YTzwwXSeBxtw2G5jdId5&#10;Jfna8fDauUYOS7vW+qaHcs0jcx6mha19Y2kss28y3Loj2bNLW1uBRseCsYoRnGUW7WRwTi/ZHWJU&#10;L3BSFsXQN5UZ8ruh6lcdDAyqhImDwVCYZFtqugniTOhGgZJeOfjK3YlNwyFrxiHIxMGyPTqBCZ/K&#10;vDOkZC55rHf4CJ6zfL3BKyLQlWeofumueU/KlilKEF/eDSs6JG/m816JPEAqRW2n6mlrI6fkq39n&#10;vpUq0D8pYPef3AmGWCJe4GciJm3EVJPN8mB4Nahw5iq1XHv5Ku6VFEOAGu8Wy7PJbeMCzoKcOK4+&#10;UtazD0MhJ4b8P/wp54aF0w9GotbMNtgpcjB830Bmw9iUfZs20AqB5EVedcx3xoku26GJNZgc7Q+z&#10;yLTCDd1lHDSdX7uvA7/E3fIh/lA2u9MAfX77HC/8TDxEDtpY1Nz9ban3ewqzYPLirQIxvR4eNJBS&#10;E+wgsWXemozCnDYiMYsriSg2L1v6Fd2+KFpIYxQn3rpo3/MP9C01gz1RI3dMD6/JSHJf9eKVih5O&#10;g6j+RVPqwK0zgsUtGUDFWhLpzl1ikTy6ujVxc/B6T94yFckGuz1Mrm3tHRv4QnFSNLWNMe+u/mTF&#10;9xd8XbZd6O3LgiSd/5cbyxd4H/dP23dXeuUuTuR/w79aBHD+Gjw/12JgVhb/mvWdn2302tniyWPx&#10;fp4VzCIlAzLEOOH5Hw6RzznbqCqmb/1acCQmK5MBb6By8++8LmHDesQsnL9z+ClKGHgd1S32z5/8&#10;DElHiYBN2+0rcUwh377UaiJW7n9vovvt+IKvQGYkhCBar2z4/c1+mypUoqR+/3n19OvhNku20/8Y&#10;N4v6/yAs/NmYK2zYIkfODmzcqgKHrFDRQQR3zs/MvoWl19PrZ5X/7fNMtija6p9h8kFhfUdRglJR&#10;aVWkMItLBWevwSCBauA2DAX5soTArjckslDVfELuQbJhLS8xi2L726cDy3Q39sNqFHiQCGYUpNMa&#10;QvqQ8ga1/FYHwybfBcH2ighVvLUWvCqNvelY3HPFFvj2Wev+pA8Ti/8Dn2OHR6i8AOWoAg9sKOkn&#10;cS/h1Ln+D4fdKfgUPb2v5QKvdm31+ZNGtW6lUn+xHHkKVEV12JurzzMtWirVuX841Lzu6gPFkc0D&#10;7Q6T04Pio8hvUax43m9EA8vzNhQZ5G/FYtOhr0j/lJCD04a+paLI4P9WbEplHEQWvH7GMeZ5CCFo&#10;vv/y6xx/dRQIP3urxVzBfAs23fixC0EzEENUZTsb3/XMnC7hxCP+D4eNlxbe26Gv9gtoHNUrbsLH&#10;GxuJiawBB28MDNLnJ+HuaZ+2MYjE5NdyWnhjZTPDA7KVbvYfyPk52ojT/1lRBtiY2tkXotjN8jKa&#10;DYiRoKuTvPK1qUT6LEtcj9/9R7ERTUM5hzi8CF9D+q6wDFkTfO/nPfS+KpH3qfqvBgIb7e/Vx2BL&#10;LM28lCohMpP6eJ3wYSt+C/kJrcKvNxNg0I9eC4v4zHex9dWho2TqdU094UibirjSMcTVTwYODjkB&#10;JaA8M+sc6r3FtrPZd7X7/eWAaGNxZ1+IAkZbgKau4WXNP1Z0+9kuI+oh+nuwRfF/K7bIqljTvpdY&#10;8GvG3SUbPLG7l1D9xwT1AUmBWQZ2az1CLc0oJm190C2IdxcNeJbAM5NfdZBGb6FX4gPnr0ctRmA/&#10;jyXE2ELkm2gxCeuIICx9REktztWq0Ja2u0sOtHhgW/PEvxMW038gqF9TGowHc9xlurMvRAGfN7RO&#10;B0rPOXSiLmKySzW1WVY8Oid/KXZ2cNo8FH02DH6PdUwpXbeI96ky/xlHleAfoWBreYSNouejmSgy&#10;m++zcCrCp89lCdHyJLUHOMjzdNtFxwbPb/W66SGkd2Nu1ed9hNUGB4M0Q0tSWFmrlh3eyG38RcBR&#10;/zffC242zk5/dLvvR8K2efKAA+ioM9unVdT1JrL9ElklvXU22aw9JDXYYdhaigFZHybzHVdb6R78&#10;7z835QAbLvuqknFWinbn3mH1IlPysPNB6NUzN9oanCLT5fgx8S9/h4F0neeXT/N4DfA9R1/9qb8d&#10;+jJJIAzmbOZSFtaeRVxqo3RU9VvbN0YSWMmscFjsMMX+x2E3C2K22ogasvdMc6M/rSvqVeZEHEFj&#10;bh8siKSfVUwMLOT5e1LhIC3+0sA47KZCg3HuefJHa3fFbrHkumsDzVtNuFRFJIrsYLELVjiDFls0&#10;LY6gabzZyvescCKMJbxKZht9QRzhx6RPW8b6/WNsols+91O6mUgU2CHcFBDizBWNrYLvexw2bTPF&#10;bkawweZpwCFyYK0RzpH9jbXTp8ocuB0R7kxtMSHM1t+WsesDkvv9qYR+j5/dOmzoCLKPfmqGsdG/&#10;FPthCWLOg1rdfToqdqYh4HqLYFdeJfvh6MhE4fwncG7zgHGFcRodI7yfB5eoxMS2SaeU/q3YcP1p&#10;7zjwT8aJ+Z7+LAvc5bxHgmIdvDG6fXFbudq2ye1qu8MssANbsFGcIehNHNyr/1n0nB4G45ZFbNLx&#10;etWSwuppq4m7wfBrc60IMYb1KWWqM772loTlsLsQ1/z9qspW6W6h/urKEhuUfdHuSKQ18I3kgbzX&#10;MGASJBuRTQR99XkLRGNonq9JdezoL8WG6S/b+0wX/LN5otIZacXyAodIUP57Fk/K0GGoLh0VNYZv&#10;ClmwrcKB3c4dMk3j8AP7FPvqCzwDdTlga7htcWQGnkRxxTgFLBaUJXq+1jIvQhEXPZSI6qws3yh2&#10;OexBiCPxvDZ3BbQhCrjfHaABWGlhbRQ3894gFhnVBrf9tMoI+seO8bVzTlqvYBLvPdIkRC33T0dv&#10;EcC5KeHH2gc+uFdKaojLljh7Jzkx/neRWEfOuJX8kuMGayNQ2OIr8GG85wCdSIQfW8v74XgX0hbs&#10;X51DhtdlB/8biWBlVWzOHCkNLcN2FYnqbK83it1ksgtxBvwR46/U62WxgVdzgBp1JJVMHpTOzau4&#10;UAW8R7VZ8NtOn457fVybPZPITPGKn8PeG8VWr4hFWnZAr1tMY/zR+oESSzoHrJ5uQkXKiX4SvrSp&#10;5uuZG84NjrnTcn3gNrn9DDCwR5APm3x/jWL3UDLWS5HsFv02LJLKFIFEqr2c2TBCcUx6jOyn11Gx&#10;e0zZB5xo9iu9K+qGs43ILZyssC1KWr9x2Z9B000cP+TLQcTy+rQ57Bo3xSOeZeZHxW56fStyNbia&#10;czz3QBxZtGQGGWY1Q5F0Mo0pXOf1pkFdCR+yo4FYQeFIwutHW7416U3v91tLYlxtbkezou4p992M&#10;oNewUKx5aDBVbM40PIUStU2okpv2OnKdzZfAwSBLwYd8l+KY4D9bWNmnmzYNyr9dNmbQCJXJV1VC&#10;VGi63h12UWPom+Nt1/Cg2E2vb8JgqR4iHLwsHte/KSldy4qRyJY5jZIaNqKjSnh3OiCZ9mESncqM&#10;5TsVDym40Aukwo8t3GLgVfe25zLaAE3I6tyxh+cRGIirvZzpagol+ofQUez0Oip2pz+uVYjobn9u&#10;PlY5XH5u5rRPKNM/KKHvsLfcazCVEtn/pti4QpZShXGmyHfsYhRVHgq7XmswA/c62ugrnYO3idBA&#10;Al4Lxn2oPkyL2VsYIkQ9O/3HUV4l6BBsP4+vXWfg8DM1hV1lP3s1VOHNDL+ztHGZ1c6g3/SBxcqz&#10;zeux9k6WJdmhHxMZxY40j4q10/fQURUEokBQquDcAJvfPPy0x+29ba7xDkqJ2jnMYPIDyKl31ovU&#10;8u//bA67qInR1W+Sz32R5k0KEUL1egyDRV851igivDdijk3WoUbgZOT7tNhXy5ehBpMcrqgdyBJq&#10;18i6bvj9l2iEUrbBpp37d8s+1Eb8eAuMmzALQ+JmT8QHebFfFBu2Q7+0OoL0j2Kn10Gx4TDp0CGN&#10;rD0gKIWdAaOkX5tMj8YbuYzF0y12EMhgayiZwMCWYuMCA9Mk+g7ecPw9WccS5sFf95TDRhb8DFUN&#10;OMF74A9sy8iBUexD+an602PG8UW4U7w5HfAlUjpgHYd92GzsrcPWuoQ/6zC7H9Hk5hNvZhQHsXDT&#10;ttmKfbUDSbzeYvSmEA+q2NXrQGKEkrn7oKylx+4p+FsUMnZ52mb2o+SKs5KRgjUTveudMt/LiAQM&#10;99HgkggwUVAuiiUW8SeIRyFHva7MFijubtl1kuvabQJ6IUY60hzh/JNmxVcFDmnGzVlOHszn9CsK&#10;3LGO0vep6e0Mu98IgExH5DIZH9jFPNax4EsKQ60g5/ZVsZpALiUEQofS0oei8xpkjjaIS0eSEzQD&#10;oYaEJ6TgFenI+bKao+Qq56rEuLymzPeLROBHxpmajcKBxqYYXZ5U/MeOZPdK5+BUrF8D/ozEQGqT&#10;70zXn7WXzSkEOy9pNkTeftQUZh4O7yuZj/327f8pL1xyTeSAder+t24UW3axYFPZ7kt2zgpihACt&#10;S/sDleCakkUZcxJ1/GsQle6knrJs+7VAfqNY2W5cnBgv1GwkQWzQFOHgimvuOOSHlfqKZUpGD//c&#10;0vG44X8Sq/62/A6VSrzAw8x5hIl4VYQfXEuvM56QqP8YWjs7jxQTYxZk96HesOjv1mOfhC2rM+/F&#10;jvsY7BYSgT+Nmls2m4QjUpxoehCdsEfxf67e1dTi0nGPzSeSsx2gc9gWjuAhio05HYhpoAmq9Qjb&#10;pb/+CuyKTbzsHuFEPaFm4w02ViNtRxDh2NPtUXItG8XKKZKZ2zh2C0jaMH4D7W9UW0+IzNVjiIRm&#10;GY+KMsCm14PENYPlWJK0Fklv5BzNrYR/6BdqTjMFDplx/uZvW0gMOvtdNqZrWobsMfQ3of/g7Iis&#10;6/zeehUzWBKZ3GSHKHYr1av2OLEb8xikE0XmDCl73WSyKzaIuvSoBQdqNsYnabxrBFYSI5gtnAgt&#10;m5zpHfi+f944230nKCuz1B5Uu4dEV8ehRa9RwWKNS675dXMSAOQzjwOwtJ28IU+ZLDKyi1gYETSO&#10;L0uQhrbtLmMBxq0Y052QUm0O7xuXgXFogJ7d1armj6S80VUgEpx5pTEkYk+cWJESqCQkKFRLwf1m&#10;hbti0zevRz/kTstskLj9rvMZLy0jby10mJuzt/QeNqLE2X6Tlmyq7cBKErq60qHbmkWi1z05OTjs&#10;3ZyEWmS4aa3BtJAmi9+VY4xQtvl6ReK97YENmw5xhdaFpKp/ui/Y+tozmhqztPWyof84bCW49dXN&#10;nMFqCCtJA+J/iU1hM4pNL5vsnFv+/YODbAa5OwU4xH2JfcQNRrENngMt22SXM4bIYEvdgOdt1AxM&#10;Q+pBWJ0LA/9KSjwgSvjf/0Ovp49pnEeyDEsS2R2i/01jIbysgiFfllswtjDhMUMmRDe5LrgZ70DL&#10;museCa41lM0JC+sn1/bscxrkeIn57xl2ZBUmgHTRT6fvxnZtJIoOpbJ0kY3LVhTIGiP8HhS7zIZm&#10;ycc+G+OilErmLSct22ylbHWf5Og7Dl4ddtrplM5BtRZt//NzT1fD1YdIeA91vjlgwSU6//6YmP3a&#10;8P8pDjJaC2RZMP33SDzTzih62Y2nmbiO5qOLxbGnz9Rlj7SCOgYIYEkvUTSzw3hp4uk4wH8dtopd&#10;FOZEeqbvUvhQUeF4FBZk+pMYN48LlXfBdlDswi7FNvj4xvHHeTdo2WYrPf1fkewWVE5y3sORU7Ys&#10;AKfW7/llVlQlKJLR3f+p17IDd5nSGiCuPzv60e6ikpUWbpF4nG9NTVHS0BVqjitMxRe3H3OpiOM4&#10;1fGsexfsqzGGrTBGtOk5EnnrsFlvqsv1FGelLU+NeVsUmKCemhx2BFA8w8xOSqjo6y93xaZQnlWg&#10;KJ5VUoRRNIf8GagUlp7qj8g2Oth9p0ItmVJ/mNIDetbtwRgi9Eso2ZA09B7hHh3GSROIrj93Gpvm&#10;Qkx72fESwnjN7yXFGSBpm6Mf7oNsPm3HcfsG6dpOp6y30pg0W/hnRfS6dBYvw8xfDvuglFXAVh5x&#10;att1os3ShpUthG483Wsqe2gL33XQXbGhN/GNE1vktfUbh3+x8rfZjo/Ej/aBGodK2NN2z+AOe/Ab&#10;b0oME/5feo2rbUyzIoo5jAMG5O2yVkpldJ0nsxDmSlC8xbpN4UDdItEjjYbOmnFG7p1SG3TusOL+&#10;83Letm5NPe4vh/2tYpXIWgHXcBwrRrFlvSP56L+CWtw/7+4teDZbGrtiMy0tG8r+iHhjK/+HYvN6&#10;h114pfm5+j1oT3xTEud9k0n+2dO+Kd9Y2dxtXwksuETl2+LCla5s/icS12Fm3LYDNr0uQ4jp6bCb&#10;TQGdO/S1Yqk/tkfj41sLTbpaV/m13G8IigSKZWl84Dl1euCaLKKhbeNpo2g91ZRmMZe0sSZvm9tv&#10;j/Wsl3Z2xcaynlWhRVvUj0tmz3aFskJ1vfXu3cfX4/ZTCIxlnZFqerzBgbhm8UM0DWzC3UL8X7cQ&#10;YwLd+uv4yALxRclHzKlcLtWWY4J9L26g9dnnF8lCKDTk7HJsr9Flg9BGYKC8Scbr7wkQ07y+XjPd&#10;gkwAxS/FTlyr4LZhNytfschmNZdVdf8k+i1W5Wxgqaa3Av12wknR0kjw/FexyZgPKswzArT4e89j&#10;8YLNxXQ3SwDC84OqXftLGyvbysWH3o9wHnWt29hjzJHLUdLysnLeieSltBrK8z1HTSOZg8aXpNRW&#10;+K+nrQkmijvyMQ0uEcn9ZptFkrS/mcVMvQsIUkuxK0RH/4oybK1pe5vZbF6yI0vgf7HpTVrHkLBC&#10;SjTzHGZCdDS0SKpijzfED4otYK4WEcZEDmEpltASjo8CiWkac7aZegllrR3/8zzm3VjAGNI8lxqn&#10;WzVAE+YeL4XFIMYrkzaOmafv78MqFJiHp6Q9E3ElPLzmlfS7LAPh0t8vO8BIISqISxz2vwQJXoo1&#10;kAPdspXI71RuVj7Px1Q8RTWe+f13ZsRN3svzhXHDp2FwU+zawI+8/uuxRbHZUhIjFevTMkcZL8Ui&#10;5hBzVGyM+WAEGyu7Xnu+QeOHMHgzFYW5LXYAeSapelgeH5rmJPPNPLgVA3lY9A80mUhcE22NaMW7&#10;dD6yOA1eN1et106TcJ2+Y1ULJF254i5riq2ALdSelsNut/vEXpOMNMGRUPXgPFc4JmcjkIzK+DaM&#10;E889UVXEfz02j2Xuqh4H/hajOq47lmIvk9IfFeuYx5RnLce3BOtvve69x8FqyzZbITogf8c5BBCn&#10;v7UPvMRBJvprzzTdlSIUV3giwPehjs1wcra0HIhTnNf7eOD1wzKJpQIRbtleIff2KB1kuPiMmYYW&#10;TGt7/G4Te2JF7HV1+Jij3cqObJTEWKcNspdow/H2Yv2vYmtOpQSYwH0dAz16tqT7covbpybAfyv2&#10;eD5rik2E/9Hr7rA1zVpAHqLKm8cWRHEe7Iwi2toieo2wy3ekd7eqBuY+YnlyxCxvVxYw0+nRHNv7&#10;04RT+nzcs66Df282VojxKB2kWr4Xe54hg432TezxzrSZ+AKPttoavIk7NfqM76GO2seUi7id6ndH&#10;xYaNXdDjmN/yKo3N4wARux4+dzbYpnTBuiPOvktqJcj/1es+sT1l+HnxSB6C3eYhIL6B4g58ItpN&#10;rxm3LzcI3efff2VoM4x1hMF9GzsQSb1x2Iz/OuEAaKIy8TEkyOT+/Gug1lvFdhOdQVIW6v9s4fng&#10;J5pGbgdYORK2oxVs8l4ROhDDisMmlgdtcodwcCDg4ErTYXeTlWZ/WzLdQCz3cve1L934fyrWPeT/&#10;h14TvQJR0jhRHlXZTQxwJELz9owFcLdMD73mZZa9XyLkfitlG0xki1ncDWt7ym3pm8ftcxnj/HEz&#10;IvSwRYzJtJD8tnwszAxUxa54UflGO721u7CJSBTRclWjwsLAZtSLkXwlJCSStt7eieMfLJvChpEN&#10;wbKZ7cbVZSrXOTi0q/KU5Es37P4OxW8USyy+qlSp3Cx2wZ5sR0lLlxNND6CgLj+/hsS7UpbHUQBt&#10;LsKolXet81bmywF8MxOsJHDtD0qG8eNc00egXjanxyzSptbdKQOzGLtaMLZv6fXcbLHSvQbcw+pr&#10;8Ra0ynbdvcxxco1J1zeF50VwSQ47S1WkUYIHYWyUVLFsCEaTu5ssjC+xmd28R3lKOr/S9VaR/1Fs&#10;7GsO/6PXLRDkt6s3fv/rsEl2vkXSZ3/fEfBF7kJQZJTmR8X0FhYuH4g8z8/mtrUQfPspTDjO9QpZ&#10;SeLkq1iSVinjLiI2GFlHrtfLzybc2/vyewsASwWzENG4Y5ltbz7+l8FT8XI+dypIl5GbY8VmvSli&#10;KTPsHaUXYnbD7XwMBzG3Tl+FTbHfamZH1/pbsb0lNqF4krEjrCA+M+e6B68Oe0ydmjFbfP7w9un0&#10;Rhi1iWTpMhJ6C8tgErA7c+6MRoFbIgXEjS6/t3WGQ0hgfbyRjPzCVudttC2Fd4xvy7pmx1ZZzw+u&#10;FJZiVVssYqxELSnC7ZU2y5MftElbxsSXoHZpp1mtIaawzEyw1b7CWPZ6yU8AHfcnii6iLFuLSmEf&#10;qhCCu4aNQN7AMqt1CW/CQh32OOLuHfe/b9YcEch7GKvNuytfVLa1PMDC1WRnFNMiYO1TLWj0eNwe&#10;slNGh0hc/bzW/+b39YAt9sRMlr6HoxjUZgPAlKdxTKyOGUK1gs3Oxk5JBvmUkrjfGiwGsx0NT/HI&#10;Q96TrHRfYTRFQEt5K/++XgYc4z6t+3u1h3Aetg+KjcFt6aeNjzArq7WHv17Fl72BNw67PT/jj45P&#10;cBLO/8svwVSbfUXy8pUjzAx7rKtBCMW93p0HRHMPo0BAsmLciVpj8L7EHwFvtGwzdjRRuVQTwH/f&#10;gDEBMDaqkkd/IVTFoOwinBtbr0OOazapXW9ianS4sWkmmYzWwYZloZF40bdZ/kOYOnp2FSslY02H&#10;MB0pHfKQ6Gjzhl9vVTtxauUUy4nGYfuewMK6qur7Hw9Sev097Cvfhqf/KxIvxIfVyc5nLfgQiUPO&#10;/dOOiIBU+0yfNXum1Xa3wB4A3iyBRrz/IWppJj5j12K9+CLZ8LfpZYTztR5z03DFzBJaDk13JTVv&#10;26NozXnPkTIFpyR9DmLuTKVRdtCjN2cuPCC16ca0mxUH1a7Eolj2bjGGg+Q3L8mrLlsd6E9kWi8v&#10;6XG8/rrBc2L00WEv2ztJh9FpAnTq/LBe2glgt1F+7fPg9effS8uHbeY3mcRMbCv6CWen+CUykWXr&#10;pOEh71OPFWwiVPjRqE35cgIgYJfY7DC0qe2KtXnUngtGXvsTBCv4YVsO6k8dLMjI95t433izBnbw&#10;4DC+5VYfbP1nU22NaIt4a0Vbh93eVS1UyF4cwGGHMNKBrUmGEd1fuxKF2/xmytEijjGm3rTh6r2q&#10;jze7Li7v+isPnaiPFxYeNy3nl+MLyyGEFQdWTBJ+qfkRWQz2Aaa6Iu5vYMQnt5mhrD+W7dlO609K&#10;AKG9KkxF3pufwt3Zas7rN2IWv5DQN2D7at1WVIznWUsKR6WLf1d0qNkcNqlvrizZaxxg0+sm7MQy&#10;Yu6O1F/EW4Ldpohr30KdkjEFVvZLzm/hvw67h5TxMDQwuCLI59kGCyhuzxq06kGBu11IB9NO6jKw&#10;5qBDp/cR52xwblNszAhjtjCz5djimLHkKbz3nSY2xnNRp2IJ3YlosfKdoprzngYt80bVCuSo2Civ&#10;lhQ41GX4fYrNGCtgNrjJ63sDcnejdjTbRKxklpMF/OVwRql9TFQ+78nPKP76Ktv0B+jTHxuPNQ9h&#10;vTpbqAb3yCfFRLyqJ7+S+HhzyIm3eAH6p2Vkx4sVa9YQVjJ+8GKsZEQkCSo8C5uYd9TSwm2qSLCV&#10;vBzkIuKm9LGBsjd+yVF293adRMLIYHVaRvZSXo7Ky7nkDRzqZmdnIGGNmbS1wWjCnF8w7W7Udifm&#10;bmJx2E3LoKyM+7NMS3m9k2YgBJ0/HG9bE+4m2fY93LbaHPb+MMHW9s6rJF0uv+d3D55Vs5NCSE+c&#10;2yM0EWbduNVfEi4sJxa2THnzYowhDbr4XpKt53ogOPYm0iTF5lT7ywrw8IW3NuBRDY6gMj/LtyEo&#10;wQTv6TMmq6Mn9ToqT8r6+HfhUKcJ7/Ybg8YyUpvJyUlndm5OS9a5KXELxNXSit6wWXXVhEfgxykN&#10;SHB5OM5twnqn/38c9oAcYiKQlQXE3Zi7O0yjJmZQCYSCfbP75W1KtyA6GlgWvuXxpotp0B8SiNCx&#10;2Gpl5a0KhZhRnLE7J8jNYPzdgIH0y+9fDQoMdH5vZdNJQ+KejuyzR3895qA8/f+0L8zf1IlmCyPJ&#10;CJZcqzB1vmIBabpfWRDv1wobvedkj675yYSV8h6nyMVT6D3sAbwsUaxfe9ocdn6doVC+x6pqzS9j&#10;EejL8YjbmdmI/celFjE1407822ClAMB5fgVj4inkaVKx/UZTx/HwTfAM2m2y0FzP/r7RMpiDsGur&#10;ZBAczhCsEZvdrWZ12EOMWvRBfwT0t/I2MQF7XZ15uf0x8a+wUNhYFBAL7W24a0U7bK0NjXcVO4AF&#10;b84bA26DwJ7sPmxSPaPOqmcRtznsweLX+pg2OYuj3s2PKDGKP1yhHahvwiGNtrG2cP1mwgYOgePb&#10;qpgw6iqlP+pjoj28MnZsWQNM+8SBlUHsso87ZdzWCKIaG9mt+EMO8OMMUQk6R9sKWCLFHkJWM3Eh&#10;KL5tlgsMEiAiWSFli+aXdR/CvSa8hL8e3zQQzx26QJ3jcBxgWXn1btlSVvE7LMfB67cO2vjsLmvt&#10;tlrEvNHDzMKzCI2m7p8qZyOwpnH7s3sC2AOwWdpjW//trwdqDmvb0sVsY9s90sabnudKpOOlcUqX&#10;DCMsSN4UO78+E4gJjOGOYplLS6K/3EJxDfEgsRU8XE8NX1PTsfIbeYJ1yylK9LYUnrGuQTFC8KdM&#10;tqyxufPnVzLk/T7tbmsmev+MiPwJzYy+p7wTWxcsbd5+nVFA4M9b9Gz8c35LM+Fkh3XpobPF6DUZ&#10;cFE4NhJSVN0I2xz2YdzMlOoNNcO0sEXiLo1ZhXve8J7yROIPYwobVyLWkIXWZRpq/CFNm2ZA3ajn&#10;E6mv1wRUxQ7uRuvA4gDi6tv7xBTlbbcW6AibYoN0C5QR1M5C7XR/CLZumawvR4GERgPHzfuMcJ2c&#10;GOfe72xck/bA0M5qaAuCX0whusfqoY1WHaS2m7D8r+vc0WsNT0cvipmrE7HWWDRbF/w3RxtY+ga2&#10;scr9OGHiX37XPdguY4D7LGjrxv1RQ4NtOHgzCSVrWM44CnudCWgU2+h4XDt2NMdtEKjBClXeElRu&#10;ux23HzyTgHWVMlroaKYfSzRrboilbfcu5Aap13d0CJ2Xjzch+HkLpMCWZhXGYZ/3HQV1MEHTzSmH&#10;WeyYlO8wMuhqc/Q6BGaJZD1kplkQVU4pXKMdl9PCGglYKV51vUJFGIpDNhKPJexhSAxDZ9MR89ci&#10;eWtFmWuWqidSf1liiE7mDo/DbLElOM5IMhbkgfr/4iuXAtb8WxNsy7HoSW8jG41j86ouuYpuv6kx&#10;7R5nR4IEaFA+rq12AFPZ6cR+Ms7517pAFJKBhiYnRhptZvpmn/LNNaWl1zZNv4x9f/POp0Gl9mbd&#10;CXPOj2AH3mIcERRWJJ49yKVmWWTeps6j88xpB5Xph5XoSEvddX44rO6BCGttPeYEPCtiqNjx3sPW&#10;6yTJgP0caQsrlXTHAbKxuPK5hK7M9EuvM1dU+oTFmnzGnvithOrWJMa5q/5+fmtOp+lC45yLYJf+&#10;FvFbh61n3/WnlQPOQiglLp6YvOt1zVyFbbKXx4gA6dbwK9fJbWrJYh3hQfpy3WU5Gxym2CTyB0mk&#10;flkLVTk6DxG7w6a4m8Gz8Y19D60rpQoU0zLzoe2LysoBhA0xI+nAYsElabfAVmWVt6bg3J2SPGPr&#10;FfNYHt/t1ZHsw9hdofE71MVlfDYt69rePvPwTopTXXielcm+ItuEdl8PF1zm2KAGYfzclptvLBfU&#10;SwRijAg5qCjGfWQHW7C7YWjJCflufJiCFN3AEgzwv9Tsc3Hql7XA3OY8wIwoJG1NgJ8FmoFuaH1j&#10;mINpOo7xnhdSxTvhcTm1sKY0o0BflToVo7xN8VKROY2qMSGPV8Rt7BgWDr8oDNRUIqzDQ529PHD6&#10;NMF5ZbwoZQLnbtpXNyuDW2IGZjHTkbJC2WP0nzcxfLGgGyy9ttsYajW6JnlgD7/bduqbZEbYsM4u&#10;5dLrBLI2qPfuTd9wFYl4viIKRjXiXClVQXK2zehteboAxU6ifHTY3TYpyip9kuqlvIVmNsnbNb3C&#10;wBapDleUIOvIirKiKmKLSS0HQrX3K5napvrrSVaV/tT9Z8tfuH9XJjJS3Gyf1I8Mzq5Yit813os5&#10;hK4ANB4hq5kuNw973HCuRfIGhyQvS9VNryuKhqPEsW0mAI72McnV5qVUTkhe8a8QBhLTA4fsMoDf&#10;jPlNDAusgBKri5ZWEAh37zeBC1skTkPD3RapGn+GxOs9bxVqpG47JWPfbjA63H1xMxsb5z8bm5tp&#10;b3wfgWw11fVSSDlK780ScN8Ve+yK9K1ebVjfiigQ/D7g3W6f2wS1YBIlQUp3va47JuJFhwgVcMjU&#10;CkrRLd+t/mVzkzfDhbBeSwCWFjd4WSadLGpabYPG6sLgmgPq/wf6O1wq5fziz7duCmRcasYM3k9o&#10;GIixR1pxpZXN7cnR9oKpe/geKpfXHRzxCGOctSBix/F6z1J6YXv1030nfpZ6DbW3LmBt2Eic2OQs&#10;txn7voSvFR9hdiLkV4nVrNJ8uVbk50LvaHJz+akgZ8SaNdzp/N6jRIt9kwgopjn5r2I/LDf/R36m&#10;46aZzOFiMIlKjeTcv5tFU0FpWrtF4s3WRpbdKjjN3cADtdL4afZFVnAvrdj3jyZRJWKonCx31HrZ&#10;Fl0DM4+1GpLfOPVb79rk9jEhzbyq5BEc2qKROPNQHHaNdb0i8l/OAMyGR1rQZ3SXBc1cdKz87HRw&#10;2GWtgbT4dhNfvy0C4Da/1LyFKyBkb5vR+07hwOWfKQiNq9maYquYzamA+v++YwpomqmLzzFdbnOR&#10;stwq0ORGptBlbJzYTa1tVu8NY0SfSaNy4XXU0G2k2ZO6/Nqn8sKyvhb/6oRwWdS8TYnXlHTfmy5Q&#10;Z/W6z3aR/MfNYddY+33Eu0kvKIpc3qfP6PV9es5UljsetNRtik/T1BUikZe5P2c1uv0QGUrHghSs&#10;zOdtABC2y1xHh93MOeqMk6+bbCT9/PtNJDZcpzYxhEgcmnJHVGW57HhzkkC9S+lltb7pqBs0KVe1&#10;uSF5bgVMwj0KQK3bBgOOZYN1RbcKfUjEPD+7uyDM3uLAutRzjuZM5BpgJyQA8ZzXpFU67ApsR0jj&#10;A9JJ4ZNQPtfn5NMRasaVUdzl4LD/3XU4f43dvV8SI55YbFK8Dac9Irk52x3jL3jjsGN54/q5521W&#10;O3H4+z3WCjOvtQ4ZpPJa7Y4sh7yXo5vHkqibaDATWkayOA51/+PkpgUU9MK8eh35X7yasM11l7xl&#10;8PTS1czM6GH0y6+l11iu1YVFy3VYJbI0uGeINoulvbedDrtfXg/cBnucIY0Du52pvHGh63ehx0BA&#10;0y0SHxzMrG2HCiLkPaz11ZmB5PAY+RMWJyIKb/OXDbLlvbVa00nXDnGA2RGNjl76y+y28HvZuHXn&#10;Xx3x0r381Ay28+OBb1pkSRZGNZr0uvMs9tvpWn161iTKPZZNrcAQCXv9cfM1h1ZFgfd79DdAlAdh&#10;hZw+13z/NFcERTGNKuD4KUo54BTOcaig3HG+CYbPc4bWIvKJmZGfx7trvN01OdwAAzHDoq6jyI88&#10;hKLDnVabYtd3IRxt+JdbM19SlkSphGWk258x5jz7BRiuU5mI89SENAFukvgVoDYHC1SGYUPcquac&#10;HeHuudj2pbKZhQl6HbUiCXLUzUzed7niolUytpjO7Lw3sjbVhRWSEjUvv2cddtRUKHiIw/7eL0gV&#10;znnbRVDuSN80unzs5KH5JrYOcY5r/GyYfhCNcf4AG/l41SQrzP+94r9iIxAV6foLVjp7rokO1GGn&#10;ydYoM+wYV5fXkcdD4uR2k2J2dKnLrPVQ9l4ybl1oGfLx5jeg3jwpwYSoMGKQ7ep2WcRP59r7p49h&#10;8zYJy812Ee/82AvqWaXQc1tC4zQHt9DH5aDwZkI6fx0Sw8m0Sui7rcO+XX4D72XS+HjEueQRmBvC&#10;nE3jDCPKHJOTdMDMTYi+/QeWXrwlofN69r59x6zbl6txrOW4c7wM4vpNcPkrqAyNs8UYbSZxixXf&#10;P9WYx0BDO3WVRJ9PfOg82xizZqfD/eXALIRsZy5bD41ZmvlFANfTM9P7/a/I4txF7rYIPb3+7iWX&#10;tUW8ohcRrhfRv+TeLBlMz8KuceBlbOGo15rptTxdvv69QswLWv+W2dvkqifZqs5ab/ZGYlDvZ8f8&#10;Pl9YfxEUlhtcEEOblSzluid2s+t0vAS5WOoNZAPJtnb8g7wOV8WihynHwmpok5VkCwOIap5jBHQU&#10;+xe3KvZ9h/jbBmaJ9FNyYkiI+m2kyK56BVDTyXPmn/uC+h99VGCPsNIYG28A2M3o7l39/TnS+SsQ&#10;jyYLL32UelnGQHhM6L8bC97gYUe5d9jYPEBQNhLPOiWtvpb882MEm22aHSLGdiiV2aTubWKTgAnx&#10;z3X3Z2Dz9C1bBELANABKJObWU7skCsSR3/cax/2arEeiUWVvbTJfsElIWhb4NzQPWLlTk+DIQIHN&#10;tN4RsvxRX1efZlduCzYJy1Fl0W0qpyKNbn+FrkTN9hWO+xaXr92c+iuwJrrH+HtnzgGuO9uk/dbh&#10;zfpvQX0tNj5NVeVlrkTdp8/yiwXxjLj6sNKwF7ffTa/SPtwWsZYClNaBwpRmf0TfSLzFCMXgzwLG&#10;SiAkJvg4MX1F4vhHkJoypYm2GAr+L6ioYwDkTl1RxXIigwigPCbzq9z66xJ7opvMIHSsBG6Gu37K&#10;m5I1sUSopfaBwz7j9VMTMj3k2CZj/x2CA7PWexuI/zMLC73I0f2Gti15M/pjhFS9bTD6of24buy8&#10;sl+iBjoZHgjYLauPb34xd7v9i6k62dv7t4mc6Xr7u6nal3V5Z5ZWm8E0iZkus6t+vLV8YOhN7GX4&#10;yflsl3hj/6yEEaT3aXaw/ALf4WUHZouR27ZwbyD+M1dDEE+I/itqHoLIy1xl0BjfNImYUvUXfHk6&#10;oFwdjiFgA6ZV6yRpXbQ95mxfPij748pU6L7JrteIg3Ljz6tjplUEldlxg5UUHyERY+qFRuLtNplg&#10;wX0TgIgGkffH3C4CTBQf/2W45AtiMF/IcIer4BsYJMCtwpDRGOS6y6u3u2YtgN3TbNL+PqKdQ4Ga&#10;RvpaJlXxPrKmyPmyLOyvqLlSw9Bajfy9g/Q2uToCFrCjnMYrfr6FWfhHeoS5nBwn4jrsWzzTAIPd&#10;5NlbCDeTb7OMt/YCC/8HCX8bTRnfn9KI7byUV3BPIIruDEzpvDtBJnRHMXDUyb/+H9aEPYA6FuzT&#10;SRrk5SntUFL1PPLXUMYh1vW8nn0ikepycOae2bn808kp88s+/+4cLl/wmlHJTtOpDezJ2V+AXof/&#10;Y5elhcMu8paKTSROuy2zAy75Afq/ZN9Ag2duejWUUBFLX1g67R3XsPDe8HaETFTHNlXSuqVuUpVf&#10;cRqca33P0IqdlhvFifuRlyrPaI8j8CPMdBEk7oLY8HrUS4UdLiXVlf3K09ZNHHm+1ly/j0TNBLY2&#10;Geq2iSQJbH+547b5jnH28C/Fj39ssN45ACDmxf+hy2YG15tiXTa3ctm4x0fpv2TXZeLdwHjd875X&#10;uiLbTFltFnd58/jRuPq86GXA3HVqCw0HKyUeLvMiK8Ns+hJAqixzOhpOqITjTCYrX4hJPO93Cu2Q&#10;DGlmbxZFafF+1As45EjJlssw1m1+TAp5s2osF6KyRTy3U/TesJkzPf7bcFfMelyLnr9nor/D2pdN&#10;ymJd/O99xjwwtfArZMxUhoQViSuIW/Fd/nj8xmErLjp3L6AbQIxkXUx+2paERw48K9QZ31zEjPFN&#10;dSEIZ6cEaORKR2xgC0SZYkdo+zXeOo9kYKXxRxClz1tooNoWRbGEj700y2nC/DzzxVjLYSfzHy5w&#10;XNOo9erc4/TV2eimsSZ62zlcV3W2G/n/q9c3qE4P27pQvR4C8XTaEuLL16XhpNitjfTg1uNqrtvP&#10;yVoTt9bY+3XEHNznMYhRZsxjTbExu+da80BN//gkepzw0AKo2Pbd5VATQEdbIEo4qHtN6isQ9egR&#10;Mua+BIWxSWYDzYaW9kuAUVznnxGCysvpzKsIZTms8pKi6P37h2w0roe39uBFuxHkmop6VlhquDzN&#10;8vV/b6qFPV8QcnknICv/DcSbPs55GZaQcNHaSK/3EE/Lyzy34t8xc/prwXRdc9bMaZGLuHMZIWYH&#10;VzkZON4nMvD2NiBhdZziaCmgfWV06QkTscw9M1+mWSvNhp5zTXeA3kBn5jEADlTifX7lPRshln9p&#10;FGDQzWFHQMV/+YzMrmZT7Y1UllxnKhJ/GgkrDVuvdvuvXa8UbKBvBhCCduN/dVvxE06XQRz1GlY6&#10;T/4sQ+u+f3ocY8kWzwvEhFj9oPKYWS4N6y4eblAvewMzNx8hfO27y7vWoGMPROHH4LA9RQCMOUjG&#10;7e/gkfZl0jvE0ceEfIYlc89DcPrYXkaZ++O/9GrmWakkrwJSP2/D8/zt70ZAVAqrwze7brv45hnp&#10;Q8zcYPldoBcohahr5391q30ALyuF8opu64DauAUzod9+GNPavDFQwnKpSdDdHHjCzTIPGsa0Vlox&#10;UHN7A9vCfocI2Sufc77ZLwJLXQNR8Ndhl82uOTB12/XrtS4a8CRuQktZTLalhilMv5s+UPElMlSy&#10;Qf8wdaGq4l2udHzZAWi2O+Gq/ulSeFw53rzg/+hbC47WT0xfikvTYyBuv23n/3nNBao9VUKMK4Fm&#10;+enzFn8kbbWsUbxfg+kOWfphErbZI3Gl8TbMvg0xhel4hBCYR8ECN72sWH7qzPYJeTHdzmS3sjxS&#10;bO4n5AaKXe9AbLKOXhEmI7DJ5Wf6rbDwWGpnKvwSe1/8pMH7zfLXvVGCMaq0d4af4B3Ynq5Fsflc&#10;vn2Eo/Uzjyw1dMmUumMg3sJqLgMJ0J+aQjI1WRwzhb6F/7gIq15fJvRlqRSTWH43m1ccRfV/0b1w&#10;H4GkdmoXZIyDw65IrJeFjWglKs502CBy8WPlNhu3BqW3FwHyPMjaJwpBrqoSab5ViIgtDjuRa67N&#10;/JYMSQhN6bg9notUt92o/e7MzrrHGXSFygXnxzdReuAgJVL+1Sfe9d9AvE1T4R/YtiUKW1zbjPt5&#10;xZljQtxR/kyaHvF003+ceuRDy/R+c7HuQMSpTzYJawtzh+DY1ovAig54SwwqIanpUhZhnclyqdU5&#10;wy5rs6IOfLSn3niQuYUauUX3OJe9X5KPQVE6PM5vlz6qZUzYwm3e8OR4n0A2pPieX9ETStaiSDim&#10;zYK3Km+VGxzMEIUsE60y/xOIx/gO8FeyGjFBxEZrf1UAOCbEHeXPBMSZHiLE8bvIxylmrPzNGId7&#10;f3Z6VjayQ/TordNzXkU3CqYugbj5UGaTTDK53fJ+rGQFs0r1GNpOD3JYWyXYWBPlR1F9ocOXp6c4&#10;7LwA6OSJ4c2O22o+7XcN9IWcN1fXB0sOrSCf0/++1wvip+oN7Ht+yG9NoE55QDg5BOK/ElnheEfD&#10;8H67brsRXpafePliCIhejUYhcVKvyH0tTUY+M+C29xE43Cb+cQuV41MHqFsfBTJGwGIzdmOPtb5B&#10;x6Wq1+w9PXSRdM7atO/Rev3Hk8ZySLKdO/zhCIaqaLk4PMwGMGau6sXTHSHSCd5CPPbf74en4rs1&#10;st/8lwspR4hR/hf29AC9LiWMXkPYIRD/tfAUklPsEN4ffsc4n2297vU5Dr/0OuhmuklXvMnjCEYl&#10;p4XUWFo4JE7nw41Aa9JaMIFo203c5ks3bEXb+N8R9LzkP7eJcpuRhPhtPszscp94cf4nDpsZlsr0&#10;1cQjTViN8nLy5UBjwkoya+9aCtK/vS+KtUev184W8iHu/B2G/0ord9gclkH/0ushEKfpimVH2Hbp&#10;AxHT5WODTqTyEsG9MYBEBWQy7r+MUbEtBjLy8/+ZEIfrgdd9XfmXgS31Q/0UbAbBeEFRtLU7emfW&#10;Pedu9U2MEeK6sazOdf+zNMUMl8PWZtByDz5WeU2GHw+bVZmNnHFdNaTjPmUNJK+I2zsklpLtum0b&#10;/r+vV3xr9TvsS51fW76T+3uWMe8z4/+xOs/0mMpCxNRL0e8jqfWLIPtOcvWKtFaEmrAXq1muouTP&#10;H/4zuwiNh4W7PdzA3zQoTKA4pE6Lu3kTSYP+2CoaisT+xMxHViOPtetdq3/MhYzzV5vXYa2T3ixH&#10;bMTBB2vfS8LdYS/r9MP2NmmuRsfK+ACOFsnN1Z/cXb6tZ/8Thv9KXQ9QcoHeyyEkl6F5mEwgTsv/&#10;S6/HAAtMXPPjJS/yPq1nEhID0iaaZojedbXrss+BdGmSMHrpjR6H2UVYiVMHWUuzZjHTRBh7xfem&#10;4MioVGpplI77z+K9K+55KnXxm3u+V/+ZWfq1OWyTYo/VN7qxcS5owui+5bCn3jLdQTbLHLhQHJNf&#10;uQuH26+tbVsIC2JaU/kWNoe9/F5OvvS6B+K03NcvBxBxagvjJgCKVHzrHQLfco8fMC9fIUsTO7Bp&#10;RDPyZB2fct+bTS1ZsBZj2aU83I6/zYqFFeF2b9/0OjvhnczXtPshCr7OjaATXLZ8orP09J83kObu&#10;uZCeyvAaZcXXtod0I4ctErd97CXuYtf9VvkBL4GYLm2/jvD+6tO8DqybEvdLT0BU1cq/YXnp6XHz&#10;xy4Cxvu2lOT/1Otf8mwXAbElAs11SCetNKxesPTtFunl8isn9rihMjfwSLpFA2Oysz12uMj/V+o0&#10;jrinTqNBYZ4yssNy+D7Dcd80pxRt+f9hl8Sz+RaS2WaALSnuzQHrScs47xZURrAR0hbA9toBFSsZ&#10;25tGkXsPek/OtvsIEMzesr3Dxu/1ptfGi0Mgbsvd4o/wVp7blrN5iSazJB+WaJDY6rSwWZ0RIX0T&#10;H+axyzjvPK9wHGBNFpcPf89Nf6VOK2Rtu057JlFA4HTY1iF5furSx+5K0b61Ewn/X9xvS9FBb+yM&#10;nr6uOzIS0DaHqJfeZF9zmxmPGUNArLK5Yk235q6uPof3/bILkBCRRv+ByWzgZmu+EoItEE/L1v4F&#10;+1sHhS1pVj/pPwY+c1HveEdXh9XwxqFWytge7hnR21Azb5Q7XTPr7m0CeMA0EjYDQ9Yp/8sMmuf8&#10;dZcwg0d2oSgG35cW+fj8/8X9HogPSXG4+LllKytwCdqeEMo3tv9zB5UibbBO/eZ62Wj89HRYHjXo&#10;/F8wF9WAvnkoMCvnKmlzyL84W5dkZuE+sOJf/O7QI/M0LEYX2G2v++cxKBOOYIjovSXx2PWtv65s&#10;K9fbk2ptsE3UgS0MbRuRf00jfTlJJ9GN8ceZPKSoifsHDcQbV/9Pq950A8j5lhQTIIdSQ+Uyqd6f&#10;QRNXQltqsvlCwG56rIVrGbmEimp9ReP+lM9/L6ov+E+KJcweZgPIsom/Flvn9Wja7tDCCmxZHx48&#10;yvU9EJIIwysei3NfBKX9zG6r61t/nejidjdnO7/Cm6l+n4TmMv3fnPb1jk16t9+Mg2oPzQYaUO5/&#10;pwXG8X/q9egv0V5sVKaub5bVwfgePKy2S27lGsG9FWweZ0SxWbrSPrgPjH7qz+cH3srmCP/HJpIw&#10;s3rQTSrz9z7i5WWlBm+CwbLN6PVIjwVjuT6cE14ufVh9n8IjgDf551t/XSIYht5G0TdT/T5rrYVS&#10;QkXuuiokbtd080NcAkSGZL47Po1ibM89v/zl9IcJFgEpEN89lflzHuKKuW3EJBCkh5XLI96aTF6a&#10;jNBj2cunD4L0Dp85/Ovlswc45FZH6KNHzQFw3jT9uvRYuM4mqfD2ekqJ9FU3nBxCTHKGLQxXI8yS&#10;fh/MTp5gl6PlsG9sctnWupR1YBeYEB7ISI0pY/QZ8vBbx8z4lIbc69FiKLPjl3d9PCuXS3p5OCNf&#10;PkxyOevyt7E/1GhcM3/WxGmzx604bBo74pjcX5Ekj/xBndawyXbn1B8dfchc+33bsPgb1vWGv2ES&#10;gorCCErbLcEqbHdNLN8c6MS2tLFFoEaoFYZnel3uYXho70jAHGtbgDk/tQ6YWXO77/svhz2kTtVr&#10;tDHSq6/vl7K7kRSZflvvidT4mjmlWbZzpiTwvBYta0fEBiIPNBJLbxz0w6jzeXsLZWx2Oky09mzL&#10;BQrn3BiIbBTe1iGCSkOyuCC8el1L3P9AH7r9P6AMVRSV+gqBA+cP+6UK9bpxV5TbpLwZTjQdtzAM&#10;b8udXs/qDo8QHjMlDv7rvW6LWHU1oWacH/cAVmAD4u7nvkKPYSxK57uN7BpMxuOwoVI596inCnWm&#10;OuEWEy8J7yfK7lOIkEicImsvPxveyYJ32U1KCiSxovHY4AGufzrgrxp9cmjbZ2D16RvMw97/trfm&#10;/gX/Pz/TA8zwwVXa/5per/sQT8AGpRVqa9wjysM8lysoGU+B5iCqlvb4RdunJmnlOOwbyVWoPmU4&#10;BRPP13SyO37JfYnwqsERzHaFxdGHPg8zmka0MgTGyYUX4MMUqOcYogMF3Sb1QnAbieu6s3LdbzFS&#10;KSJM41iYz7mH1uNjjbm8ZzppvzWHx0Uy+WavUbo//FhbFm9hrRr+C0ZNG9gbsfy37fubPtAnRK+l&#10;dak/dijspgq7Xb0+vJtkM+5Qh90RbLfTzE4MwaAVwBiN/aakkpxXGsHxVrP0usyGogj3sl56MoPE&#10;V26/TgKlBYwnAjtfHTf3VW56TSzMUt8WhT0S95pU84vr7pUXdodtUqyeI5aG/gSKS56tN1+2bOX5&#10;vatE7fqYSjo3OAbZERoNv6XyLdSY6+69cPV2emXSXU+lVUCL1tn2HRcBtswMBdUUOOj0qphGjM7h&#10;7RBWsrarJTUBK1Svo6bC+Fu3QPb4P3p93wStO/mj133V4fWv+soWXw0cC1ceaiu63viRLKpmYURJ&#10;j2S4GTHwNhLPZMXXoAQaiwpi0BRjU++LOa+/ftjmVlW+nCSS+uaGg1d7MkC6AKlf0EXO5e27bApd&#10;bo50PP5rQQSL+8sSmr0H5XLP/ZWkW0oMddUUstumVyDs/B8OOyaCploO9GKOd6psZZ0Ntqejxh53&#10;vdZsMmEvvW5zfnKS7Mv8We/OyqXRofhgrjXq5BHj7nBTi40Sd1hWWr4vHf55j21jzW283DG3QV3P&#10;zO5dVohfhoya8jf7EwfFewFyRF3YfgIGqJjv/q83qI4vFZM7Sn8tiOTmL71m7O0KIf0zxnAK0Cqb&#10;6yYfIcn8yUZKdOxI2By22yrrHnmh4v12vJVtPGn7PdTlsJteUxGH3fQ6uWwJj5JpV72mqIc1uwwy&#10;y4a4WhGru0mnlFRaBQ6R2FF6GXq/MxOINa3WEvdQhc49UQUI9gRuQv9cWa8o82w9i/yxsIHDPUlr&#10;1bFtJR4gxjpMQPnhvlUhPG9Fs+0pyi1aI5+MgVBG4vCTCwlItuabJIUGcTnl2fabw84ewO6wI9Id&#10;NTC55JaadNI46DUVMZs1+mEjHjbCBWa6ymjZNCktO9JKWB15HZPDjwDeKnaPxLl2kZ+o3n89QojL&#10;TOvmTtEQieUEHQABRyz/zP6Etzcsh+3mCoa/7DPvIuqTEf4qY342XvLf6qxQXW3++lfWlJ/A/D/0&#10;urblg9ZxhJE4RhzuaF1sCWu2iuT3FwIFMQ47+LXvVoznv9llmbXf/TxItTnsrtdwr9nsel2mZmoS&#10;mqhekmdGqOpI79ZAm7Wi9G2dNFtQgEY+LYFQScNG4r4VZ3++AYjDrg5Jf77Gnf85BkXIWLfMrM1k&#10;uqzYB5hwzWlf6NEHpym6Shy5e7cEL7xuHCcwbno92huVMbmtW/UarDth6zoKNpl5Etn1fSR3795M&#10;rzSKSpxRB+qw24y+/GEV4AxpFlgjPi4mZ4dm12sirausTa/L8YFv5eL+Zv8xspd58Z2zT8fYd2+w&#10;zeWviHoTykwohchsj8R/vWJReGMHjn+bAV422xRoZE8TD+OHyfHb0OusUNM/f0wq2PeqRgxXpgxH&#10;bexPS0YkS6/7bbuBexnZdR1jEmmXG73kuofPGf1h3BQ1hY3GubSSgaTAhTrs9spT7DvFy5p3zMAy&#10;rvvNCZ1Bjnrtnhed0jSjlp2g6wMlWOZEB1r0zZxx8Y5RVab5y3aXNQ03db/dToz9kKn12Y7zdvVl&#10;g0OSuEkHYMDDjKizzBQbz+20fHBYS7YpPqT0BoBpwlEesA2c5+1+QPb9ll63QFSoBy2R9lyUk4il&#10;dbfpAs3zrn/GcnHThqamm2kUj97fHVCH3X92sfa9eQ3KmnZIZTOuvhcVaMg66DVMIIRdr6Ob6/OZ&#10;lYLHlAZ7IssMnJYZZMKL5N/+jnUdtpmzTx5vWlQ1U/O0kXgTKcpqt0Sqab3f4oSPbzoGaORcnbsY&#10;JT3PCG+rCwFDqGif50ezGv4nrJEh9wDYnaQ2OHrdlzSBSWR3vWrashHF3T5WLfsEW3uf9dT13Og5&#10;YTgNQsrKeDw/8lfTxe2G//Pc3BaoOoS7IXaSloNeS+i88CraikeBN/QK6yWSd1sJsKS/bsmKvu4S&#10;3G6/bg0fsunwZs5MwhSH7eq6yhQeantvHHa7tAlpm5UCcr3dlapAIuVuTQ6sdA8fylIJDYNvBa7H&#10;q1/bq677Or+ATjh67aWcPG8mTGqyh29DPUVd5Fz/jEydoEP2ltvkk+JOsxHwahLqqoRALEPYrsjs&#10;aZqv496Esi+rscNx2GAu5UWZcPCtVhcbWahellUsvT5sGRXQJQHENA+ZNCUEndeefsSk3XiPw6Jq&#10;d9iD7Qceu5T56xU5oyvozgjLDuRammMFUqrBxgW23z8l9tlYjmck79mZjZfLz8RkVXvd328K5phH&#10;Av5zJHL+MjdU9JWrQ3OCVpOsuoF+GHE1WAvHtS/i6au0G4bboCbCgHO6xZLTba7yOids+QodpxWw&#10;Z0DeLDZNHLlOUL1Gj+ePoUq9Lsc+fVlIl16fb7arjxSOD4a4hJfNiBDk2rVa5RHXUKZkes3p7RoS&#10;Of1fDjvaZwKJpNZzszFB7WDTpw6VEND3OdKldMdORtdSPYd3a7K9ev43LN8p+bC1DAP4sqShdUBM&#10;Q0CfaYkOK2PfVJpREw4Dh7xMm9jltLEWYo+Pzi2p9ekB54QV+M5vfjCoGVB+d4Cl/IQxb0k76rUB&#10;o/flKf7NRE6PE0ouv/NGIvnYdDfp4IQ6EuohU1AEFU1EmtlNGQxlMbA67Jv7SOnW3de/HLa4WOqN&#10;9w2vYgyqtFYnllh5+TmK7e9vROHblPShjwGJcCl2HsL848rWxwc2aXL6LRQBne6WXleSRK4Wrl+Y&#10;V2J2SfUDewoZAsLEF4PlxllMwrXInG8J/V0nt3/2BfTapSpURS+ixBlmoe6VkOp11irNNlKiXnc7&#10;W8/PXH7HT71faNPdEn6Ti3KzxCGWaiyXqeK826oAiMN2RX5gPpI7OOzORrQHA/3+OqlUPCuonecS&#10;3fGGGNG2eL4OPlvuQe5lXYAyd+14n67+JSD3eYaHq+O6dX5KD/jmcAir9h/Jar+NZPduDEeoOFmJ&#10;3s08SqkqXPXvjJWkie+Bkn1+nKl3v6Jo/J42QKR2fowhUTOcYT0dc61BJ1ECjCJBeZmZO1xcfme8&#10;i5rcTTkeOBbS6LNm1dS0S+3TTmPvQvQz88ooQNgia0xva73M+HGuc83dc3H5UpuOa3/CsUgyB2+z&#10;dwlqZt2RhwlvKSrv1wmB+dVp4+JOVK4jBGYmqaivk6YaVbsWYoC5nB9/D9WVjIDAuyM5789OtVDt&#10;HUqaOd3/nql3e03hm3eQTIi//Ri5IOIJ35hvJBOPs9mWh6mfccA89/flqdr5EEEYRA65f+a1zrje&#10;1yOmWr/SneAZiQMiS3uHWyvyHB4ieyy3KEaIA/WJ9cMJsLjkLrfWpbleyIoqrCHJg8HMiyVjdurp&#10;evaCEhbqEte5TnD7dHX6Dl0lArhd9yQsdueyx8N7R8HE5loLkoGVoEJNpXpLbu6ZpBoEkzW1NlDt&#10;HYraDBSdchaG5R8LYkyXr+XxZbt2OD/2tU1jW6YkxgkYEfC5j+jO+k7ptTZQ2Vfxc89kDSQXgKsL&#10;hkpFyJxjT203Gd6WOoNG8WeoOmzaAjM3zquxljIDHxrw9Zd18c46lyCbcoD4Sd8MpfCvx2FTXOav&#10;E8A/Qc1BI6fn6k8YvVZWfSUr8bXWI0nQmZNNTSOB1Pb4cGmzEBs8JE5jZFjlrpJADGLvWKHPi/8I&#10;W6WCiaWOnCmP1ntwxe9mm6FGMC8yXLtJxzA8vpgGzj2Ot22ZbZuRKt8ahbxfe2qw1K2BwxSr7KqO&#10;SjGNaT7zXe3XuDUbDfQ8d80qKwlrr80JpGEWrcJM2NluttVsroSFMay+3+Zj7n9dWxaXj0s3xSiK&#10;tO5bnq9vmk9+c4JfYiTVGKpXpgbBjdamT4unwCROc4aesxaKfe8DA7kTeu86udvTzTujj4nHiONr&#10;9bo5Rd0/TYpQvz/au6B7l49CYkP9dxFc8t/jO4vEJMpA0Doh5qyOre6sOpimkTinJmLTFhh7LETA&#10;Q5zby9k/iaun63Vm72jMyDwwE5vd1nutBW1kTddZ0dw/zWSlar/P+1OFrlDWarVr2senbKx18lsO&#10;SrQq0Vv2df9UsX0ZQ96hvO6JU+UXat+w3DR66zy5GyWxJKRfP593ETVo23pN8cwT5SR+f9ChYPM3&#10;L1La0qjkCiAaC01gWffdxnmBeAVi9HjUTLDM8eIfUB0R7DH73+0uUMcZe163q3ZWaLiPSKKGBN5A&#10;g0vjxv0us95PNaoMzMYb8Onq0+c9oxzRznDBe/lQ5722Cip7sRspl+jNGrvHOoRPXaHi07hyuj1d&#10;AjNHmv7uWQPCLZoI0HrFvNCz6/UgnO1e1/84LIbYlygsoFEN0QlVPLPayhJmqWILSxl6u9yYFB1y&#10;PT6Oow+HGClIS+EQqpcYZtFmAO6oIVk9nH9pUkmWZ7UlmNmJUGFf9hFjDsd7K3D8YTI/Ft9DYEJS&#10;zb7uerdt6adqqORMkpeahUb93MgydQuiehUU2MzXPZg5FP6el9d0N0Maq7axgJDa5mNapFYRajR+&#10;eH9egOade9foP/DfFERmuGvNsiOukGKUCTFJgn1vbU6ivP4a+yEdB2geJ8kEm2rgkK1t5j1ulY16&#10;D7JRHLR59eJkXltWtr1rXR1+2xWb3HHZtfC8PWIyj/PneN2TPRJQBufHGNBm1a27XY+erp+7XRD1&#10;HzeNhGhyXQPaEi2JOJryX2n0BElvAcktt86nB9/wjpvVoVgYuhIcob5xWIJtb+R4zfuWgPUj6yv6&#10;j7uG0BXx6xEOURFLYs5ij3XKN5c5CZg1wglugT1BBcbLV8aYXQlRx/USecNMeDhsMXSssai5wgB0&#10;z3JTP523nfT1iK2vur7uw9PdB+pv2V36SHTXpNRV3NKdpps0Bt4wtCBT+8xHxw3ly9NBr1tAGJjo&#10;r4vUT6mflZuQG22mQwWHvx/C8C66AGZZH3xZc/rd+G8nvEOujKj3rkxhoaaqJDPrSRr0Tsglgaa7&#10;j3OvqtGkTZe/ttn2npAVqQxDTX0kYldY2dvsa82wlcX2jiXNhOIV1gHso45jFpmRwJFvxiwh+fxW&#10;h2zUo26lTW35n5vPadeaIyTHw988ngtj2RC67FfEIvlj34O7Tm5iBNt8vcqb9qXp/mlwZ9UAHB2W&#10;gJWsicoxjvu+28Y0TzgEy5ebpk1hfPwLImR1i8SJtnnwb8vGYyaINURk4zEtV/Tr63O2V9BsKtPl&#10;6pZnjhaD3bjc9RqHTcdcbv+zFNssI6zODLOtG7bgIs7c0hgJnO/TsDvHwz11nU/XZPkm1QM0ktYc&#10;IXKfqt7tfJe7F8+HXxsey9tg3LXKjoaMVJudZiWxmndVQmANbRs/R4f9clOla/dNi7/0DdYzTdeM&#10;bnMh/no8+b0k7OvuiGsxntCX7GYnyeHIhJuFJq626VjbFuhavIUqUL7rsgoqRycjjsPMuc2wvdqw&#10;/dz0TDqe9iI/HNagN9PKlYIf/56ukrC+Zs/4nPvjVrCiUcnRejjZH5wemO3lv6AmnBtle4nivL1P&#10;bTG3DG/BcteWzM7GtljbE8RA+bg8NcQPbYx1oO78sdOrYjhMR9s0XXe9jjXNW1YuvyV7C70dZotu&#10;CtLU+eBSEdgW54PYlkV919C232CwJ4G03PjqLY5A7OKQKG4Dr+2vYSITNIXK69vIebqNyscS8vsp&#10;zLWfdpy9RbFoY8q3ffR4pqwDbFHrLSTOxNSXG+7bygOZkPbOm7umbHY2aDJEdeXWpmMD1Eei0VTK&#10;D6EVuXZyiYEu2SGVMdhx17lS0BuGrt/FTpRO0M3uxKx81mbiYcs58e2+m9L63nSs8z9Ovqi+gmC/&#10;XmEMcfz8VmSvh2NVivzIgZS2Yzee1rgJOBRqNtlhRNOdvOeOCCA5cq9Rzx2NAR//XkhD9USTN4IT&#10;SF3a6i+IIK/fHdzwb72uPdqBt+46E6iOOFzXDAYm37wt4XkgI+VvJolzfmuhexDbM3SnB+MLMO76&#10;rrt3uTkPlScFyl5Q8NVR3kMdx6GEUPcm2QXWO9wnA4D2UHX5vRaEm9/t0sN0En/vXHyeE1e6bxJU&#10;M1ttdgLshrnpYqxOnJhOlV6jtUOSvu23G9a6dn9p7kGvS/hHwH6n2Rtow8TRSBQ3PMZC4agnYGtX&#10;F65eXZGtbFppWyNM2dyXtznEvkjY9Ttr5MXg2oYpgeb8+235twhWDEs/gsyvS5SzmfjXE+HIYPTa&#10;FHap7471T8nYtiMPQRZdZ6ivh1CCUsr2l7kUv8/YbxW7HDnLpcaMiesxyXaxQ39to6BqX/et3Td6&#10;/Y+7HmPFEWqy5NAVtZL6y8yTVB26hoLz9lbw0SstNtKUdiu3zCXGWiO1fAKfS9aN0FHkTLz9+Wxg&#10;c9dDGmTTiKczXYeS6lmIxycuP/9zp+ltUn1gEsUJw/ucJRuBbShNIIbOUO9WM5y49+1sv/KzWSyw&#10;990Dyu4rl/+vrivRiiNHthjKgOtRVdjHjMtg3P3/X/nuFqHIhL5zxk0plVpi15JSxilDJMmCEwWk&#10;d7LdjIMIN3z94F2HL9rAcSpUMut9sPu72SDGsONN8z8jI8BS8H4zvNmahW/+SS+lXkrvmbD+0rJ4&#10;FDPVznWpayZpCfktaq/8euoSo/OllMxEbiH8FCrBcRUIZqUDTDxgDN5BOBGWopCMaKr+4n6AtB+5&#10;9CLRXbIkK20x9sHxybDdEkkdb2nxF/xIWHwdEUNhVjxgQwm2WMq4m8YycdXp3KBwpt4LZtX6tq75&#10;2kvwnoHTw63ZWFtpymTDvPUnqiZ1BkAylMRQ1x5aqByPWcx+lamwMyt2ldPwQeMbiKquCx5lBefl&#10;c+Y47Js9gEZO3sJ4yToKh3pldpuDm9oxBErimJ9w2Rzz56GeneXGu6V9nt/g6yZYC6alGBATEaea&#10;PRwL37oBtymDbZ8v1oC0EpuvQ0rbcm/NBoVB7wxT9a6JEf3Fl7xFq39t1LVp+CYuK7zLGbBCmUv+&#10;XVNGwg+NijbQANI9rHuufe090vn+UmHJmCpWI+6VdHDH2MieZ6P881W+vaQC0pDE7GptLOm3i9Xy&#10;rWdQhLpXL9G59HVLT+FzvsaevOYNyFC9WscBDj8g7Nxr+PonYZeRCfRhhoUz72UlVtgETUweTqej&#10;tHojA4GMqayuqSsBlrTCzj/Fivoe0059A/nbPjTIkpra1NPjvL1/KxiPVlidxtFiCNhudB810c93&#10;0cGVa52LV5pdkAHwI5luudi11Kc7AtHj5it69UE+XYrLmDDlDy/+LxoabUV+08JnPSQ3sHevzdel&#10;gos424CU7lWvrAV/8i/dddi0BNJmeaOu4bIcPqAanS3FsimZhOoRqHq1vvEvsIl2r9lygsGLtCaN&#10;nPyjYPA/bMYUGJYxojltrUhTlju9e2hTPElETNPNYnV/wY+2e/yG4EnVMUImXz9+csT+VhkTNkXn&#10;CPSb1/2Eqzkss57MxN69lh2eX4ZXXUMtCW2F1DtTj39nuCxujV0TMlPDu7I8t46LOkyQQEjoq4EO&#10;nZBxQ1h2YU9SJrZ71UMqn7QSfgdFLTUkfPc/H02+2lf0fJTnl9KY4U6RrKRyVf3hELvoJ8hPFdDN&#10;jh07Xelh1WUehPz3V39Rs8HnfBVtjs+OSo/aDxxkTCD3Ot4sQVi0NF83lj8NNssLQ0L84Cht9nHT&#10;CYBH/apjqSt5ZXWlD1QpIt2auCGY39OBY4mOg/Ox2nR3lfA8Z3iLeiV+bJ6iYCSgpK1MYrzC8iB7&#10;g6+Z51zD6rvrk1LYkuFipchMq8TnKnvaUFqEBxGzvysiSRRW5nR6fTe9h/Ya7BH3+j0Us4s86NbW&#10;FE/qrsoTCXkpx/CruixswcPD7aSSuDPfOej56cWWna9s3CA4FnVN5BZ1pe1VKSLxdnTdodOcRlUX&#10;hme6aBms1gLRLJWrCJy5JCl7o3mo3YmDizVzkmaxtArj93IBZ6b2eeng+qVcbYy+wApPw8womLZA&#10;+pt4wg82qBB+wopzeJ2NOL8MIogb47WaeVuJDjpOQx8AxfAb7bt7DHeAUOJdtR+9M49F7sKsHErS&#10;TYjwIW/MvNpCoeYvQwRD6GSJMNSYITK1pb67oj/EEpkAu+yNjDFRkfD98Ddyr6zTOR/Yeo2flFys&#10;MyrOdFDce6f81XTA3h7W/hqAPTeNkoUHHqybEn1xK91SHjbc+PeenQRu4cyWrHon8HrP9Jpzku7V&#10;lgjq8o2/88rGy78MKvKKGQTLK8afVTnpu6rV8svhp/KVJ2h1hSF2Oco/XAIgMsDwDpGyobByq5kH&#10;LVwdPVSkW1dmB0F6Ij2U28/8IuFPt3LriZGphZpP1z1zLgapa2bjSDpAuNRAsbvPhXSsoAdoO5l9&#10;Ho5ZT9XrehsMAFtLa//vH5a8thc0XPzx2zJadnPLgEozu9A2w6OkxYwBjVSd92Am/lmFhEGwoA7g&#10;VRkqGmb7VtTTP1ZXvDzmPWB7WZBINzY/Ew6d+vZHIGudq505B0ZQ6arHDkeGUryxIOT2ZwDRj/g/&#10;+Jppwg6xfosxfBmpI6A+s26ks30q9vraXEf9ajchoXyf41xwI4JQ2SJEZO3DN81AWm43SHC79ihz&#10;VhblL7Mch5H8n5jhXcwbUOQzdHL4RSucN0b4M2Tz+jqjvd5zgC6lBfNkHIc22evRvkdIFMZ/giwi&#10;LcuMaKUnmNgVnyscfqhiDqVd0Pvq3vXD/lgxG1mrsX81+rYPmgG1x3LgDRuozOd20zMmdnjgsyWD&#10;35bB+HzgC3mPqr493CDMkGJM62mYlOem6NXSM4a/bVaMj2Z4BiQLnHy0+jlq1yx+vRF7SpKOvr+b&#10;1raO/zbHM1FcbfXnoTFLjk0dozUmVQR1oWSYACk7E82wO+V6xpShGVBGFnheOyYWaAy6sbeaj2BJ&#10;24b48hsdaBASrlNNNvMKjJKOXqsO7NC1B1I5inq6XtiL59l8ueCzWI4ddltbN2MExxBd8UczvIt1&#10;Cggc9SDXR8QWChX+cPgx+m7avGkEe/y3Oa4vGfCqN3M8eGt22bTJ5MJmQoHIzMUQwJzRBMiGeUsr&#10;/yLUJP7QH6fRRNiu/VwgwACk6HV8VdjDpE1DwDsOY8jYkuVaWWoxMKidxzmtdHR4J6lTjvKZ+rJJ&#10;Z1nsPFFR+ORv5VGttXW6fJfX1ca02rAZHaT2FzfC227Msl4pgZNdmsNK4tFnn4GvIWeRO4f7HXSV&#10;eoWAJtGOr11+YIXfpIPT+cF2eUt6L/dqYZ/uxyMMf21loC2feB2U3wp28HZUSnFiMCXTpjRjxwzl&#10;VVlQc9oOKFvPpgI++4B2xRnKn/iKKAw4ebnFBm7k8U+CjNLWOV2lxRwnEtnYNlImtab5OGynMi/t&#10;H+rzGindNMTEj9eEof/W7uXYi2j/w7NlbjPQYTkqOcib1Ye/JVKreVCfRE581721ABOiCsWJVSJE&#10;W0EWub2UUMeLE1OGnd0TT/dM+CGlIVuKsas8lM46HhhBqOkECXrdzugAinP0vEmmTQJc9QHj9aSQ&#10;FddvZs1ygUMop/0sJnJSotN6IRXyM/l6GjciAw6/9EYLDSi584YcC8krg682N7TVgn+ev4TvFnE3&#10;NEa54ZX6Y90JQclwun8D7dlpDWKDrGKAp7HolNWfpdsAsi9LfLZ7Bw42MnwPHSU7/YkAnz8oLtCe&#10;rzB22qizfpDKaiLhqZUuOxAjnKlnvrU79oduOAX0jPA1dHUtEw+gqAclEaZAUoEIwutia1t7mrvJ&#10;1+wEKpCvfmGto4uvs5OSLD2+3nvomqAJMq7iSHwPPxwrma/j/CkiQWCNydd81FIqKqEKZKzt5LIL&#10;LJXdJx2lb9DtNQfEAWtz+dYP2AHdGucjdNDiPs1LHLiVPEm6+Ndlc7jbMase0yzKTn/bTDwB8kd6&#10;3oH9VeYTZriapMdPChcKlFwlA2PFjR1PKmBVQxPzG1zqAcN5OqIPSEwKtIL7OKjxEt17zcX74ELp&#10;omBhEJeVgVtZUZgkiXvuFqr8U64tscbryervez5xwcN8xu/pFwAZixFqC3dkrIE19TtkpcxReZcE&#10;P7IojkjYLFpc2ZaTqO/1fjF2zESyg/41iCqSXL/M+QmAltxZFsl0xgVC5SEDN1//t+ajgJqDJSxC&#10;wuRhhj887KTROoBB4oqgPsLDJb7RZjg611ZFbI1b1RI3kWk5V6OBqFnMMSIKE18382jL1qQ1lAU/&#10;GiOWOiL4ATSxIIn7yaokKpxagQLWKh/bk7hHgRYb8BBJurvIyJABbCO7zMYctUiTZViSVtf/1+T+&#10;8VcOOGJ2NTMNfdutw9P1JIOlmZk0VYeWLo7x24H8SUBd/Q4w/Im0P8k3CTBAgiQMo3r9NkzyJ7De&#10;4Y1oHhCnUobYbLXpergk0XF0DZmcQ71KrCRFmmG+R0MDY4/siEXyPQGZZquW7/YCVYEoQuJEgi+6&#10;UUzsuGQ8xLlTTuk76hAUySuzoI3yE28OVyxgXZLmoPjfUr9MSlb9m/2PREQ5j+9O7HufnpYykOIr&#10;JfJrc2T06D/bmFT0UsTmolkSKgn5KNQVHn4G8ZVvjDjLrrsUzPK635fl6ekEAt40Ic67PPMYxpQl&#10;E2tXQGGowYwxS3UPPnLb1SQfGsnHeFOekIZ1mU6ozSbQ0pMcWnr8qa8yNKnBPImTLz9FJZaDsss+&#10;1T6Rh9cyuHLJqt+T3BtH7Md6Gr5qj7uWOhmrdb8fnces3Vz0M0avHCMkNRwhB5MAXSvvSjK3O9/g&#10;elYywwZ3azVAv5sTZMDXmz+lqAVKud2bTptDFklxeCzlX/qaQP703F6f7+fhGGkv5A7jua0REOdg&#10;TywJrHepzqFOhtNmnBvPNSX4f/fWddkVxijvsqgPWSoQDdpgQRr90lubME9KEmJTlkUarVAlza1I&#10;U2G5raAA25q/gBnWDhMXvXLjjB4P/eCGgE/N8NUHqzmuxStrJouWH//rkASicbNx0T9kY8DuhMai&#10;FjLF9vJPi7wFZLUHYXV3wZumjCVSC8ffympzn3woSBS7jYTTRo/IpGYAtWMOmcnyo3l99l5bKZ7e&#10;sGt99sdk8ZBhJ6r0WQbHXw6v+A/FSy1gHQ+v8eRBxxESMlCgrQgUdjBtfbS0QRlGYpk4n2PBj4GS&#10;AJQV1hBpb0EFOE1VWKt9o3oGQSii6UW+LiNNe28jlh2dUlyVIWKDKmiA9akcT7N1mJwxMmwp3MCT&#10;C2N4TTjCOFvotMHLOmJU2ZFVBQgXSTVcpDRNwi+uqe1vIzTiC/pFF3ev5AwQfzKvbBJaIKnYDWI1&#10;hGXzSrJXhJ/jlfQ5vdSe2bZ4CgMVWSy+Wht1qFuhBMBDpLkdscBYSCSyM9qYQs3+bSai115E4tbO&#10;6WqRl6U3bNskFSvmQXMGW7MgAAy+TnklHHN4T4woXhkBEfrgEqXLH2edUUD0j3Udb8ldZmUtehKu&#10;ATmSvrlmo07mpx5PXWrEQyFiQ6SqngxvkAZsXfha7eQPf/Cf69GXoxaeuIvm3ntojs9iJBuqZzb1&#10;UEz9Esozysamsi0U4kqE9IkmsByGosY1R0GpXSfCA6dfGfKYJP5oUBAR/AmyOJ/xUpojtq6om3qd&#10;Ng8ZEtZRclb5SQpTzpd5xEd9ou2RBjNHpUNh9cvhRJ3ydL2PSHnUlnkEMsZa9qKcUA+2OlZA8uEp&#10;4EYir8HXdg9x0u8WmRiGAmUkEfKjW9t8tcVjtKKfQJs17q/Az8kUQ2w1Na1tY8bHA8YhjmDUdNA0&#10;7SXlgEeuQjY+iJl6AzEPHXXYmo1XFedwMOmUGQ4Sx7GDMr47GQHlvXo9hDxC0pwYK1iibFeUFxSV&#10;zTUDi0RQEv/hiCrboNluHc5BVtIbxEuGVqrvcWtjrEHlidjQ9sDfVYVPmHJMx8cBS//7BNb+vbdM&#10;NV/NEZSrX0CzVV8zFuOVqyDJswvQnxkgGEjZ6GftYDZkAxZfL4o9CdTsmjTgHLJnc2FtXfqqj0id&#10;tI/rLjkhlyg30ZCBf3hTA7IzadiahoecouUxj8/65U+Ae5HAh1oB9uOxW+9omx0ixk7kIjhKeYy2&#10;cUA0784DWB+aIpZTLNCqymDVvuaY2HnYNqAXzhCC2o9ccbIpmC+mlVBspYFkgrVh3sxm22uVkmBn&#10;XkMAJWOcLh7UX16mIZcdayeZKYu01D6aImbyKAawWWCMLVQANqZBu8VBfb1BrDm6QLJz9KEAaLvS&#10;ygRMWF7ZjOyWKhVLizNldG2ZsoH2lNXxvqxclmepZrTI0Xa1odso2EBI6hJFdeh0oOr3WQNl8QO1&#10;/V5nWMgg1ycinkHMhhKgiVSBlBk/bp/I0CZhk8V3UPbx62+3+JxLOB4SHwm2AV+qMJfkiqKZorY1&#10;HOJd9KnAooc00Gr9BtZoT7h+X4OqD2Y4JWuqrzv92fjcyzai2mGNmYHwr7yTiC6QM2WKEN9EWODf&#10;KRw8+WQxtlm2YFW21EXe2ugp93udb7ZjLEkPj+wuYFyb5H+U0BcW3cfoQPv1uxm/bp/IFwEhvfm0&#10;OHfM8YAPf3o6YxxTktPjdPQif8Z4uaYYX0qrFZoxj91ER+u19puQymlDbgDIStMtYpeMhM1b3Rji&#10;R7sC7rSjTc5Q0cvV44ggKucDYtAQ5tBzW+KMPB+7Dd8dDrK4xdii8oJDcPc7fRsja+BHL3tvGasO&#10;jTXxJFtH4mleHKIwpexeopZH+z5COlBC7tBjCPzVa76ck9y5PUDn27AeEzJfWbmi0jsZXxcInXS1&#10;KC15qhnNk5FmUFY6ipMZ7gqIVMIMdt/E3pCzedpPZq30xFoQBzsCG0CmWpocF3D8VlML11hijvP5&#10;h7jyXwprQ5bh3dY/eIpa2DJWp9poT1SBqT5cSOrwdX1gHn6Rrfp5rU9tAG8riUCYx2Pv5yGD5Jd5&#10;tEdgq4hS4zP5RS4rCcxtzTGJMdzR4epFMeUpCVqXa26kCmSnsDfJ96McdEic0s5nj6iIlgPD66qK&#10;3+TUdFld3+9TnejABvBRbKy66HTpkR46xDo19GzGfqCNyk1cwVarXc1JwrM5wpax2nI3aQDo9ChY&#10;VlB1boNgAtFsHTGnIxY/8ZqKDWigfBzMbE4wFGy0UZVJ9PiyQlrC8x88sDYx2X1U3neBOU810gIl&#10;TK54yN2C/glf1W7p67Llu6mJswYpJh4l8EEzOW8pVQZab60OniSTlyf0uoqq7JqQYKIUkoxlSFsD&#10;4AFZ4i1f5+fxd7dLtXaMrbMZB9ABhFEIlNs+E+VcF1uHC3K/nACjidLnJISgQ/397kDirdh+B74T&#10;Dvj+gK22/dd7s3Xtzqo8wHh52nuLTsvZR75m9E4SLb7uIq8fbrtmSLVIoxnenG8/5nyaczDaYjLs&#10;SlvY9RkzLLpSpehh7FpGWuB6vSruIHFzp8z7VHLmXR1r+9SwycmUxd3VH17QQBKLrT1hDNgoOuR0&#10;C8Yc4kV/0oQNr5cPA2LAa3poc8kWYSUFscNWT4xt2Lr4Sul30goZkBeajXa3nP0XX731een8NDgo&#10;5UXDQimY/tKUJMTAhBV/+KI3eBB4JkJ+q015wNhtEUuseJP5oG7bGg1QUxSvj0dZRZMWXmmjKSGm&#10;IecycYjQHW5ub/95zXMYSJHcekW2PstEGvLqruOoYe9muz7/lmJGKYHrs32x1LW2NgMoyK0ybAEQ&#10;zESaBltXvlYRWwpiuleHBcu4fMJXtcX6unR+NZaARWQbPRfsVvGf96z9iN96c4U/OT0mY/Vx5ACB&#10;UEvq7CjOPnYY1YXfNg+rguEijt+9oGzNAUhO50GP96Vh5CNSaU4ytyXWoMKzrOTd7LZdqonpEc/w&#10;b9fvWtIAeQezj75Jp9S1CxumlPA3q+fsufucrcvi79cthArVWwojShPWV2na8mPbwAmqUd0oxeJP&#10;kFvJa0l3GYbTF2U8Pov2+aCvgYIkKIr/RfDrh6GO7MIvdSZzV2pZyw7oLqJfFaTy7blLaG+JedKB&#10;GJstyPirJmJz0TVIY7sYKGxKb6Vxw/XyIWuEgM7Po36qbR5LrhW7MKEQC5CvqDdsXbmWxW++bsyw&#10;I9zFJcW0zhc4Hj7ppeXHlvUU0Od0Yw5J6FilT5IWvVlbJDhHJJU8qaSLr8gktEUVb0qjoohsQs6C&#10;WNBUiXY/ZohV7Q7LSD6S7viT/DrSP4zdybsIAaqPNGd0Bt87DUQ1Hl92UZGE3M7Tc/ZhAP9hj+WQ&#10;3saKCl6xoElaTVcCQuyajIxUzfXrc/lYvpIcLWoESaS0aYZjnFuD10imEb5KiJbAz0JAC3aDZVBh&#10;V4TD+T2Zz6VPi+kRheM7s0Oj662rJjnQDWmCF6vFhNNybfbEvquQ/1fw1w2PZrN2tfpde+0uchCr&#10;fyM4F0hdyYGvJm482cv9uK+VqMCfCZhyktuwVTOuXKj2lIkSCwdRwyvwWYhGv3Y0n7b+lM87d2yd&#10;Eia+4tHGmFgBl+iMszIKFuyDtAVqlNQtX2VZWIgmE1el0H5zWY6S7/VEN9sjJj8yBV2ts6suWoO4&#10;fPGbGZ+sgMv4n17qit4ZNzGfkQEjaCHVPThE823a7LHzKXFBWqMWnbqgp9NdDjy4Pm8UD9AkjZfJ&#10;eSVTsdXXg4qOq4Ki+OU7+yS+rgV2CEWqEwb57g5jgDMyLX4B6JDSJltj2ZdjWL1u+KFXaKnOTt1O&#10;WYltrbBta1lctLfs+2o16cKi9Wk7OldqfvAmNPQ93NCbuzjHd+R6oTfdUDYjlcBQOnDyh04QFZYs&#10;SWGubRdCHxunLkpdga89fXvebEUG2OfIBtXVAnv9uYY9KOKrBezkKADwOIHEsF8GtJzu2oSxKeOt&#10;QqctW7fBDavasbXUcxUFAuXdhrt/1lhrDWCX3gEO3CVF5NaaQoD9Dbuy5DK1BHUpp6wptDficPgi&#10;Y4Why1O4QezM5sVRdOb7so0PUNtKYcsioE0lIlQmGi5mlFQtwMcg0fLTjBX1eedaGreIpz5b5qWu&#10;Jsh7DXtUR6aT4E+Lrwaetr3TzEU3HK3qrMfn/2Brqbq3XcvNb9kqLULGtuiLb43Uc3YXxEAmb7f6&#10;sBtw5swJhR0j0tdWw5qcWDNVEDSFFgIkIE+QTHXjmEnc8CVUYwMTkSMQLt4FxyjBYNMA+x8k6yWG&#10;4xIRZGOzaVOYs1VG8AAncleBhLNcdZ0ECtIdp4ZudvZamQypxf/W6modTHBDtmz4ClvUG5GjEtVw&#10;1F/0efweZu3Z2oV5TkEFbMqvdbdlrrkMOosAeqe0MlnpgencY5Ns/hASj5Hmz+ZrqckyxCB7Lz+K&#10;9g5QQHVREz7Te518XhBGh0wNjr+d+aDSxShCTQM8hKim0FaUwkofpSL7mD7jhXhydJS/wnqdLfR0&#10;+n95VEgJudilqgAAAABJRU5ErkJgglBLAwQKAAAAAAAAACEACXSnhPXSAAD10gAAFAAAAGRycy9t&#10;ZWRpYS9pbWFnZTIucG5niVBORw0KGgoAAAANSUhEUgAAAdoAAAFpCAMAAAF7YynQAAAAAXNSR0IA&#10;rs4c6QAAAARnQU1BAACxjwv8YQUAAABmUExURf/////7t//yAP/0KP/8x//3YP/3WP/2SP//9//4&#10;f//1MP/93//91//1OP/yCP/4h//2UP/+5//5l//zEP/zGP/+7//2QP/5j//6p//0IP/6n//5eP/4&#10;cP/8z//4aP/7r//8vwAAAIjjXt0AAAAidFJOU///////////////////////////////////////&#10;/////wAN0MNxAAAACXBIWXMAAA7DAAAOwwHHb6hkAADR6klEQVR4Xo2dC08jO9OtISgvEogQkUQC&#10;DYz2//+VZz1rVdnuDnt/p2ZIuu1y3avsvqT74eHhn6/D4eH18PBwEDw83P53+NLXw+Hyqs//HR7Y&#10;o+Pl4eHChpoPDzdt1BA2/jwcmoK+/nkV7sMfekDXx8vD7ZNvcMAaGxCD1sPDe8aevWOU94fD38M5&#10;BPT/58tDREcI2pBcJmFsf4E19h4OCAHy4SC53ZxdNl8fXsTwg86w14b0e7+Y6NcPTfrwoOeHvx89&#10;9gM82hl6KZKH90+PZ/eFJmGp4VkfD8+SGnOJuL7/+cl48WaDYV+ylAx7PBwemxzohxhb/yUSVmGb&#10;fn+xJ7lAp/1Ff0d2LhCUJ/inNlFkwAc7+q/dH0h7FxkPD2CErDH4wMCvP2q8PPzIcZeH2J0/bdEr&#10;kb17ux2ePzXigoEZe8uXdDl7z1Q19IsQ8yYfx8Pl2+Nh647Dj3ytf/5/k43YcJ8MDcb31+XhmwA8&#10;vIi4pMAolitj/PEhWfX1c7g8ErUMZqzj5FE7YqoOt70evmUmoTLAo0zBeiS4tZG/80X7cuVF2Fbj&#10;G2RTwYjZicgKiMeE5RwOoqxhB2pH3zKLNrFAxuo7ow9HOUfOk3llSDU6IN5F9RNXO+XA/vpyThwO&#10;14fT4XrFI9LsldgUKW0/nDGaA4QBHqYuXMUgNVzZP9GXzmvQQXXTw0nbJ+8VysPDU3Yk2unKB2qJ&#10;zuHjeJX+wpdhjAKXw/uTtGDY4zcN8H5Kd/4T49cDbknxOR++SAr3URRe4V4NV7i9isT759MPTpOp&#10;aIcgmv49yJxKNXOBhTSpDFOD/Kwtp5RblPxG0/iXbHmvtozhkvNADH/TqPA5ntD/kSJFAOtD+i9D&#10;P8+0S0d26dI/WdHfYIknvqeXD6eoh6bf/wTiIdFN9/AttfmW3zwGdNvr5JAGHjCNE//h9K5xcoEk&#10;kF0hoJZXLEkuFimZ4eORYk35smHc+MZ4WoKDA/iUpWXW4+Ho+vEmk4sSQwqLnRNZLpYeenJEqWqQ&#10;hKAQAdSYruEMxndXdXsEHw9v+ng/fPwIi80gDiOetMFwZfyLpoTvNyKwh1oyAa5iH5nRVTZhbHEh&#10;5mWdm4ZjYCGowWmjLYYFy/jS0tuPJsEWvZ9MRhLphwryKS/wT971BrksNBEE+U2xL0spFth9paR4&#10;KvgUW5AJTDYJLcFVNiNz35VD0l6dEFEbM0XKy8PhifqFmIebhsu+CjPtMZRuMUSRmzO6AuLwSSPd&#10;D2+ofzo8vks0tdHkMNX3Df0zJZhKSgKENYTJBBH1Cb6HkhEMBU/mkMi4zHguIioInxZgDAXRs43S&#10;V/aDzreCLYnibmEZQKEEr0PfFF5vTw8/P0wtVIygOyXKAwZ9VcgJTuSXaV8VIT9yzJV566wP2oKm&#10;GHBB4k/kjuV5FTPVIvXLR6cn4sWjGAJBcuZ8tnO06zQ+XIVEAXxRiH5TMOLpRsJfb4+K0NRfxTKz&#10;kAosOKGbbU18p5pIELLKqVJQPn8X0vHpU/Y+yeDC+iFYnPDGEstM6PoHXM/idiJvTi4qtLkIBQUN&#10;38Q18zAVdQ79cXlzGPFP/6vfVKK0m/l0h/8ZKqnIf7ox6/fpPWUtOe8MP3/LBIIzX9SfN2ondvmh&#10;+qGLagolgKSjxnv+/JHe7+9CV61nuMDjKdWUPRjr/yuuBN8IYn+4Efn+B5u0g6LP14fLi4lkQH3Q&#10;44pBBoLq//r4B1wQtBipITetUmn1zuHwP+YUtj30f+56+Of1ooWBY5iZiPWaF1EepNrwJ6yLBMyF&#10;+/FHsUZ3LcidoRfqh3f8TVxo51mrbRddC6f/N8g/vGrBAgLo7tEOA/lSvLnDrYykSR+vPyystP1M&#10;GyjvWcrHgV7W0SNXvz6yEGMpRrfM6H9aPHsR/EdFC+JQ4StoN/Jb315qXbTjhi/NbEfMcnuxYR4+&#10;/rpogiin37I2kdulF5RMjWADQ+3wvj1cnN8Yy8wSNCpjQWTUpzIdk6Xfg5k7FKUMJfD/0nG41IJV&#10;/12/mXdptyr6uzmOShXJ5iOB6iUL2OKAyctXNX063pXKzlItivTxo4KgJfZr0k9zBgWMcSalbYBv&#10;iD1LBxmbNcknIrkraPjJWHxULOtPxz9u5N/ZazD98wgZiPXkD+t0T0+eR0PB63DP2uwcvr4/Fa5Z&#10;KRxeNKWkEJ0V9FrrOoD87+H4JctqCOJoX4lTK14VNTCSFGDUN4VOW/qSjS7UGppV8yw1nZnMREpF&#10;TjVJTmASMaIQ3tlRxlPJvuTDFyd9OiWCeg4nZqInERCV6+G1yqD+vr9fD4/fKKb9DJBVb5DyWuGk&#10;svikWUBHCcjO5+nhLKqRuYbEKBjEDSJPvaIJ+VGMDmJKR1M18kbdCgEHBp9qoNerQ39kseTJXZMR&#10;Cw+OUYSiLRwJvv9r65GJ9KZlnniTbsoK+ZLlPYtFfShGOZAPT6yo4PzW3ChxSeUQ4t/bEzbT1pUF&#10;p0ekzHpD9vCCTJZGhE8XW487uayBJYNa65o69C3xNdX/aAoKrhLNX0/ULXnb5f/meViZ0UGaoPiu&#10;QxAtTk0e2vSbqiiEJ/gaT2axqQ//CUFSMV7ToJPXI9Wigeo26tsNFjSeWSycpJXg+z3zpl2Rkf5T&#10;TbJjQpYtLxZLBIKJHjecdWDGXtALhU0yXNX+SfbR3vXIwpsYcDd91BVxYbDDSQa6uVi4+y2VzGQ/&#10;ZQWvENKVY/za1XJjbD7cHr1ESziBwikAvu3PI4t2dp2m7xjSpUqxYiRByGjDUaUt58nl4XJmJta2&#10;tWCO14EhDcHOQIshvaoZXm9Un8ccjVJ2mdDcgcZeJjCoyocGE7UmwjYJ4Q7a+CRTFRrWCSRJ7z5p&#10;5C+OhkjgnzrhAYUeyS4RSQcWIMLYjKK0Q8X9JL+OehnJ6j6heiUJhONVlEycBMKfoNEFiU8mCI+U&#10;Y+wG99TX05sIMqViIoe41yo5opHgPkqQAT/RzIP8IRz98XE6XE9Piuq4UT3xQfgcjweOm42fD+nG&#10;Rvz9Si65WlxJKlUex+hTUs1zgfxBIHqMGvkKffKDXbfUP5JLK5YKaf0/kf+wdCEkKd61qs5xbFnZ&#10;HybCEE+a/KfyPlxZ5xMJrmDIkU627N4x3JmstRwb6jG+Vf2RTFaEM138nVRy5b4PpaGpsZo8nOQi&#10;jflQdZQTf2DLAcRRpUBlnsmLcy02sovTKznVlo4c5II2wVUricq/mFUjThbYleaN+spKJEMbaqQL&#10;68Pbtw7UTbyxRAEL3n50FAVVcNOh/4L/8a3Viyq8NPxrm9FCn+bUIGchF9AMTmt1HX60grx8PXzU&#10;WVMcn36txPQpA7HPHvh0eZ8v9pkE2AM0nQoY793D6+Uv85C33eMv9jgVgd5fFvzr8I88eNbaWrJ4&#10;pV1Tyx8WzB7ukbR5ZtJ/wHmpslCA4rUOsg04Fyh4+JLCQv2q5ZPHo2WtxH2ILQTFrswk90iwcC02&#10;AjazR0EwZdkW+l7Bm9LfjGERhZz+ckII6iSLtpUmHwxkFwtgL1C83AwFt9o8+itybkc6r4N9rCSm&#10;SpG/+mLPq/b2OEH/J6Z3aw4zYKAt0625wKdStWlWz5w3ZE1LD/1aSHjz8EIkg8V4SRR5OLLVxody&#10;2+gC+uj4K/s2U2KP3PSORP7itLXC04gWgDLIssi+IA69zYl6Y1Gz1NRMXYBeXR5YHL+gOhj02/Gc&#10;cAffLQp3z2jqkhI+wofg4fns4wXYahFZdv4+PIspi+QwkwlZ92rD5nVmyFD4XUxi3/ebRabEiLNU&#10;yeE+ww5fqt3Hry5ZEprkkPDidhYV6yxufINQeJzA0fft8PhFL8ckKlwV53Y37giuj0dtMlZ5tEkX&#10;HV7JLO80S8kLMchBqYPQdhMen0XCHxzTaKNWtU5ifb9KT2lKvIF0s3090MNe4K7JSp9iyTLpmWMx&#10;+UgrjFq65r+psTrxOI925A+mrOSM9mk06VJMyVpQLva2m2hlK+O/pCNyhSbmh4nW8PrUkQw0Q+vg&#10;yzwaQWrZnqhX4cyumD6DmLMjUEPE1BlrxzjOvbjfw+Q62V0B/SwvKpjtGfcGuVYDSjdOQRCabng9&#10;PD8KnV2BfVo9+dYnIitc2c2W4uz5QugK56KpjesTYDKnAtA3bpEQE6ohuywicjyBrfCoC5GiBLNr&#10;9anPV8IQprKOugmWR/yIgRREUlpx5PUP5TVVVUa7OQgItNQ4GYBddcJFSDdJ6UAHKMN4RUTIqMOz&#10;qTCAJi/4IKAq9vKCv8WQ6PUsjwX0ZUzwKaKG4wVcNVkvzn3IH076gI9/yBIQvh9eOJVSTB/HccGB&#10;A15jW7tUMrwr038cnjibplZCUF81gg9Pekx9si/nWynAWoE8Z72pP/YJKSLDBxr6thO9pQ0vV+xK&#10;z/VpzjAGPckf+vq6uUyqjaHu9UKqCQGpvrauNx+ZB1zFwdCHt7QSYQFLwAjz2UcIzH7JIZfXTs3D&#10;u10iAfSp7KBH607TAdcrvFqpojQdXDyYmjI44f/u2BHKp8KRPnqMIctqhzCTrKqM2pElEb0SpPBC&#10;kQVadqCBK7XF+ezKAO/z50LgYxafAbBGUl0O//YKjvQHBQX49jxzVIz84aq2SZH4+hZDLi9kR2Se&#10;FKnqelWHQsMIqhtSksMt/cdAUsrLHY+gi0D2GYbrQes4OiygbXa10vD3cbrAVRokgb4VrdpBKsLI&#10;cehp0CWQyq6ZWNqrU0ezdPiP/97Q0QCjnNX+9lh/FaJB+3KyC0OK5IniYk3Z+Dl8xvQcV6KjXJap&#10;WdsmLY1k35NMzOrb9J+It9RMH7Lx/ZMDf/15F5Aj3anR7tM2IoOE8HRdiWyPyCe9ry6R2khlElOW&#10;12LOYZQTOugVu99qO9rfAQgp0MRTIUKo0AFfUSNIVSDCM2sh975BPkePnIsXafQ9HHVocn145FAl&#10;1I3+JKNp60nRrdLgxQ501PVGzZUbCR98eXbUQPDmSAHH8ZdJ83ByDOm4kAtj9KGPTAt5ji+1IatW&#10;FyU8G/q0BAaizN5wGUOJiKnoopYY5erQf3M6vrXvIK5WedTiiOKPywwd+tII3KzMd15ZCFYgJq5P&#10;bKjDXW2imdPUJxua5/ejo172E4rU4ASWmfqYUlg/xKVAO82Ub3nKqn4jlTDZPp4YlXhAVn0fHtMt&#10;o6vZW5hASZcwhnKENlMn4OnkMoZfbmQUk6xMILHtD5YFNKXiuAxqi4MZ2e3kCiyfQokk15GvtuCp&#10;dmQ4QShjEEqbbNEJJe0RfKIukzFPQdHTT4kbXCBlSj0ELTMRDsMuTH92S3BfXS1AdAP5MTY9SYg+&#10;JyJkaapxjTK6y1ghywvERXU+Sx8Z6cPhmhWD5cOUNDim3g9c6UwLExiH3dI+60si3FYhdI2kJiXi&#10;0+kNox/jC19fpvdKjnyQRTLzD943qzXCBT8IJTAnEipXjmDtdkZdNZCtH+d1ro+Kqz5LvwdK3RMD&#10;vXZ5OF4PnzgdPBOrOBGgyk2mUdtjcVJVTGy4KhmUenEqxCDhLX8gZKiyj0W9IWbKGXq01qHz20kY&#10;sOqyhhFg6kzlWrB59vRxenPZMAYbmn84DwI3acP1TIEUIATAcxBo84mAShMYgQgm41lIh77Qr2R3&#10;iqVjByPqH7WCNtlPHU5fZtBJkpY3Sc239jgFw6Z2XO4DVHMKorqIIof1FdE1UCFgtT1G7T/Dd6ez&#10;Mjk6pcuzDz3gVpmJk6AEfGCneJTd8w1xQNS+4oa6phKrhHy1uZwywvV3SJPV9oZlhg6UbHjg3T5B&#10;/xD1DqbL7k31/1HEhUcOaQ6Fp7TDW+CoVVunU2ZnzKGNeJ3phzZVL+cCAySuvh8R9ps5WXQ+repP&#10;RlYoWSA1eBkhGrKvSSI3Ckc/xWfCwTku37vShikDtYpmRz2gQYJW/Wk4xDix5nChOT0c81hgS0OZ&#10;SlJcc6pU4OWDGl1dNOkSrkKWJaSTmrSltqsiCw7EGx59ekvk0QSf5LbgRystjlY5znUoojJ9GMba&#10;KQTFQPWKku0UxBvoYoYmT6qemWsJVocHlUSMYG9eT2jlc+sCtVa2eVkuRHzFpEzRM+AvrYi169op&#10;txAF5vdGyNipsl6tcFpZWn0q8edkWci6FHtwQPIOhCXLN3VBCitzCQkUYgR4r6/gsPbB7jhBJpD3&#10;vYr1tCJkusxfvQQQwJb6slYhRDxHecYG4P/B2GM8SItZipcUJNWcgfxJO9kyV5is4NWTEHs19ONw&#10;Qma4HW5PkvBmG6hFzfZzRZJADf/8Vc8fwtTT5/Plgh+YLB8O/0AHYK/iOsDhof3Csku6cyLMkw3n&#10;T7mfU1Sf1fHz5ys6hUzG65PyMxpcCmw/9yI9h4YsEUC+1JYPo4XzJ1z/8Wjte5iOZJl8/2cjPXz9&#10;MdfEKseZwuDD+1RI9okdUWR0SDsAvetjf295u4bClep3kbnSnXsdMJ9Pmf6YK5Q0wrmFoWJF7cvA&#10;OoQRk3PrtjGwPk0JsAdDi12O7v5GNfao+sjuff33VkZwZkU7ONX7Ht/dDMZ8gpjSsxG83NM0qu/C&#10;OU5qvbmK4t8KAZcDsOssdnPNeX/nCcOT6SYl5JxcEnjvh1tK0uMxHJqkzwaSmWxKFMFoLMnMnhZl&#10;nSS0Jc0V3zOWejVUVfC1qgDF2HUUzwIW7REh4CpibMjBZwbmVOHh60XNdebu9nk4S1uZg3Pv4GAR&#10;gO2vjaqErzu953XuhTO8dF0OX398YkntnO9RXVL7l0ODLTqstIRh4fvoWz7xCemJjp66jWpsi+gt&#10;zSD4x+eSpSpedHY6WTGSvr6wIVvocOHgoU5Tc5dK4ovTfA8XyW9OKQQix5QM/tmE3/FQ55c/QOPP&#10;wSmwR72LGApsOxEManpQDx9fVNOEswSxoHBNVeHUj0krK/CxDlSdgtj3BZkRDk8zd5q2QwMMzK9v&#10;0ftxWND9PE6zywCyOet61IDcwlX/FWJMata51liemywOe2SAth8vDkDXL+0TA7mNWRDDgWUMmdBb&#10;/sv0RBisXLG/JPI6AouxB7yMVZJnAo1ix+ywHVxp5sZq99icLubaFwO2rAD+pQ1x4So/P1K4JR7n&#10;P01Gzc4JcIzlqUxYR76lnMpfyMh0+ICB9Hx9kUUCVH2JV4wIH3BaV1WcZ4IDfFh9UzrLarmOISxj&#10;MgiV6/jY0fbNOW5slwwXns3m2OKvDky1VSdyWIIJJBuTcCYtyg2qQkliGV+7Lg2u4IxwlmpbvI8+&#10;gPU6ix71ZwNVs6k/ldFEtng4kGnOaYzavrzIMCakT5b5CnAOIoJYG5L3UeqoGmAoIZFu9JwvrN+c&#10;rK8yoiua/rsNgt42JjPca/KwizVdLEtEzJxsPbAdwQwvtB+EEgxVZUSzMgJtR/xPlulTQ9SPNbUn&#10;VV7kQDbHVJBR/krYSyWxZqOOQSgLxFJmPK99GZIyrQY+2OJCUBKesvDygt+6dNyIPOsrHAglSEpJ&#10;hZKCn7j2Ln468okUKJoSbKSwQgrZj02NsqqKCtFHTvZE6UPNyHj0+uZMimqPTxDsT98abnwKhBON&#10;7md1qP6KM4hqsjMIbu+kuPi2P9JOxOmhXV8vJI4CnGsaKoqQy9lC5wsJpyM9GahUlbfPXFcQsPvY&#10;JRgWhSLKj54MRKgSFOtxMeOluR6U2z4t4rP9ZsufQ8kIDnl9ak+rHBnUp2w+RQ27yK6szENKOFL9&#10;jIPcpP82sMOHLHvEr9zh2OxA0RdXGs3U2Mp/M+VCBYOlo8iqAL5gODFsRG2rEhByMowmcRoTNASH&#10;F8Y3ouPTwxBAxnFgPng5uDJ1pfDE4OgkcNXwjdkkPbuCLA7cU9/6dGXX0j109KlqKoEfno8YXS0X&#10;kfQNld/2VoYmGbidF6bPTi3aL1qLQCRozIzdI4W4DHu4vFwofjQyMluegbD25ccXAjE0Y/gvVcXY&#10;RHxYUkRz8dtoCEwVZZnCrgALnjkOAlV+lykT1TljRwJ94NbYE5yKO099+i+TobO6XOYluH9VJu+x&#10;z0RIGfrg/NWRNK1IdlKomOnzInzTElD2SAFtuZxcnh2WN63jcjZE6cgYSeFKalTs//rwzbqoXUfR&#10;fb4RcFx+iX2llXyMiqkcvi8BVR0TKuzklDY1Vlwknwx8e5Xf1SpfcRh8NFfwzUUfF45ESuAELP+V&#10;GtYzDkSFVyRy2TMGrS+PwzMKq2/OqiYJg+H5kiuWPh5VcMX3OExOShZ4nRH1KDRCCIDCFXc3XDRB&#10;MFO5VqkJe9tmymzOjkkxF0Zz9WBc5gvKUo4mr4M8lpFogk9BJSw/XP6/vbL02rQCTxgVwIxwzfMY&#10;DZY4LgzSG0pq5oA+9dz7xNHNvvQQPlneMPmypEuzQVssAmU3ARmMTZjtOEGgwuotjrd9iujhmS2K&#10;AunoD30RgIeHp6eH3KCrEYiiBLdzJYb2FA+mJODI28EI8sHnMAhMI3Akn9PQbDjYQFN9yrkbeNP5&#10;wdkDtqFlNJ/9I9M81J+eDbIr9A+fupB9SUV1KKf0zQldMPTRWzGGDawtGb8QuIB389llc/UpNoZc&#10;vvGNSyEtqp1qxYzSSQHiSVTMo2FnnlV9fsjVmWsFkTzjZBYZFwEQbREiQYlo0aWvusKb/Q/prd1W&#10;BCCsCBtY4qQfft1wp6pEk+WeOZF9OupDOL6b1sEksDNJOs6veIx5ulNNxHwCRZAP7ykR3yFBJSqv&#10;xoZuY5M89kTjGU+qfjw8Xa1V+dS00NkOxK3uo1kEPJOKso1STLGOt1/hUGXJQeYtBTOLdwzsCqwB&#10;9BA5GsEOpwk7nn1qyPZWG16SM5/VZHMzhaEJZ5CYgsyVNIQWgY/1OF3qS9iIziU4+tVJAXPk+PSZ&#10;RHHVUkerwhzOp8dx3tFtoNYCQlGrxHK/YlH/JFipzp88H/eLvmxLJqlPgmAvk7IDTPp0xFQeyRf/&#10;qmzSJMnEB8tDTEFcGqIqmJqRvYthtFF7jCZ3qMx42IXA1M3VuHBzLKi2yqLaoheoeuxtteWUNrzj&#10;o6PLk3fpfybnhCOBjhVi/PFfDmDI8XB1xrhJUKfXf6qI8JEWgcu7Atc9n1H17I26KusK7AByemkI&#10;H5Q5l1TS4ZM4FtyctNoxbQlsKYgX+URjBfifRoE+ZecbkSVzS24Vg9crKwZ1IggBq2aSjSHMy9rQ&#10;+lc16htbKHyY0EKQWpsSI8PQyAwMH4tKpHlLsXtFLs5Rh25CMrGLv3OsrD1p84MnErn+r4h6lS9c&#10;C0WSJm8KOxOxtoQDIIWk4+ZrNch2+o4ZJIo0QF2SMxxywYJx5q3/rKT4UIWi5L4j5uftcD0/5dx6&#10;Oae58pWUECKn79Qp/cVUyBV2+tPUdsTnDlTyjJsXXMV9np7IZXaFlsRlhFqVTieC2nsQ1ufJtoam&#10;dwM5ZH/l9oEYn0LIafXDU0qaaDu561O9/u0o04D+Yzm1cVwjlgrbalXcgq+uDyyvDWcdFq4AFjI3&#10;BEhCaSOmQvOdRkhEPTc7xzhUUEuMHWTapuaIH8H7ahHoQ3tCj9zUeHOFGj3IANgvcNH+NzMzqFxa&#10;gU0x5YpxEiE2lueZWSAIJf0piSCgT9YN/FxyBBPXl+gD4fLsYy7sejhLJzzoC+FM6EpRkUUNMxUr&#10;vuiV/EhSsapG6ph6Tk8nmchBBh7U9O1Lzo9EqPbzGVDP1TS+bSeE87ShyBJBM5XZUdXLNNG3JX1k&#10;Wb5DKsZp50N8k5TuOp8UTU5TzVw+UwE9W+EJj8odRL+X9spQJ9hgaktCXy3WxmJSsGitmDXXGLiW&#10;R9oQorYcUWIltXz8oxRSlDKFiltmThBsu0Lhvg+O6+DnWMNPuMCVFnzuz5JzssajJcEGxdnCp3Rm&#10;BS5TO15FRj1XEatgFUHCWqAGj8H/3CmD3qhKigmygLCZbg/f2NMF4ikhJF3C1b7oi9tONeZt4siL&#10;MZOCMg8fEIipy4UnNUc421bV87I0Ni0xBqfqGtio+nY6k6ihKgaAtnRMxpko6F19UV8+tVPSbdXD&#10;yBOJA9bhrliiX42iTmK6iskI8SE7kGCfTaMq6Lj2x2aYvh6uEqrC5/DKrRxsZQgOc9EUEMyOA28x&#10;lAAW7ytHDtzRnKpNxJirPri8jVuSI+71SKmig8huOzPL4VSYemLyH4MiKX8QkhWdTAIaQbWlsQaN&#10;T1f7jDDPdAVi0t9DZL9vLjoKQBcLb/mDXLglhM30pD7TNgbo9KtBqSHXyRCK+0zPthBYxsUsoasG&#10;rWw46JWVcaqbCKdwxpMwVpV5a/3oc3yTf/AUDlfice7gICuchCpb/GQcbaNX8jjw9OVQxV+E0yMV&#10;in39dxogtVsU26EjuewqYtCiuKK6w8NuZAjzDE3ax9XaULx5SRssSat2I9iggKaFZAJM0d0dnrbU&#10;2E5NFWc5q7qvDuHGocJ5TFA/HH1TbdYHtPP7Vv03bSNgcG+4xThWg4aUdVcle9qgVK6qQNW15c2Z&#10;8vPxVAZOUGeK0W5pK1lTWa/yBCEhsNdCr5Y+nhm8Kaf5aCgYmU1lESPJLAQUQoqEY0CGqFTOAMKc&#10;cyJHbjTByr51x1AYsrKWfW5A/CrAo+r7dJt2FNjEN80UMuL89CTVwKZRDkl1Nk2lzePDWcJSAzsM&#10;AW1idzGtqguhIiP+UVTTWdYUJBZdRBj1mW3uLnA40O0mfeQIl3mNq4lVbVxfARmHgisvn0/Wj5lE&#10;MelY91oW0EEWySTz3ZxVOblNjwdUZkuKCMLH9YefuhrLneNbIKqooOh/mrFdjyqIpQHWbc5nNzPZ&#10;d2yzjxcYCbLDyB1vWsNR1zGWO5OIgGesH6wGLqrKtTKIqQ2mOT/CHmPYUDWx74xnAu4RKLv5fnv4&#10;lhXVI/NgiT/MBQWeXrA6fnBCCIN1keyLbDoYCunD54l746gprA/JOh63wwh+Yci37X/iHs8MUTZh&#10;ehF4xlSTqSKIH/bKYNpiusf5VgS5Mf+nOkgKVDUtbcp1bB+uib7CZUughbyY03D0zbcGIzVo/w3l&#10;eEwLLiim3gJVTMlPCSP5FRqxIzaRGr4zlXxAIRMlrLWFZ2lAVXPFOAlxgaMTpp8UQrHCoRjVfLX1&#10;QRCBI9tZfrawj4PJ5VP73DecHqNgezGSd5DF1j4yQSAd2PgZptLv6sAxUwmGbNoSvikQenxHM21q&#10;FtC8rlnczLhtyBulKrjfVy8JfAe2POdge7ajTFr/5UPPUocnmP5A85VghgJOjRUFmZg/NVhVUNKq&#10;iSrIhrvAEXkvw5lO9eU2uyS7ftgB/zXcKcJsxUJBufekUOXOI55YIhz1kXKyACC6spePmExHuhLO&#10;UE1i5oMO75wr0r1id6NU9OLOTOnjPKP0e1XyaFHlSq9K6unhMwFhUo8QUhu2pwQftET1WULJ4kIC&#10;ix8ZjLSTA+IjhleB4D+NTgKYkhb6eJXRNETBzQAlKpZgUysdHbv4Dtu00GbNwQNDHsmiLiO9IZN6&#10;TgJd4fNqE2vP8sjp4IgDV1sBhRpfSrxe+BBrj148ZCDfJu3gSqv+XF61J3nEL1amJ/duueDebL4u&#10;SDS7njJt2cw6dGAKlJMUa4/5/QG57kMqOVVCoC2n8LwCgYD8Jl6nOhNrZH0zD75ysqKPK5RqWjB7&#10;9SCsgDzKCSntY38OgOV2irYLN4NkEw7iyXDQ3pl75VZPWjT5bBY5DthC/AAyAcr4J7mTtNUOTvMC&#10;iP/SjuWHCpjYy+4wXCqDFEMBbEg1opUfsrxhlvhbWFm/MAjgVp5n+0ztPn+Lm5GDQBJIceLZAcay&#10;gPrIlKFOyqPoYmD1a4tATOY6eKUhFpBpFXpmys83TBLAZ2Lq6KUpcWTHOptxGsK6nvjEHkz04QDC&#10;mx/qe5O2Uk2tMrCTVP8dUz/FiBLFJFolDu3yTaJJFQonTGnSBo+tS58a7COJo+TwuqEKjWNeLRrw&#10;9gQfSS3NkLYKTKIaQwH6ZBL3HneIuxNbInsiwRbCpGrjpgsW0IihUuYkUjvjFD+ukVIqcwOzrfKb&#10;5BAd5Qb2hZahf4tDTHijsi8txVTBSbT5dHWWxu+YhKCmeInXq/PL5h0tMmOSSWKYupcpBpccJ5+2&#10;M4kWU20kQvhguBjJarb22T8JEi1To6x5qEztIwBx4/5guAmZn/nQ+uplraw7louAkxpNOWwQtnZh&#10;Shg/vKMgyqO4s+xVmjrWw9CA9pYDvW4nxYgWSJA53PgZCoSkH6WugIleSyPP98Brzqj/T5tB4Poe&#10;3Vzh9I1kuU4HKAexkIEwE3Bpv0GUeLTUIBRQQ+GyF759cCD6LxhOXTKT7PU5uT0riOpWOcmCIIQO&#10;gtL3P20qssLe1wkM0qwuTwrIbW/xXSDySEhsukNLPYttOyyqCukVmwBtqxokkEJcXAapWgxCrDFe&#10;QWazdf1CWBtVaDiw740UyAwuGxCOuRgl8vril8LusPoR1iBh5ZDSNcyIuAkcGLSJxPO5rf8XE/3j&#10;ZkCc35tshVJ4ATjn9scXQopRQQIEYKFtQQaGL3bIeVKwbPq/oSu/n8+9jXaUGCOgyEMmems4ZsWr&#10;iRw/TcubahaIxosqpQkEFCYSJ+6TyETHDAq3BqR8iw1rYKiqAbJ0bCBbTZiUEC8iNYa05NqIgLu0&#10;3TRsK0E+NJZNI+gvpweQ8xzHqE2fNruRpHHp2gbDMnihQYxV28JC40iQaYihjNlU44DWqpz593DB&#10;GJ5vCpwyBQ5Ak07gJ9rdJb4OfMnlLjfbFJGd+2Qw5tAecTUInZCLW1+E9dO6xnFA7kdqsGpJMaGh&#10;XHUAbjZUwwqJevsHCyXw1zGjydogHAFbGBJP0ss4XxgRAsuxqJSSA2wTBvgO5h/ELu3p0CiZVRb/&#10;c3jxTJQlF7hT11lMBcJs90mQPvQoGJWnAsHpNtxbfRpmPAe4fx4yYMT866dTmbuzBXRpT/qJlpp4&#10;ArLhue5+l1UE6GXOcgZqagjJKgH5wo5w4JbSlAF6UqlCBaAZpkOSxKIGIHO1HV6eR9g7LgRMeBw8&#10;BaqvVbXtJdmwTyqRm7lFE+cVHfqoO4gblxidCLMyYeGtyqczcVGCiiFfGoeastJXwkWd9KAVVTqQ&#10;6JNUYHx9lUoKGxkS9gYOr2zYdAme+fqAh6H6WlV7/q+s4VYDTT+wlgJ8PcddtjqZZ2+YYduntszP&#10;DbGg5P3LIwrSVqqoWYt4mkQZJAUUIrM5Zj1RV8zWfY6Y260SJp8GidM51KY1159i3kHHbgR1q1Bn&#10;+NBk9KoBX2VHTKuQTFr4s6uZdjCvTZKWLJ20c0Ef276eKkOIqLfdIxlFt3VtJ0FKnxctOr1aMlW1&#10;ySw2j4BQydwGRH+7k0M1Q2vUAsQeXTwCGARZMZm+R/BrV0qRVjID9NqmouYQo8P7HWWviZqO7zqw&#10;IIdpcgCLXHS1oYYQ8aQoXDSXxkhShOOTAiYyyUCHoF0teC0XD0doNxtY4guLdQ9i+l7I1D14eiRE&#10;og3AIxkHI5qJEWhlv3irkY3Y/hiJpbwmODfRR9GLrlqKLbq6Vbj410cKYM9EtW0VIcGfzUhZGy3K&#10;CGUCigPyMr2AcZbaLVLVWjG/aNcW48NO8CEMICr6tJECyRepupgkxoJEG9p9+vM1XW2IWesq+srt&#10;98MXD3mR+4itL4StCQECCrlk4fT1VDVxYaEqzIkwuY+HVxbQciM+7WeNCCTBOMflScCqlg4CG0Zt&#10;nTwQiSB8p96c7YpaILiJNMm1YseVJJkkxUn8LoePF5/jcOoxsNXSLmNALeXVJ1WT9aFLpyRpj7jV&#10;Vi1AyldOQrhiDlUVYCoFCGfIxqiZXs3WGRSDu1EV4+T4UDyM765YFupIrD1N4trTtjsEcb0+LlJI&#10;eG0vAb/XkB0kqWQU2YIj9CAHZKwt27OYWjGNfyViQAnHdeWTHzujJrOOtwRRdUS9RSSwO+VtIlRE&#10;kgpr7vsUWFqkEGjjWEXxxRW0fiIE2B08c1ZqQsWN/NKQSQzNxfS9ggSQvfRZPrZ1GSNTJ8otO98j&#10;xfHNJabRjjQ6Wz0YIgTbALaY9qL922Mco4Kcm2LLnjPYHmYpceIkzGgUbUs19czjwgip1CKsJUh8&#10;4eCKLGrjCKNAZhTl/Jig1dNA7XsznuBbw0p5DX6JqmqQof3MQDXFzWxDPtWhrCOQanZkNyUUMAWW&#10;Kl9X2nho1YZsmTZPwBKq7/vvPn9KmI/pnbZS8yBDAEVY7G8oZdh0KJXxGWpyBvHjBj2BZbhk+ygE&#10;5EQfWIRNRgDOmBcZrs7bpN/BKIIlvIxWX2MFXVFlq8SIYpHlPTQkphgLqXO3idCEZfzqEoPMmawy&#10;GFWgzVBLH9saWgzc4PYLrc9xAsZLTtvKh0e3ZoSBjsdZmLC1mrCiZOz8q5D3dFPulyFlUpH0kbDa&#10;P8RwRAH4mm4umLn9o6TWp45ROBc3A1issFugPOl+M8IVt8znG1V9nlKCYtePOZ5eycKvJusMjgcE&#10;hPpsXgkd8N5Th9h0G3pZaa33Bzv46dMlnIcrsRcTRQ8JKkWNY2NfmIDhoU9CR9/xxcapTRw/dWg9&#10;ih7bG1Wd7KLD9Mo7FELN5YIN8jRkPcCA6jwCvgxqS/CwEW0zpFJHDSghyftwxW5V0GuA+PPc9zjQ&#10;rjATffOlXkmTbTcqMW1FOR5Zzw6khgqZyKEgkAyKD6GpTRkwVSUOv+RZWCWd30XH/eyclWlOYAYW&#10;2DjpZtdCcoel5R6001BCpQVpsLWjPRHExfn0sidBXW68e3GiZITktCYAN0As0GZEOTmGMCRzpIp/&#10;J9eWCDJ3TgB5rsbhJiwnEDvi5vM003iZ3UpVGksZRwxbnTuJYFuvgtQBXnmWYAflGGl7XUyzAgN7&#10;40ztqdBhj6mgPDd3Ktc9MMsn1wiN92+uyvAxLNWBT/kAf33bmOoliWtWASouEyetKnwsssvjLdvB&#10;czm1rSVWexqa+lKLj6hEXQGd430h5qhJKJAFs0RTt6bYGA1wka/tUZQkF2cC2qzkIxy8Y+qGH3gz&#10;Xl9iRpNkcy/KBxbHqEcS0ig0VHdK8Gf0QlSDrCcBNaKnTwZJcALjqG2kd6OIi468GJ+juuS84EyG&#10;qDUp5pdbpT/npdqGcZNAJL0rpVGnpab3izZMr31CkUuirsjJlOQpUAEsHPLS87C/RASpn2WDr2RA&#10;EDGciKKqz7oExD3KSQp1CV92T6irTvH7urhHIKXELDZ1mLs6+0yLNSC8JzgGwebBtAJJn9EBd0pL&#10;2yvYspek0ayEPoKpaoYIx36Xm2h8se8fRdjHvSnhwbQRbJq8QSqAU5QKMYn9iA0tO1gtAG4jXISu&#10;LXDNDs962jE9+7QpY8PETpb4dtSwsO2jwf4WM2GrT8HFKxNqigH8wzObyhQlqX1BV1uJsJEVvK5o&#10;5m6ECadxungggZho2AdPCDsluH2ATAQreCMXuCZmB3Jd2W7j4hgXKI1gt3L6S9tmwyCBRbSq1ZKa&#10;xIvcBPr0mkjFS1+ibswCx4zLGhQVEw4xjB5QRkp0jkg4iIyYAI0YhPhm0QOYruiLjg9vIH1DFvVx&#10;gfasPzLZDvKFdbak5tEaMlf4kj1XRLUtqdg5/ONbZwvEN82R2YEnODrNOfkICF37BLgVKX2fMYIH&#10;ySKUNH35pUe0CyQ5HhX140ZVKfBJQBDf3Yhq0Pjy9X/PW5jqxIcGI+KjeYMcb7Aljp9pFlJCWFyv&#10;CByk28O8gCXiLtfRlLh7JlEYdWp8GVCixAGSzhcoBIhrK4sNmuaqs0hYMZtTYjAtPFkTUAA1wlFi&#10;SKVZ1Ywh3pwidyyGWEWBjGZv+kqwb1XqrVdfN8ZdRpDUIqsuLUlpc0fARommKCYB3RDV3Clvltu6&#10;JYC85JooyvZ2oTRPWIip6z2jr360PTIEYr+ypOeHzr8PyH+W3hXQQrAICuEyUAuhbpvXezjj3ZR9&#10;+wj6xGF8lyPdjXNeFXekcIWwTYF/pI3M1ILi8gIkUktrhYTCbTljSkhLT7y0V1WmlHGq7JeBCD7u&#10;PdC2RsmAdQ+K2kRKvOt2UUxXBIPK04jE0vF0lAz06VPC9JXvoCKr5pG8r9R8BGiP2FKDsO4yZiaC&#10;yP/kviqj2s/nESSHtqg/0ULDXlWN0uCa66VqKpHLp/0UcpRNiaEtSa7UdRkttzoi5GphCkNy+2Sb&#10;KKsbVeRNNfpsTkmjJspsFHWdA3rhnWOVXv6FlqjHeY/6ahWE5ne8iGuHdhxyOpwQBs8YSlVtSdWq&#10;hhohF0ssUVFTlQvZFwepR/ytXj+dzdp5qyX6YXxJrzacj9m09wh2FEhfucZzroAngzkd/Ti2Esgh&#10;Z3in17fy93SB3N8uP75fqgIzvwPxzXLDq5a5ZSm2MtlNSMKJTbQt2sIRMjMT5GIvP0K0VHIwl28w&#10;qYSNDWArkOPp9dTGfsTvAO1MfTVjKfQ45RYQiYANAQwjZL44fIgLHq9yw73uIuSutKzRJ2alqgab&#10;NeKhADga5R5+nYfkSO2ak+AkL+0rfQO+DlLEBfRISOtODscltovCShzKpwZRlGb6PxznzAQ+yiSn&#10;tlCFpb1iKOtodJiLY1oqMOwQiVKZITxLSZo5ryScLCYR1KC1UDkJVblz1xZAV5qTSwp+u7X2wg1T&#10;ekd/cYpdpA9NKPpgp9ziLUsViHtg6FqXZA/QQI2hXeDpx96yeZgo0lLx5sIQZYC2EsseDxWahkBQ&#10;6Z4bT0EXR2FIalkW0+AFvgGrMQRggITixlgBjnCLg4/TpyxgjJvCaCLmEtCoRHDGV5AapKld7CHq&#10;LSsIPaz0aa30jb3idMmesJCnpaB2T5LJfdP3tGJcxzss/ToqffrsNESfI5Wf5snd2wZnhqThtlhB&#10;sgMgotE3RuHdPcAmiwXRU4ALV5faVTYP7FiNVigoVyWqcDUCQtrh/TeW3BYOdflDoiG6Om3BcpW2&#10;LISZCR27J0CE6Eiiw8Py6+nSwBsC5uFYTRqW01BdmvDIIEHabKCuzABdAyr0BJQwgaVmCBVvqFrz&#10;pVC0q21uGejwVm820gt92SKEJ02+7Wk2lNuSkAzHJmqAlEKF2LGq74m4qjCyfM9MggrD2rslmNOm&#10;kJ4VtoOqoBwj+2MvdaVBEmrIqqq6xdX92LLkMZSG2MfKC3Voj8fCHkkxuJ0Al6jhX5ipBWucDt8a&#10;+KY/hvMpsMngBcuoS8sorhKRL/QX6XGEawg6qSMoG6CoBMGu7NKlrxHeCmA1+XCsKiRjq+5KhNgn&#10;g1IyOsxiV8ik2iRVrVkiWLu5v0nbGEhbhJRo261BikEwgekV7dxHLhUgbVuhffoMJiSEGMVNSRFt&#10;pIFVAMaSDjNE3aKx0Of3DQBDrI3R1JPQMueexI0IVZnJMSI0GZZNe1mjZTExEA1UVRhYBVmPr0ff&#10;Nw5W7p7L4WwRZ1NQG7RwxKZd97amPqBJCBJjUUltImJN6ZExVlXfSgl9SxhCLZ2iSGzoK85NZGWz&#10;xdGG+k2NKUeprK0zAyQ/QjhoRHbIry3c+ireKOabszEwj+nqQlAhXFdibUh9PyusOBdT98cU8BZg&#10;UhQkgUMjmkJMnKuaWVVxxN5SSxq/wTedahSy2kpTM26nOjPbcQSexDvHSWipT9vOMmL0mV8aok8j&#10;iLwMFWJPociQgZvXrVtYePPz3MpwTl9NqHomkK11qClNPzLZaysdiYSsTLMrrWpBECEXn1qFGjiW&#10;GmLClxpkGD8CArZX31wed8gE/Ay7R9iL+pbIQla/NUGAuMLmCVEBk4X6aGFS1LrMReYvFwMbKkAD&#10;NrsIfUpueUUGcqV32IqQXSsMEYNRqyorvxEcQ1MEaqeaM5Bgs6diRfRDNQ2PEBqVMDI+CyS2SI0j&#10;tP3QArs1hk8kmjyHTcIpgbCEmLmOXOopePNhsgEN42cRElPYwpSGjl+S40To8jh1XlcfC0Rmo/Fi&#10;uKkpqGX0Cn1BUowfJzg11UyvWiRV5qwEZmUJpcQLf/PAbYl53KqtqtjukvInCS6cUCKmFBSxn7X+&#10;02upAQwXB/9SClHFEhQLa3W5mnGWGewyIcXnalij1zGQmATYse5syEexYqt6OrxpbBUE1GAgGgI5&#10;nxZskTdfa68t6RMWVkytctRJ22BXBrhbinJapg1TIKOwms+PXRki1vkMSCB7xjHldqe+ee01HarS&#10;mych2FycCXZXqapAEn5VRVOCkLFlQJsHe1oHn8NxeKI0rmWQ+Sl2OXPxI8Vo4g0gJR1zvE/EpzgU&#10;REalszi4mWitcixoGeqATzJHPdtwaip9cFSrSlTGOw4lrnhawlIVzVuoWBVKamKznjSfHl5Ny2Zc&#10;Lv+6hAFu0A4Z+xTGbqgyJCLoK8bSOE0SRCAaImnJxdAH/4KzFJBTYdNJ2DI7s5JsgEQ8MzLhY2Jn&#10;Phj5zkuOq6dUjVAxXrlV3+pMDTRgdpnkpj8i3fqTQpJAn8EWsIDLz+o60txrFkjwmHlHDemVzK2p&#10;tENDgDNBshYoIwpaZqEsB/aSQySQJvsaIrSoynkQWcKJPlS14N4C8KXwaSQcgEJ8ksUSzB5hMfyb&#10;5KFq3KphZYYhKw6SmFrZQt7Jom+RcrYKqKl0CXy6xyWw1BOIFpQcCqPagidXt3PSkDgR+De5HdmK&#10;BX+bhbcAk/OBzuFYzMXVVUtYnkxiAjeJD4IXol36CGE63QKSQLbIr1pJ4c4sa+rrW+nyDOsnAXwn&#10;J0ekRutwGZ6OpsG0pwlufdnGLuKDvXb6e+EubuKVAGMsXNRAlxaRfphDmc3oCWFbUPAW+2lLvfhl&#10;1ABtiooA1GrjnpMc+KWHmwn8I9J+8IH7BHYqTf3jO6A0tfhmwwapI7PmwKxltEltDIrzzHTJ2uW6&#10;QHFWgyqWY11jW8qpat0LjS1EGrwqTGWeegxINWILnGqbqBjbp9B6DIcOVfn8ikiuOEk+R1YKlXnr&#10;Gw6O+HKOIAgC9Q1VW/2M5MLjBAlWVwJMgAtBQuo8cpVTc4j/qFMRxmZUaLSyRqV/tWUnt1f4fgBp&#10;ik+0K6G6/tQYAnfQE7fupk+tdi5qKAQcGkuo0+bwkspDoCT5eOWQQcaVPu5lt+ettk50qJsiH7Ur&#10;fG8XeqHFdflMntdBtWzPM3wxuGRLU/2C2WCJslKSghaf6bfDxUyOzlN7HHRfvR5cBML3t0Qf41BK&#10;XKpMeNsOLcbEnx+LKOjwKuk/rPNnklWIhDqWHqb1sCcbv8diZDN/53Z+jg5SUo4oVTjo0IFYPiGA&#10;Zhgy4CPE2aXzPUuRgSPFQ01CdfFwHChgjNnAbFARjENLtbKTIHt5bpSXtWn8yStNRsHTjsjW6DRh&#10;0dQ1317xkd+nSERnBWBntSPiVChM14yoErDnkCtPuRtQo62Fr1cb+aB9BYInApmNuUOtbZ0iJhIw&#10;5VV8UFO1/pyPKDBcUQujC8KwshAU7uaVJJrl5FzalYkVP51d6tam2vJq9oahKq3W1Gem1lKrXQ8h&#10;pIaqkkQYaqkoNahdmhmnWsQzh4AGt6jbxpQ1ahJ+DN8qmRZV5LOKqLFGEGiTkzq+Rl/XJqynT6J1&#10;yOFULNUmDpQHI5/pA5g//QLJ4Vx3RA0zCVGfclx8FxCeuJuDLSAkXjTYtOJVYsrfZU4ukpjILHla&#10;SrmBz4Rg5CKtySNuMrDpef23URCuNbOgPXBCkj/2lU5+rOvhG5O0UokGgYX3lkAYOIHqM0Dj1VQ8&#10;OrZ942LFQuSFco2zH9X/mAYjGdxbZnS5ikGZrNyrMZ/2qaZmupUMs4wY1avIDZS12JTWfpOVRKWt&#10;Q1XNZpYgc5M1hdaICYOISXbPIY1uKj0DSPtY1kICCVl/I8is+eWYhEG5AQCPF7ootsVfxtfhHGuK&#10;WjYazKOlnxCSZiG7SiKJ8xSPFLIwRkkdtipNy1AFFapeERbDoNeT2BBQI046GGgTRVUnM9rHIoZQ&#10;LpMoDIgzgVzIaykrBvBlneRuHwRzzFsTPKsk8bUlOihZNq8AVuR0cOvP0TI0LVMXyDZ8cMgSyTtb&#10;pBjE1MD6iZLccR9VYxztJlEMCVg1Vtp0PqjrXOopNd3CR25PFKD9QmaAjWvvgaENM2g2BsmGVmhK&#10;vFh/hVXcZUMZWUDTPCiHxmDZVvTbxUSEPjNJIRFzfULIu4aErjhqGoJiZMqIDz9oBIYYgJNKzgzl&#10;qn9HWBeENmBL2afaQlIP4pHcV1Gm3T2iLu9L7iDZQO7DPrlZC8AKFEYN96P1BcYSkFhq0WhLzIIx&#10;q8NKEkecGueIIiCQtlxca1Vtvm/fJQEyTe6SqgoRTtj8AnUpT0xqoYjQ5ieZWtUKVWSDOxGJEHYu&#10;w+oKjCDpIQoaestya7CVvXCazyjLSxzd5rx3ckfcpEFYpyHCNHyUjw0OBJ7A5017C9BBowQVDY/e&#10;QmohPCKynfXTxQThBBpqRwrDB1xxcMoYplIdYYCghFaiSohyyQhgkZZFVJhFghNWQO4vTL82eb0u&#10;0GOKhMFFIEDYAGhqnm4FtG5y0HjK8Zs9Cog9Qy4QSAVx0sEOTSgneeS5Lj9iIDlFx2vOhJ3D5nU4&#10;tWnXnmGo6mUde5IwPKS8PWUfYco+p9U2W1Vddl+PheA9fQ+3Sg2vmNyL2zL7+GEXvrP02ppqRzRg&#10;Z+Wkgd3oHfHB+XyKspsil7LD30BNFBUshqGqsWRuqazRsta18WqURBvaJBN2qqaMQDGPrg5JDOV2&#10;AW981I6lc6svjnBWOT809pksxsrc5KGbAHVSPDwQFMkp4XjmNPODY1et5Vs1yjSgLiLKaWOaBL9m&#10;LCmikdNGQZACdVObxjsEiZ6KGEsURiLSIQwjHGybPREWrjQ1vwk98yLAka3vROEYXfhYSF9lFXlP&#10;O2ZScpYOBC+brNDHbQE8sDkSziql/opOG9Kk9F25MyIvo2iM0Mc8ItfdxdIijeSURqHbk5NRuEfF&#10;FEtByVyUAbXzMwkIyW9QkeClaeLFCzw0hbbN6m5k9S0s04VcW3Rc9Szrp9rRAKAD8mvgscb4jj0g&#10;4WoF3MSBEG22Tqg5OBDINlBo5Bvl4WkjWDS+Mn1Bqvxr0OG8QlnKk8RCob57FslmjNeaWg4vbuQu&#10;8ZJZjkR2gdio0w4DfCNL6kfntTYk1A/0NJbTzIZG0vSREGFk2OXUXxwV9Diq9EF5nIH0Aqlq8xgc&#10;INk0iPTtQSYTQXurlAJmJHcjTjUHCU4X7dArEP/c5W6QQc+HUzkMWhkjSWw56SFyecpkC6Q2YUkk&#10;HqXxVNEZI4ltpUWSX618oao33AVPKV2udEu5DZAM3POndi+llLyO2LJTECWSXSkxYv/SVLzNqiGM&#10;Ad4OFMmNT8e3NJBr1MYi7rOcX3eKJOJK8lcvh2NFSe3sU4MF4ix3UKFR6iCxXQgdbSRVxUnkmrJA&#10;e2b2aPMjvJtjwRhQ/WiooZGcc/4YjoYC53DO0fAzZp7HKTrNiRj/xEeKvQySlJZNZKxyl2l6vSLL&#10;lQmPMG1Jjxl8F3Skl1T6HJc6gu6WUkEt0qLLgEAdEksTkDHtWz/X9doPd/ZgfRJH0bR9BVpBXfHQ&#10;36Mkk2EohhrhYMACEiYXNYyI2T26NYlwYSIf+aoyCJjAiGV8r6srwbyh42IolqpdKdyvFpGLhw30&#10;1PVx0RRpbTxjNzXFIpEY11sghHWdtQ8LxklvetGPGNQueB0piQ0QRx0B07pHOLufbd9qwA6C0MQb&#10;DwSYuOwHC5vUVwA+hoouXfa7JFbjVJUqKwvyxeXFoiLQTvJSogjBnEyhLVXafWuF/TMuenDOz0YX&#10;VtlKPQ5PUSDqhYDiDgMkL4OBUR6O6/wBphFeYwTQ6vxGRbAOl6Kkna5WDSof6Xv1qumwIbm5RX4W&#10;rN6WESCNXvYlbiPlENW3FGlDzewZ6i4jxxOugaFbMo4i89NnwUGVJSSQu6ycRJaJMQuRJgy+mGcN&#10;Qhuqasu/OTErHjiElaXQt++0wRIURxMWuLhBD26eRh1qgSFhqmXyUyDiJap111B9umWghKD60TSp&#10;Befq+Dmf/PsnnKxd36xmAwnZP4OCnN9hlRCVsfnQn6QTo1aVuVeJkgpt9G9bMqd2hK6/Eomg4PcB&#10;OW1mx7dgE+gRiERxqArkx1kXGGOJFQFIEl9fRdBFyd/hLi/ExNot4yt8ZQ119AQjCycHDX1UPCV0&#10;onLu1I4V+Ca0mwZbubMOYnK6W2xODggeMuwT614Nm0ig7kToDA45GZAdUU8uC/CdwJ4JVCmSnDW2&#10;nSquMZmGOMrZi9WEAkU11lE4J4+8Ydj7QID9fWndAQmI4RPvrLxxVxFufLpJVzXYvhbTs55klS0c&#10;lQD2XGalqCp1+rGSnIxk2cHNY0FgAQIjJi5zr999CYQ05PG8tjwwSuAmkd2eEZIzSlX27LpJkW14&#10;Gc1irXVGPXLjn81v1f2j3QSQmmK6eVNjMXCrgCNcfWW4QJb5m/JdwfsPGuTGOR69OasCSO/OE8FL&#10;EVjCgGSyU7bOG7hiUwYZylobSaSu2GirrATXhp8MwThaJYN8l201WbbhAJotRZ9L1iiOdssx9sQ/&#10;tqvHC7zlrtwsON0gpPGzE5tBUF2CdH1I/moISOAyvG3greF6Ht5Hk4scdpvKSoO/eUqa6UpeayBa&#10;VohtNfNVnjGkNcfzcSyb6+2soi+CZQ2HU2z1ZSsNx4qMXyMOPNezVduEAvbEzfIvICnhKYBQbNQY&#10;0vAfN/2T6FyVVfPrlx8eyggC2RrY+PE4HXwlogJpbWV9UVPf7Rkg+I6yopYk+8BkMymF9E8HRCs9&#10;67Y0+rgc/gqpCBWIXuGyl+1W1hrSxM0yHjaVFSftEQ2MwLbwSgB8tGX8BYGyPaP5KmXj0Y2y6gE3&#10;2acteSAyUdwWN4l9G/HSw6vL43zXlr43KSsa5VjjZqvMIYtJARpuomctp7LCkmbas13hh4CYAPEs&#10;VqRzP6ICpWyVZLrOanMiBJSy+kxAqhuruN1CutWgrj8t97mGD8cq+HnfNM5Y4l7QI8IgEQNHQFHW&#10;1dPPFR7JKJB2imIabVc+MEMMNbxMlFNunq2shCplp8UkEc+JGBB6caxc2sb0r8KXkNQaoWQdJWeY&#10;QkLKyH95PfJsBELJQKGrzZLFwjoxhGa7zeqGIGl04rF+1LbIR2UMKmT6MWceBqqo+kXZzxFaAi09&#10;RTmpKRuwEvXS1LB4KRwDNXzkc2yqlKW12gxLHVTE2EmC9EnAep4wj4GwfPXYO4GMY8dHGXP2Nr4m&#10;ggQykzxkAh9mbIIbZbWThoY8til9IqzPlkmQZkBi2wkrNE2xIktkaVrTFjBaQEFyyTMEkjHak7Nt&#10;jb9dwsdDPyW3pHCdAcGOs2IUBI2hIxa2Hf6x9WWEvbIP4rUYXAylRHpFn8CoHgGhV5Cw3kD3igmb&#10;+oJnqWLogkaP51J7IOO0J8e4U7qkqo3qJkKSkdSy58qzpaWf9+ah/hRNIzHtKRLZGsoSmYvcjxxI&#10;ldh5MpndE5iF1bbdQa9JRY2vinILUjBi4cwTdRSEbvDxsHJHzGReja6ARdCIKeGVWva2bIINtUt3&#10;aelqa7sSukPZryq2i7LLyWCBHwYYsZX+icYBbgZCbQfVJ+N4fLWuM081ifvl8Cg3Z4Zwqouiosjh&#10;J33L2k0zpnXBIBb0x+NpEguMpEe0ZA0cpX3QeTSnmLM5lBXSFMJiNIuE4OLYGZFxkR0T+QRdnsoF&#10;PnWgQBuMxmmLCPQj58TKNodDcoR55gJh5duRlxCBnYLgj2jUKkuW4Euy/IEDCxIb8V2G+RO30G8Q&#10;bt8dBkA3Yos9HkqzYUw8FQqmOcKi+mQci2p7iLkbA1IvVQ2BNC4Pb+k4kDLqzCPjjY6g/S2I1bx5&#10;+PMiYUrQPNYVgzySGWCbLo88rpsQ6TdIp4rsAW4XFh4ajpXcY+JJi9cU/BrGsHOscb401XonQBPK&#10;qs0CFR1sY+rwsnDJ4rGmMIu0le8VfxxiWP+Rsr4Tn/cVJdoY55XNoqyYooSCo6MsCTPaA38kidsF&#10;so+A2VAidBhXXzvWXv9YnkGbJjfnLanjbhnYEJLsZnlTVtW2vxdnOzCcBq81P4kUOjMugf1Y8wTK&#10;fkUO8AwaLmRZmUdrO/ktrCxMkkQvnMHTowI2vl2t5tq5c2yMW1YPqIln5UUgQb8aQV2ikjvs/ezA&#10;UMA6jguzKPpsYi0pixcFTnZ/ce+IipxGGQllfSpg0LMI+tSHWZ9d0wX6lg1aV98qVFXDqVfJ1TcI&#10;1KDpWEvFWyRG6FvmV3SR/ozizRkAgYTEbZ7J6G/ENAs3JKDZkfbVVrOsRvPEXG21zDwO5ct7q7La&#10;liCRT332hUyvAOx81MAx93V1KirZSZERNGULyJ003jOoiaLiJirIT0LSqimMvPdC1I00n3q0Y+Oz&#10;P8jQ81M5WM2Slqb4opWl9AYR8JJMRs4dRAK3+rtyyu7pChHe0VXtVcabXCW6x4tCHWgGaEAX5JZA&#10;fucIoF3JHkKPEB8zcwxvvDRULPgRNhUAGsoXSNqkCYPwF2VRfXrWXlFSa8MiskAkkeuGZ8AIHZCx&#10;gJ+5m3cLAOliNybxUN4AMY0qx/KU1ODq+6PCDX4qLNlZFDM1Sg+KlWMJCNNMyAP15HMYqpdNukDk&#10;h+d+HctUVsaSOd5dOkD0UNH/OxQxpzrAFEQsc3vtkOkqpF3PBm53ee30C+l2LAJZKAEDavNw3mSY&#10;hvMFK+83nmjyxYl4xPH30Qp6kz48wo0wlO3ldRLiL5c9H55JSvVV4Mwy2+KUQiONsXC8PIhp13ER&#10;hj+LhVw2Um/ZkYW/ndVxfW1KEj6KhI+H+VJTOTahJm7e6HyxPWWR70hqGiDcxJOTZCy2CmQSoegg&#10;5KIILBPaQfYdAKpEdU/UKPDD/oCek7SbDaT3Q3Pb5R7nyugWMWhC7NdmPQiw0gWhIEw0ZL/iSMoR&#10;pbFjeR8SZVrwXed4oOiz+r+nsvBFTLWyiGPHDqqMEmC5oVCyxpDHMQLVp90qyjTeinRA43yjt+XB&#10;+B6r0qBd+4li/D1TEYgl1DZLvYAwwsgJgHrKsCiqzYZEQi7ci87z4ShfEswF8YZk038i1wnhJ5+X&#10;2yCm2I29HSMFflSToZQd8Yz03+yPiITy5hH+OamvyNOuJx30NPV4TKA9xZxGtqy4ywJCjT7BJZdf&#10;pFMUqRRnHz7v2uPVBAWWUKO1EZFo+hFOPXze5uozB+OcuMw3HKtgcafaKgIJN6ucXYH0eYa6yQyL&#10;fWU16U3+rHVdRbIC+lRHxzU4pgDjEqh66akmtuCnYvXlJwLP55+rT5sYUSh4hDZfn4gd3aB2VwHH&#10;G8CbbNqxx/cQE40iilbyqZ+IGrAVJXzIJPUEGqI5tWyWEhoBDBQRYqqpQCQU0DqTsYTkK12OYqR6&#10;AUOITk5NPanbRpNceReRK61b9f2nnAjikvoGkP0TP0DfVnJmqIIT/Fr/AOpjEgiZ4VjekqP92qtn&#10;f8Y9AvGQvGppV5ufu9lwkzzoEI0oboH6O8o6RKXshTNAAfWJ5PnwAmNxK14VUnJgcLCjZQEufsJ3&#10;CcmBGUq5qgXUCn5bPxHhx8naxI5GQDaQ9iNc4tguRrBLtUlyurrEsXZX2sqd7oroeKQrrXpl0n6H&#10;kgeK2NfhWxtEehZAvC6bQYnM+Ay+AQ4bzykrKPhtJPFjpECU8KA8s4iZe77IL1GOI95FXsM7qPsF&#10;FQ0cZVn/2k9AsIUkKD146EsQlehETVlDI5Q6MlobMFVA+9+yjGzecY9sFHCJpzGSKboBnoJv0R0D&#10;27NCbZLJF3Ii+8kO5C4b1JuPYp9sC8Ayp4Da8xy3Tjgz3EWxuPKlocPWOBkUDZOTJcvjpSxjyfQp&#10;pcgwIabdkcAzXFDGKKOoqEe0/dsmAch4FhXYFsgqzrIRagiXVTHtGMrEuMVV9unkiGOd1AZsZbyu&#10;xWzbF5inDkrmYdG4WJhOp9C557NJQkga7m51OfLUzzdyJRnHlIN8wu5pyc7EsxKrYhbh+dawMqhc&#10;Um8ZEYoGvjs4WaIjH9tQj2PbBzB/iR1qPxxhAmYxKwlMoQqEOn0iRAqqnGtPLYWtVtlG3KWBS45b&#10;q6AnqC68lWSASJLZ2Ykx5VkNqJpJfXDg5ZyzQCykA05SgyPAluM2NAkEvh3gDfsp4GQTlA+RTcAW&#10;fnQTFqwvkXSLsyUKMcRri+7CD5JS+apuE3Rr1mBayOtzUVSgMLJfAvGDPDvYo5kNKQEqhyXbc6jI&#10;dASLfcQSA9XQkwk4jssIYHApKum35vquzK5LQYRO5wy0rJYNi1+msuIlai+HZ4/rNPuyc/4aKUyQ&#10;SYBK2QLi2MhRaYHTTGMc8NjU4suXgzgE4KxejHNBQDt2VKeqh5io9tmN5iTEiGKPQNfFtLKI1G+H&#10;57WKBg10cOuYx491TTAmAXxRnxMIlz6BAkVLFSiWKFsl0wEKWylRk5sa8roC2cZB7O26Udc6YY5Q&#10;zQgDu9+SuRwWxxpB48vKIocIUF0VEn+bOq8aYcGfLgxrDFnB98N2MYaIRPCS8C+GMuAs62OoLCVm&#10;yovxP1uSyC2WslKBN5EcblFLLUgMf97LRhZtHEuH11wpOxJY+x6CY8uLos2Xc3up/Pp0VPudm14D&#10;p6vixNbttDbpfKqI8F7wimGbAl6BUtBpEhuJthjjZMlakguRKUxG9omLfqWHTEbgIw0U7553ZANi&#10;l+yCJzbQRJg0atMFzdRKfxFDLscV5pHSnHEyCEtbEs1ncqS6W2MLPiE847YLSqBnCY1OEZX/z0LG&#10;XuLipjhWe/IpyXpJLgLEBXpywP7sKF0ci2A2cuS032UmkWbILNCVMcJOC0aSsYNqZXk3V4hgZgkq&#10;Wj4s9FL12/cGeFxON/rDIAJD1sERkSymLJ/XR+wc6wNpCeEIsNgGerHcB3qNlgJJ6WebjxoivRK0&#10;wk74jQnSIrU06pYT7LXEEEv3hDjRLnJSyzjkUVDoJkjYrrdIOH2mX2MtAZmAgUXLJxtJstWxvp6h&#10;72dHgMcCxIU1V3dOUHQJEFCeo4X1YvdieTykypMaEFMsMVeaoK9P809EEnAJPMwk4dRnHELAAWVD&#10;qcua1zN24TF1HUHsPrGSrkKQWGraOlZ/hCppaev6vQX2BOy/9RGeHmBgSB4j6kb7nSSQTRlSZT4N&#10;mWR7sEZiAA/UYgEbSTub0VQ881hSSfTpbcsqXtyeGVJfIumTNg0jiF2oW1dxoWMwlxa8YIUTH1wF&#10;y9lFJwe9pq6B/p4UI1Yoe0aziZGlvGWkEcW09MxHMMgAEtSe0UB9X2IdwoMBfKlB1Pv2dY2All0O&#10;COWvGRWMIJaBxKB1lUKynUZlwoAwJLioI6yvMOTHfu5nR9319oZKRAH2XhxrvxPF8hmbbZWUB8fK&#10;GKxNfcouily7SU61TBnaygodh0hhJFI3S0Y6DH8fejkcGEGsGeXHpxhgLHwJpJ0ytMUU+EwbBuLL&#10;vzQcvaIaXYm+ALoKAS0qJwW8ZMB3e5Tobsdk7jVzgYyKG0TRvyATJXktprAXZQLIga4v/R3hoj0d&#10;MlBaAp61JnTUYJu8PtDsZKbXThvAuKXe4ZLHE3vyGUpEUaBUqAKiNOrGRBcL6tihg8phXfYkdwEJ&#10;gN/V0jen+z4numxvqYG95CpMIfX8Ik+PeAwfAE/OvTYkI/MYf7eIrE+Mtzg1IO+2DVt9YUGSyL2D&#10;5iDpSBd/xkDIzlQ3ayIb3wkoSBSrgYAs0Ka8HX38emP1SCC6HERysaSFrEzFEaTZWHILF3BO1Hbt&#10;ASyLuKIcUUXcR4nVHTExO58yF8xzk6Q85njYWhMQc9Erx6KXvohGyZLDxFZMDdJL6OrtQENgMTcf&#10;bUcRiaEu2SmhoE7I6ksrbx+NSXd9Wh5GhMM4J95BQxA/gpSSIfK+56C7g1wOUaMo6sv0undEcQe+&#10;qHEHziy7cjSn/nBIIqPmNOjoUw3CSEs46As0CEg80c3r2kQjl/vqMBsDcuwTZZ/91ko5gQ+T+6j5&#10;dhQn6IlIR5bsjmy9Nkg8xsY4AZXfUyfEXYK4QhdUMIAjdJdQf6mBMnmUcOeMCSIIoiITfI0jWWug&#10;bbOQNFxUlWS5yica3lCnzSUUbfoMk4aoK2HOUBuDlzlqc8RwzIBNPJFo9yhzZ7VSvSKBnPCEjphp&#10;h2+06p81CHqQNjmBUXUnRPyjDwtGWztWBHx+iPDrUCJvJAo1BL9AQ8I6aYQuEkKUfVEAwo4NEVdc&#10;WlONs7LOScvcYgnooK18LceKm80CoAhviiSwcYc2ZULRFJJfWGcGBRlCKwlu7raAPjlT57e1lRIF&#10;XsarlXeDVZOJShO+uNiMslkuREdvFAkC3hVOG9+oLiYS1HwJFCG/bt/9JMDPUVYDCNz2O5w4K/dI&#10;qEp6mULSYUchRu6RsB35wnmn65Z+XxD9gnAsQFs7VsLU+2ocLwZHS0KIi3c891hy5+WiahHvlAJw&#10;ZSYRVxio9dOqc1UoCwvoGVnHtwVOSVcmx4m1KR8LzFGUuSaE9Hx57sm75miMstiiokE4TtZ4VK3x&#10;lJqR8RXzrdzjWGnY9oWeBBLehYt3sJQ2jkei2OedhOMohbSpidAPftcOtmGDCmQTCQncSioniyQX&#10;O5JgGt6zzrMom8yLPSXGGs1B6rMMU2DEWEgUpaY+X22awyfCizEmaKM3fe3kPr0fh7PBEoiUCpa+&#10;nYKxr6STGGr3ead2kIDfnqkn7964anzOLKBVcY62CEl4ZFOflr8LscOi1veCH/iKh3SQtNpMs+CI&#10;MRKGch42h6xZ2k5iQUBJDj+DrQztRl+W4JCxDWAJbHtJpBHiIm3yHATYY+4yenFg5JUx7HBXoudR&#10;4lTD88pTekmPZsIxfsxqmwkc4aXrizKfKJAicZ1JJIosU3lGW2xIw4oqg1rQWHpYoOFYahZcorXB&#10;dMWFALe+cpcE8sPatcdqx+/4sMGslEfy00EP5Zd8uaSjZn03kk3R9V6SiBwhp69qAJKt5JT3/X4I&#10;1LENSlnfP0jCm5+YSKpzDGeQEzSeOYfzjJEToFGoUr5uSBXYQrLGyWcJzuialJWgvDZIjaEMst3h&#10;34bSgEh+ODB+NoLDzSwReeqqDr/Ee3BFb4Htwmkagw9YPEWjX8wR5yf0pX1SRcS719bjnKiCz2IO&#10;xwoDKf3UthLE3pG9hPjzUT/xl9gyizoZKl4W3z8htVKdvP51JjOof9YOgojIBfaIYmXYWKAOrJxo&#10;tO/BcgGrV86suppeqaM1jfPUWKSS2n/ArP70IEZu9QMVkGLcKiGBZIZqsxvkK33rT+hS9squ81ZY&#10;vKwCHPh4o7eiIgfymd1UmfJMNnYw+GSMODSXrvDk4cEnpJMnIrZ/1DrjtXOScoEBqAA4SIZS9Gh0&#10;woEmodIMxnSsGhkqzyhm0xTHqoUPP35T4ChW5PhXzGo0FRgG2wP5Xa53NCSvSlFBT7zZ6F49D221&#10;rTY7yFJzY36EEa9QTWHLBCN0AgwAB6KMolNIMqjDH6go45fBVwLNKQYIz+ayoUM1SShGosXxiv0s&#10;BKE6smU3fUDFciN/ttTn92A+qT83fYiiRxFhMnqeAAMqYL7RFdz5CDIcSWdFROVWRajgpE360M5O&#10;F2l9p7N0E0XkN0nmeoNlti21VW1pShRrx/aUOzWw2tRIdCVlTcG/qVab33jos2NJZT8NS11ag7mS&#10;YDhQAfpdm6AlpU1SgPz4DJri7QRJSwFZLSR0dTJrX4GKHQ12GWH09PtbNEVXWzWzZ5TzKysHQCw9&#10;8ThIxNgxY5O520PlPluS14kleaVY3i1ydXz4IDq+rBuZERZ+ZFUFKaTgmmHDLekEnoUoJA2LGkKW&#10;/C0oyWv9ffsGDWWt4Vjx9ILAkCY/+qKe4CLqbvcvBmRTKXPlmST4IExsTTKVHWjVW9IZRRimx2uX&#10;LHsys0hmrsy72jqqSwF9gybpygGVWgYhCkl6OJyMpfE1vAzAIzb/xbGiKC2qZhEkgopY9iR7XA9h&#10;xlpTWRZ0+zLhlMakbD2vCrrq0ViU9wxku+Sps2pggBUKHVPyUDVJ/ta1BEVRFPhBwyqniidhMdzj&#10;cAB7fi0JDZXy7Vjkj/MAK0c62roYTAIpFKxc2BulnqEVEmwhP3t+CFclg8aDJZMhrlFsF67xCZNz&#10;/XlvaGujqHV0yPJi7boKVIjzykMHsT4qQkRHHODmghDrMGVodYAi5f7BQdxIt7RpGFbyzeDqAN9q&#10;arBnDsnqSUWztesT26EINYSiDvMqSnbVTcAocSFqbFBR5OHwRdqW70obeausROCW77pNUvnT81vn&#10;stDsZxHSR1QTGqdpPapmmPYK7PpZIIjjdx7PussKCrUY54fk2ts89gg1Yi9bGXUEft5LPTmPR9ng&#10;OMmG2cHOGoKM5aNeB2unCCREZPKhuI0JdPE5J3NRuYNTFH0bp8iJVymBNtrB3q1WCcqu8KpmiSvN&#10;0skqQEdNMqMczR5ojGIFhaBh78ERM3rW+cSzlyCM80v1sEciU+GrsjxcF48Jiyc68lwjMOMlwFHC&#10;eH/BsmzkLoe9b3orzbTFVUqLNjLWHrKfh2MlFkt/4ZBmqRVCU+yyVkw820a8n4DsS/g5D72lUYwp&#10;Q2oo5CU5vVfsEaOi7Evd0T4951XXUcK/a8TwSZfMek+8YJpBXbEEb8XskOVQRTZDtEEkLIhADSkL&#10;yIs+NEN0SIo8xwHaImWTRVjsijO0LRrQ1NaQmH4/x8tgbjzLV9s8zCx2sbLnZ4+rPQH3biuINEjE&#10;p64YD6jUWMK7TPokDPMbjR/IQEvNMJUnpjlIS2Av4H1lglDRCHlHQ9SDyxIGfPvFdaAJxaNLvWfG&#10;+O0SBjtS3BHLF5TZTxTwInm2O4aB0w1bQSpGEbQR/exjYJToCqZzhZeLj0DTY49pa0ZX0xSRCgCJ&#10;aEPys9+utZJdG4otglBbEJKeOhbQjg4etGv2tiQhoo9xCcDcpKjvdHGC0BApKWjiO39R4DATDsk/&#10;dG26Mmg2SiXAKtRTywRplHzvLh/6aNyY3tFr4QHp+U2HH+Zaeahd1PYjyjwY+0rGE04TYfziacD0&#10;xDEaZSdhxEEecvlmDxrSjYxiok+vpgRIEy+V8QWENlA/taqcN1hJYbp9aCaBEUGWa2ZVOi2LQrFo&#10;i5GHckeOC6XoS0BkEK2qYkKSbaS5wlz9EGZ4BaOfVVvvNREwQCPyAOZndxnoA0dbD33E7YOChOqo&#10;ocNrOYm/WsENSJQhHQw41gaTYBXw0dUKqbcyXlrnqi2XgN0iajYAwotmJSBkszJS5cHeNCdSZD59&#10;8GZ5Q6YWRPSeNC5W7IqTf+9UB2+pJd6c3ouPZhCPKUdyi5rp0y7unusthw3EE5iifmLFjsITIRGt&#10;ZQZWKB4ab7GppC98tREv/fmJkrQbVfTh1O8pDWGNsBd8uBKRvCtpvhwCjP2KYDbSKKEJI5q8QCyB&#10;A5jBgYsAPKstBNRsxz5rQAzLnsDb4hv7I6A+1f4jhbtFABVvOITCUgqoWZJiX0JTZIxt2q16W9MT&#10;lc1fq7zojlqOwYcOODty0VW6M0hs+Fo6nMCW20OmEhIdkl4TYGpWKWif8BeV2EQuETUcI8lMNzGE&#10;xK4NNpTYl6f1yUJDHUgqvUkNv8U6D3wWRDq+XTcRONmIP4mVV/ulzkIJqFQVjkCRKTtGzADDYkq6&#10;WC8Nx0pLES71sSpntpIY0ybxkMZ2JTLF+GIwgz1G6ihmoWEFvrMU9U2o4xXdNqeG5BzzMqWgLE1Z&#10;T5QAsfTYEXhUQ6/8BbZVqDOEGK9aIBbY9YMN7aIrJ5CKqIQbG7hdvZI0Tte2QBuMmZOpvsQizb4h&#10;CAVyKsLpJzo2Tmnms4vZF0RZRAwp2kY90nafQwbso4bFCKl+iXxteLWRsiNp6PRvPxRWGMUny9xJ&#10;bwaJPfGjYRI6ZnKeedtcacJj8T+f2nOA05MamBejDt3okNXHSWCBm1qNehQEBuBxTGqdEV0mTgQI&#10;qlHNapChEnxSzaacjtV/t+gDXf1L+ZqBNcq2ljQerR71xvxxD06GH/ln9rKJvtl9OrzZyiDrU1s8&#10;b12MS0x3aHt5lH7JjLUF9QhjWrROlqH6/JShwiMwZl6syw9IHHz6ltX1ORyLbr5K63Pmp1yDcSe8&#10;orVRbAvJUYYAzYj4BU8miUVXDIPgt6NgVQ1EQ3uwLtGW+XC/5TbbegJneStXX02LdXJbOeAgaRhV&#10;C8eRO24ARV8jxumEv0R5Rrd6P12lSQkElk1n7DQVMxRHR0wnU0lqbSSKRchiw1fVGQ2dTSYDOLb8&#10;vFb2TC/12fuCaN0h9ZcngQ9IESob2dQCeAipZEQTERRGjER4Whzx51av0rUGa9s6SkZLkfCriIn1&#10;IaMvO1vD3zw0pdF8gy82vLkjT2p1IyFi69MP3asZF202BdmwTfRdhghElMMpL9ooZSAvCjI+QYz1&#10;xMxuNNjGko/qpGF5x3eHuNDMSA4Puh1TuR5uqEbs06JemVtq/nhfzSIjHEkiNhjHzvvOUKUv4aOm&#10;iJUfqkfq8lre49s2kRoRy1CHuFEgsw4BhtFFqL6stIzsbmebZZLjFYHnFITOnMQkHK1MGTybUdzy&#10;ih9SiBYvupG4uVSVWPYAHMuWJXu1QVltMMovtiNlfa9fEa+cfsoGqqA1j+pJ//hlcZ4i7DhEN7tE&#10;MuAP6yo7ibetVY6Vau6RQELkxHE68ba+KOUxuFlXoEVxMDXGuYRpsnDyM8ElniyBNeNYSDNCCHBl&#10;6c8oY9FujcuoeQy1/OMNbKLREuLiBwIKSlcW0wI1SFYVJveFSjTSRnmsHStN/J0H7ojsqLaMQtcl&#10;k6ovqe0Q0BcNos4ZE5lHaip65Hm1SgjPNLUgFMgO+nSj+hVJEcPnZewSQXSQGbxBC7JzQ5snlFwt&#10;EATvJ8/9rhWUNqV0dJXc2iiR7Vi5BUFOvgLH09DLvFJHpNG1SjPWdcQIxBcQWY1FRDX4xJI2rYBk&#10;J3pE5JysyQBMy1i/2k39/eKfegtzBRybgjqfQQv5WIQf8uOVAZ831KiRMJTW0VVyWSxDOxbu6fB5&#10;pFQ97eG3qavjrDZjJuhgARyvTla46O0nuYsdsS89yda6s1AgS8o8Eu3dUpgbhDk6alYIAtTd9DSZ&#10;d+6ymnYzXPHUmJMUSclKLrxKAItlcBSkOAobH/6orRwrtKC0rojbCUuKCOR5aKjBBhUGYWbblkVF&#10;hROcXc+smz4lwBtSyVSVRNEgWVf1ibWmyJuOdytU2fDzZxqeSx+BrYmu+hOrfArKfi7ACuvkprSI&#10;cmL4vsawndSxEjOhgxTBUFJT3kyaatubFlzd2heGR8gJHoL/r4gxnvlfL2tmyKhPvI9LxrLX2Bee&#10;tRIav6JoWF+YaUeiawSSihXEEZgzqDCBo/RqxxptoyskapNt4Mmj0EqIao41UEDDyQELKTX6Nqd6&#10;r375X2Hiuo0EH1HQYyIZXfqLN+FzjS0htfzE4CslK2BsuclXrWSDEcSiyPkj7aNRpZ68nEh1xK+6&#10;4v/aLMnpZLTkFxMhSitIEycabkyEtIZEAI7NrWB0lQlkKYiEZGWQN3kVlGSPZfD7k44S6RXN/j2Q&#10;gJYGYb3x4fdzSo8OYpyWlargZF0h2o6Vaj6rM3QFYQRxhVn9NtdXpfFj6jhpqL/Ue+sIFdj5ah9a&#10;IbNQLI026dKuDJRosOLgqrEKMHRUkO0INR1FUi2pdBNaE6N437Foeol7fT5iOJwi5nEsw1ZdHa6d&#10;G94R5Ly6FNRnmok43j2goca007zNl1bGfmO/zepXFFxRz97XakQ9sRBBRPArYHi1AU2Yt4lK4I/D&#10;X/mWC9apaAERyLkCyYXZNZZui+sLOzxP36/AQBM1Jy1Fm9ccDF2tFVXFwDggr0P2TR+YqEJXoaPY&#10;c9mMjjjS9VUfvJkqaL6g6YHElzz3rfGxNE44fTvxjnltQ7GMcC/1uCPvLCAt/AtT3woqdbRdISTA&#10;xn7nkfxpioXk2D/e6TqMiGlsKMfoCWyIylI4RntCD70YtdNS5cG38cVqNBOqUUT94CR2LBj1SSZ3&#10;wpfRSqCTb1sUeG8AXBH0B1dh6xjfdgFO9YuJkk0mjkPUsOpqcSqfBOxYT6GBVcPLsYrHkQxJWUkb&#10;awnZDRCWxaALUfekRHiQ2clM3HWhbWdlcNyr7XrQ4HLWScBxnRpdARmjHcWOUwIYUiRA1ZuN5PJO&#10;1+FYos5RKUBB/ZGD5ViJIl0Tb+VQ9ZZtqobSwyoLhTrMrPrQxhxIWTUixyqmun0pnWdXp8EgDxIR&#10;j6hnRNfaFtSkLY0Lunn4O9yHrlhR6hcn8+WnGIBI8Zpt274cqyZp1oYBCcVjLqdlxQEMRFVbGM+G&#10;GjZin/BNJEMrsZhwkQA+P/s1HgVpMIZQJK4ZOLzayB5roVMCXZS8Yck2unIWueWXvLkHUybQtlib&#10;djtWebk1DEShAcRGTH1qQT7MFENoo61e3uDSMseB5HEGuhfFfWz8ZXJp62O+LF4YIR+M1z1KTDGy&#10;MKVWeyjWiNoC3MyZjw5MsTp1osNWqtkM5VhTrDoTGTEF47XpMGrpXdjYdBuGihlGGHBIAg5NlrpE&#10;EFFffPevg/o0ci596ZBGg5HdYjqOtJ+hcC+12kMWN1uABvm2twohi9YXkkWEWmSHtmMt1ShlcKuJ&#10;NPYx0MNiKAf6SRraymyxl5pIWQ2jzWaKKWBBUVQ9QsO4igNA1oe9voWjl00CGKhJPmQBaWgPgTKE&#10;dS270dfqS3xXcDXxvle2ut3fJu8tgB3Vd0TFagFTh0zEn3rUwPIHKVtHwkW2RLUIZs0hvBv9eNBL&#10;hEdX7BUjir/x0bWDc8w6mKRyWKDskZY4pdYIQlOv9k8+rhhWaMc63ZINAojJhOjJIh6Y0kBWknqE&#10;iUi6MUhAqD5iChrdwoZAJLgqhWx9gcDd06/sd2n6xCWJuPar5LHBYT0MULo6rEaDelFeLXZJUSgH&#10;JN28BVjBNPpdeQJRoIeUzR1QbrWE1VWIdVMjGyVCVz1t3qSKyrW2yjHaUlyqSJmSGKKc+YqqNJN8&#10;6QLKuM64LrulmhFDk6DWF0g55d0ZL2GMYa9Uagmium1T/tIhtRlplpV9FV2O2Zg3C8OOPl6Iqn1t&#10;qdG8qmqgeNKRsS0sgkhXB2DbVUjcJSnqqDByU90aZfu1rYau5u4GwjHRL4h7y1pyob8hamUMwmdi&#10;B883pwtudZQmUXyIBMm2WE7pWA0Bt7SfTUKN0A2HDInpQK1GvtuvLlaHJ8e0VNJ4a08XIFllEvy2&#10;yFq6mrutAhdZIibJuyfbiT1D0lbVXaCRb4c3x3JMI/z0i4ZsKNHcOtY02oj2An4ZxPvrLRAyxP2J&#10;PkcgjTWUiNeedXWf34GmfX3kF2JDLDGQNkJiQdyNravFJDGxJi3W0pxGZMjX/gZ3VCdadbhgXR1x&#10;DBcRuiScyLRgSXu1yZSmK6g7A+UTeNLSKacmIVWklLRi8vwQjPCrY3Ex8c1ki1iQxhDc19KNrav9&#10;SHh5Q2IR1eoE2tYiELWR1BsAAxIsA7g5zZGjLwSC1mApS/nuLIhEWrHVlj7NO1hRXKTyVW2K4Hon&#10;eXT9jF9lr/wGZcar2l+Rirs2u+K1rikgmJ5vSoQMy4tEBUNXiWnnQKSqiICRJVmBHFeqVRJJiD4z&#10;4jZObdacwbmOvH5LbDBuSxaSVR5LhGjOLJR89X1Gvi76VOZO8JgJa76T10XVJvuEjlOIRMXeZKh6&#10;/NONRVftRhLhDJGsuW8EneBUMFv23iqIOzy16QvDVsPL2hBR0GCbRounctqga0Y0evknFwout7wc&#10;Uq1cGKQ21iohrrPBtVUpoK1KR3SU6W06ioGUP4X21FXSeQIgY9uC0Yf3LEwQi4pik8N3kDe2QJsu&#10;gTYBvhE+2/qipbAqTiuKi110+Lk5kvIqA7+I86QQfNKAnmASkU8aJSPEUNjFwVbVqe6Ts9P0nfu1&#10;RhLQGX+qdU6xFtmXJQaIRxHGBrm0M42Gx6x77CtRhc/2t9G7FiYD6vXXJUQ0z71whz82h5dt1FsO&#10;RnusZfLFr5GwsUuA3qdEjgmLU90P0Rg2qw0sqjOIawifAEqLpaLYMYAOuYY8Iywe8+SEfXM2hm1e&#10;njpiLk1+Y6qgbJuhImT/K5R1JFQJxDMn25xGi9xtJ+pDL0vsWD/DJGFEn2/3bZsKZJvwLJyA6s4Q&#10;SYB2IurT//EEtzsbjC4ABbpuB0ViaftaJaKw0r2LYm3Jct7wh6KnEHhtTw8lhiueJZdVlA/WyqN+&#10;Z6g7nVKxwDA0avlbJpjellU0rJwVwOsVxfg0r2hdrJZdn70QroaqTayuh0dCtrMu7uGtq3ylif4U&#10;gyimCaGNwXcswojFxcQTnbUoEaBW1XhmFFOIrtMespcVl8VnEAvzTXilT0BYwjGu9nijq6G1GOIz&#10;CGcihlbQp8Mj8VE+xCna5b3nRjOwk5+4GQ+FfdpCQqorcyHs2q7yGVkMx1ljbOwIZUNA1A+IWxyr&#10;gRF3bSRMnGgLILto0UuAhIy82FqEjyTjiwsNdBgvcd0gfo6a2ZjAtvyM0q5pwFEy2CDBL1byBGo7&#10;vNICRCAAA1jX3J82g0pkYy8NHfUyYWLECbRXFEuEWOKpchiwr+QLLEFFNjWJI8+qYUSbVJGyCDrC&#10;qyp+K6tlBRvI+FKSxpCtmXhntTIjUWAUgBHWtVY3E0tcTQPTDTNJoHPbuwGlyl2TrrZqiit0kUCP&#10;q/SDWpy0cYHv9iz1KoqzU8ryd3zQLK36IbUhH5kbm938ZmB6TDAcy4joWpB+gcbY5og6HeuSZaGN&#10;bQCt3DXocqzZWlgiuuGjBZ09Ls0kOy3sGZ7QXS00JixLl1ZWNHkbjHaEqDymm9uA2qqyYx4RNOwH&#10;uBwBVqd1vSokBlpFf3o7+QgrYajJN3gVKBlbNbfSLcyOYqyVbr4lkAs7dz66Y4aSpKbBZuyWQCkr&#10;PdzGT0aeoyoPsWsKiHwXwg5tg5tbbK7drwkbFWvJEBAGKS6i2K9BLaVa9LKZJq3Q14ZLiei5daR+&#10;KirgztLYDc5xGiSAtBBCfr4sVD9N/+Rj4jF7iBGRtQnhGWzoSgx7nxPFGxdaCgdSt0oXhgi9DQRI&#10;M0ngQu9qIUv6hoYaVWbRllUpYdzvXfYMqCHwXdppjU+0fJSyGuAoxmLq0udFwSLiw48pVdsQHlSH&#10;rj7KOLE1XCiDWSY7Y5TLrDHafYarf80kkxihGjVg3IKUqRzz9zg3u5+9wTK8xNefNJScj59IqpWF&#10;o1gW04JRXsYXKlPj+pcDYsraUEGMNtDL9Oqbd9oq4mshwq4dK2vAwW0NwtCgbXmSaGpOhWwNZZGK&#10;BhtR/b5VdnVEQuA0lY34HDfIVMpxX/NTi08MgKCV8lAuRu2yPKBEQm5EebQUfkBPW1nN9kvKdNc6&#10;7VBaylQBbuZKiBWGAP5iTYP1cWse2wC4XXqEe/kfCOH8BMlY3hD7H5T1OaD8CD9PzPFSauQnOTgv&#10;CgywPdOekUiRJ+q2lbVJd01JaWtdY+6CJ0koP+amzbKi+btZoEFaOvAJr9EtDjIhTbs1nWpOvrRf&#10;TtEi4eSQlzHiflSQomoaoz3qLoSrTNiHKJgb4Pg57HRsFafS1XVq6FqJVYAMH3Aykps8r4icvyUf&#10;v0PB/SHGEIEaZE0k8a7B5u7z7RjPG8bo/E4U9w/qDw/mAVj8sTfBiDYvcueqQiK5c1MhSD8dcmNZ&#10;oHQ11QE+Y0AZdDBazASHFORL9dGHsLJGuakcO+7fbfsKUquLgbpLoyDGdblmWUfS9RxEAFEdWzsw&#10;CftBW5IRIsdU7WIsegyEAFdu01i6Dv8YNID5VQMIJ8d32SuVXhzys7z3OVW5O6FASZnlKRpwngV4&#10;G2al5GiYjZXQPntbcdw/rYbQkg4DoJU01pZ0ssGqkpWgkktb1lUJYrt4h42aygrUABfppC1otHUl&#10;qMbJ6znzoWOChsgk3voUUUdEII4UFXmYW+57DFIJHc6KYqIn8a4aVQJTrX4JYYdKHKgtbXicfxtv&#10;UkAUtHpqT863rlaIIQahCYOlQRWbWEZgZaSmdAH9E7ZWppTzHIIZlpJCtygZ8enw3qcuPULkoKMw&#10;oCnKPvHDmJ/6df0vuqJBRrMlfqk26CJxjEITEoi27zJzm3Y8fyEed1YFyD6yVRaQid0EEmBDiqrv&#10;qiwGjp5ErUhoA9eVgQU2FiBmT9e+2bHMIRJsFxZ6YxVpyCP2tHM3uzY9+LElBPP39TBthW/cgYwO&#10;T7vKZQYQ4riToaXgdktpZgE6b0TetyvVax451ZindJRjE/friC5PAuGJZNwgsASip01JKBXrjIPE&#10;sLRS4zddMx4Z2ZLO0kji+56o4VjtyE0i7WyzQiIeQ4hT/ThU4GkUF6k1U3WT8Aha5HqRkzzWm63S&#10;jSt48fkIP1EawL0lNh7gXjsSkaHnLpGUiWO1XyDy0ImS0ki24ZhOQMB6SoAl/L0GLgOITbJcw1SA&#10;PKB9BDNMYsGnmySbbCJk9YsDto2PU1EwUdlhKBtBDCJdW4B77RU20yYQ/Vd2t3eGFeS29XYoVRPb&#10;xNm+HmYskYS9dn3YgvTI6z5MVOEqiNhaJ2GS6BoSAuWEVBOyPt+04HcfromFQPeHoCuaTVGgttoS&#10;pL57U+E10Li1xbL5pOngHGgsRbfQoCAhz4kdqZdA7QkmCZwjHGFn3UdgzF8QkvgCr9q51QQYXjod&#10;rqIkFDW23HZkskEmkvnSXHRmxtq0nbCn+tVXKrNwi5N4QkPi27Hq5quhZRSh0lUeorQIJKOTfegq&#10;GonAUI9t8ejHSNgijv/yhClBua0NK7OK7GNZmec+TBOJTRwbx2wdq92ugWq2BdOtjY4rbOgfPdJr&#10;7bxhGHZrXdHrPXaCWiK1dOXbJ+jUpoH0REkZmS/AjVMoQ0dkWpUBEjHZrFD3ueAyh9rNBChlF8dS&#10;O6qT0zZGaPaDP1ccOs9yHrkLsoPA4/06dHTVdm6lt3qyzM0XvFpXjZQNbRLXLVtFog7DlmIllGE4&#10;1hJFZLWhBlvdKOAUayY9tAbiuQD7vWmzCIytsBh4Pzw0IHkWbfqHt9g2UfRRurJTVcDqYcOhq6ST&#10;UFLvAzQM5t9LwbaSQZggjstLgeFYEo4pSw6WfO4xwnAjyye7Uh9pGUYMw9LJv31wv42t7xFJovie&#10;PBOgYEg7Ani8PLqov3QVGvysnpD9HCbvqBBLVwnM+3NMrarFT29c6zLsrCNML8lsQJSIcnFR4Aml&#10;HiM+UGQiXztXTxFCRmsvYN+6Mdo/lxLQSRQ7PmQZniYsopVMavB6wJb1e/bQRTJpsPgzy2IPqycS&#10;vprqHfHRQMlDbbe99M1VX/9o0SDciscWkOknRhYI3xI6yPB9L9SKG6qlRZUtQkoHWADERwIG08TR&#10;8bwYpEPuhYkGZPoTVhlfm/V71k9kky3Ehz6sGe5qQA/vlKTiLpL2hLQnBxTnEBHUm36AauGqW6k/&#10;yGNYiYcawyjup4fTGwItU62LCPbq0EODrg2xTHjWvqNUs9qbxuNf9xWnBuP4NzoKBRFAiaEelPhF&#10;wKprUsNBok1qooRwCAm0kfDx75QF3J48ghheeEc6SxZ08hPZgQo6Ydf9PNpCSnbqWrv3E0FstVlp&#10;IYrtfevGhg1jToO7gB6fL6BQS0J94uvSNXZsXRkXxrabKPvXK+NhMb4Zx4aMTIxYTEsjQsSkJj3M&#10;VDhC4YmbmDW6oEIZruJfYJd78SGADqPpUHmsZxKlIi6aBLDLV9rkKYaJYGEkflZdo0Vx00g1f886&#10;+Fqn/ivuNELOxOyAPQYt0X8tR4yhQaFIxnL+QUTlU3h2jegILYXoLAsCJx9QWVQBpLIVODy8kHr4&#10;1YLbVMn8spYzo3SNZe0GbbkuXXvSgWmGdoPjuwKqpNGGuPmZ1JKESzGGNoiOeKKaEBioLd93LEA0&#10;GzEEY4zoU6t0QELylWyGeqlt0D4kuAH9OT2ydbOeNmpdafE9J4SW9NLn1NW/Y1RfYl/gh9lXgCYW&#10;l6XTmw7to5igkbRlPOZaFWNpItWMAeGgO5wdA93EhodBCKNm7VSld4Jf58GJOOZSar3ECLXEUPRu&#10;XUknb9QqQ7rkh5oBifX90HdMEGYyYxkucuIUKYCkTxJKZHOGv72vBpHTf6qMVznaGrlUpknY1cwE&#10;MySqKNamCFrEOD3uD6jn9a+Wfl5CQkXqNGd0DWGx83i4mUXpKuS3ka8SEmungAE2chFjpMbIgcJh&#10;frpKFK5R/ThGk4UlHvrjTp84l49og3/pU+KbWLghJHYRKOjEZgbxqPICOboeU1q6omC6yqyAmFrm&#10;Yj50pT35FBCf0h17C2/wdZ2xlyUx95f0OY2PhF+wSq9Hpi/RpiueEkQLfvYd84nOGICUNhPSiXiC&#10;OLap/ACYN2ji3kWCGwmKMVJnCYN/aCScUgDFFmx9WdSCc5wqtv4djKlnBmAklzm0qTZJLx08Ugz4&#10;6liyLLkv+SPXeNVIG46gEjBrRxXx0mf8qY1oVu43gvFpaUAmM3VNTkZHPCdeyaAtdMXCqGjRS9cN&#10;WFSf289DETQggqnJTxuUlQkG/z7AYgrJg5IsWfa6eJWoCONQUTDS51sn44wsjCOCNmJndcnUiVwR&#10;1tBoYxDbpMyLR4wpuGpMVpfaJhZAdCdcu6EgAlk+xaAfqOsbQ8NWAzzTU6pMGHPzjXBuMJqAWORT&#10;erhdqRyXlTb9oF2BLYQV3ZsoVsvwiFpIMW8ahKt94Tkt/BQTEDNJtFXKPFAzFW04uu2aAAqGiOcS&#10;blj3rXmJDBGI8D0IcW0Y0TPnrv4M9jJbHbQzPhZMAHhar8grS9Gt4TaJ6BqtEUZkGejxQYmBl8p8&#10;PLziONfVkRvYF3Wsq6zjoDPZgH9ujM0Ob+S8f+fka2EOOJGXcezr6IoKrk7DbxVr3vHbqWpb482m&#10;FtBSZtx2IguaKNJWPqMkYiacZO+9Y4ktPkFS0PpJWKgpMjG3mGE4+q2jxniaiJSBPM9G4FsdFeHE&#10;mthbB+JGX/GnsTAB9GjwyJLfO9p2NhK1MARRu3wh+fCVk0JVm478UgrGTidSDAVEYufYenRYd2iT&#10;b6kSCVhp6AuS1lG6ImNJGag78UVEvQzTPr8LNiGNRGY5QDIYEVnaETZ3rJhakADWhzDwkFOjuGmg&#10;UIIrSl5smOKQz3uRT9VIJLxpECEO02HMJY5qNajJxQmLiQe0nKeiFloI0dCKc0DvXtlXiMgKd4Jf&#10;xmM8iLi7HWDhmrONru2O4jIbiC6F0LM/AUexHIsc9bBftSJn4olkWx0rfEeq+snQeDKgYyAPgYhk&#10;QsYEda/qCTINkS3augIRjCUkWOiVrSyFPhmFF20pGFi4kj95IQKuxZUEcO4nq2qkmLkMRGtR96yR&#10;+6VEJR6gW5zG4yEBrIXRNcRX3qKNQYkbm9A1QkmAy/RVp9h4PAA/+4zIQHRFRUsllnlIk6StWB4i&#10;wQATaxOMilSaEQsSaovHEusQZGUVQBBxt5154R37MpeUItvUzAN2bGfAEuobPc1oulzEc4lEQ8UB&#10;guGhDrwQabWVQIndgbgoYqf0xkZyiJMAa2Sw90WY+hLa4kUc+6Yts9RQO5sfDwIaIYIlvxD4yw0W&#10;iQnzFS7doipzlTimFnpq5zGFVquhTrNGNzBqmF0XaS18JngXG0HTtmNl36GrmHkjTH3bKeMgTJPl&#10;F/K3dkRWUezaL3Ko0mdkpISa27HcxalZyH1+06sYioRKDxgynGb+ME8t0O67GWIOfVWXwcVJgyUT&#10;0V7VUi2+G0qQeLX/IkyjCNhVTmQ4IJmxpHjp2P7NrzDQPqwfFWuWXwLxw0oJIY2zRPmBgpTgQw2Z&#10;NTowdXgnf6pPPVnt2RVqEwaG01/hiuqJEz2v1lWQi15bUHybv6BaoochhE7qsURDCAHWkQIiX7pi&#10;Z74tsUA9Cn5Y+9o9Q+N7/wZTllCP/ieILeDbh2jBaLDRWCHqv1phKMfq66Y/d141Y05LPzGBvrWu&#10;POmjAwR4ZAjJLCBU0tq5KvqecgVuENQugP0l89RVWz1DW1dkaV0TuI7vV5T7rJqsg5O6rAYIvb8L&#10;NAD7CNFJK+BBLtxnIVbS+EdM2x80qYiqJSt4avcSh7Tri+tBPEQruvhmzSsU1pIe/e24AMKKukQp&#10;0cZWJ5yDmLyW6pKrAlqExbYIciY6x/SAhwtl6kq66r+8F9sI5Dv/NPPGb3OOONapqGFYWF8ClzPf&#10;1+g+g4bkdWQf+SqNFC82FoZzsyAxvExayE1ZnwbRVqjUMKmUF8BJCORSU3TFCuVCprhmuuo4QONw&#10;7Il7GAz8nuRHKp65UONffP3AtXR1ycwZVk/h01niuXnY7A4kbAdx6erqE4AqISKDl0FErbYSIGL4&#10;REVpd6lTcjq+SXXkWSP4d12VKnGsNAvo+53Hnd94p+zjTdPEbfnFPx6VWPqCWtwBEBeeVu7Bggj+&#10;jj3eTTpAx/5+v0E9B/KDLFDrMqMJjPH1Tz1uoR479/Lwkw3BnO0HkFXKp4lT8Hflfrgs73RdoRwi&#10;+JvNiP8r3KB4ec/BUOBlRPwkNNsaPNCy/88YueDvxtxlhw73w2yEw/MPiGU2xvtt/Q1TXNvBaCD1&#10;zSJu9X3kDWX5Ddjn7cCE3QL+eerhK67qp5VO4JCHL3f/BHnr15vVpu2fZfRXTajAL341pa/XvL1+&#10;gff1NRlT0S3cJtIzAb6XaAsW7298UzDK9iLxnYeiFy5kKqrNCFx3T/7q2ITDi3+qHdM/vMZsgucS&#10;Y8SrA9vS85L04fA4ljNqBTMAF7AYHmfYiPJRzW3Bjf4Gqx6/R+bFLkBC2BIlVgPjXpFf/Zosysny&#10;BS6fZcOGDaeC25/VG7b0JQb8FcyiDRro90ANhYDFigFrg17tF5iY2mr+O8faVZd/LFd1/sMgw58w&#10;HINiB7vZ41qPOHbm9a9+LacNHdYsqNWUoBpC8Q7Cohy30SW11LGzJuzfIYvcdw+VDLv6cvmoktBw&#10;ZzVBxnx92HCvmQZ+T2yDheIl9wuMx5Kukbh3rOX/H5iFRWE0tVEe7NjaHuBxf2KXyuxRYF7KvMNj&#10;tkMCH++P2hu8Ea7bMjYgvEfnxgpzSNYbM7hWSMJ2Nq2eijMj2pIVL3kRt+C5rbBCeWMXh5fPXWX+&#10;pcB65iJYLEy/8vOXmlDgerJZNQjK3kMhQ02HDSbsCOh4/boVtVFHUWPvWBuwC0nkn3XhvWKkKczg&#10;SfjUS18qlsYDVIctF4M5wtxbwbImuGC0RrPMK3dgw3U2rWn0Cf3KyTmLz6XK5VeTO+m+fvZx+JL3&#10;HAy49+trDPNX60WEebnF6OsiYwe/6dOe2ZaHbWGJfxBgBJsSogpNgWXYFYvU1s+EbmEOw7xUjLQF&#10;vVurGwvTC9zMm006RRFxprcuiLJ17M4KEfuLmvyxrkpWsCCtoKw6wDR7gqtoBPp5zL+knMDR8PXP&#10;1ouC3cLpfrDfWH94QQFz/qjZ764cDtjVhEDZdVseyr4F/0A4GTNI+HXZlcUGO38buTcb4VyY1diW&#10;98NXgeqw9G09s+nam7pZcTHk/N+kdHgBf+vYrRVq8aRQ0cbH736NgvHbZpliYTr+bYsdrMgDkuV+&#10;ZdUGLktkCO78WlFnS7omvvitLYJNDVqhq+gWYtddedhUYhf8KDbK9eU1K/mZF8gz1mEBY3/9JBUr&#10;AoZjXtpEkTcCVGCkAmW7bb26HKjIMvyF0385ts4eQP4ugwqiYIYvT0OvmbIVHewX+PXQ2dpdanm4&#10;gY0X7sprVt9O15KmZ6zf40eQIXdgu8ask2VPe0Bc4drcZRDVZ6vhl0oc7PekYlMcy5Yhb1LR5msT&#10;1ZIhkEpcNWQuBP6p8gr8A9X/diyujRDbjBlgdk6zTd1J1Sm/7sI/MFRbIcnwsnHib7B3VhbDVZ3s&#10;sbHU3WXNgF+EssVMxNK/eB9YFw7RzFhZqxl4096mONhhm5k5DF8yaNiqzerqabBudtgoS+gylk4J&#10;hcRM8gDCKhnDai9+KFAGDMeuSVdgjH+JbxRMFdwcuJQSEez3ob9VyH9hcgflwYZc2xrzQOYAPoDf&#10;NALui8iXZ2mo2Nrn6fk186yslxK1noXTxZG1soL8NqYi1p8ZPcA4O/HeGy5GruuXPknt9VUPSWAl&#10;Zmyvi88SvSwK/fFLQ8K9W+8zVhWEz98XxAyuWWI1dqa3qsy/e2u7HAlsF6L/DrsiHuOc26ozcg27&#10;IGh4vON18Q9vsKaN8Tyr3BqEzoBoNh1/eLGFl6sFjo2NMTOjZ+E4a1vbnbeWZh2BYZIXA8t9PflE&#10;PdfCWD6vzHmeh01yCuU64rSQv8Q3Ci7hsIGXsVRegzrVpiz9L1m41u2CFPSCy9Y9K+xkjF+H/8Zq&#10;5PCyMcgWemW1QH6DJavEryvGDI5HxIoApbjBImxUYvQagFOs9SivW11Nc2abaJhVATDPQSts2Y37&#10;JRtE/vqyh4E+jO4K1my3070hVVpz7S9T3zgoXhMwfq0o/xe/btZZgdVQh78991z+TIsElpUnsPPr&#10;JJPKusvuhsaar8IRBTT9qtPLedVHwZjSswawADHLV0orsOHkFc4620xy66FDe8NivHhKEZntBGvf&#10;jPisNzNRiW0iiW1ef4bezlT6iJ+stAS/zHwZIcLvv5djYK1CKXJl6Xu//nUerVXLsFnLXOrxaag3&#10;IzGw82uiaPp1FtDcirFYcYHGclIboMDOi+uGlh9LFA+rJsEgWYXqwn3Tge3cYvsvq45Z+VfVN0p/&#10;/ThG32uCHWo6YYdfwg9m9ivt5jWvTzk3QSPShhqbdVzAzDMTG0USLEob1oWT5eiyNNYGDZf8jOMu&#10;fuKfgud+AKXIbHQX/B9+nQz/euTvS6fGeh7Vn7rnWeqLrq+fUTlBGD6zN2H2XuNy7AJsDuElF23T&#10;hbMQb+RP1hfkbij53bjToqgxRhU/+cweduEzr0nKjmWXjZEWd5lUlq21s137spyCioLL7OLlYc8i&#10;y8QSeM6luJ13dtPre2JDjIS20f1u5N6vY60gZziQl64JtbCUN1s+G2PEq4y7CaeODsuipcOYfvuX&#10;/IIdI0pCksEw0OpIO9B6GkQArK8Yd0a+i8ugXoTqNHgEczz01LU4ltm6zbfI0pDVViYQkWWuzVGj&#10;4Ctno5bziCZUCbxeQTPQbsn25p6BAlLvgbVbKP9ffm09SCA4/b50Kqx6zbggM/4wQp3MbehktB80&#10;9fUoBc+Ihb1G0JrFeaBt5N/ohoGJl3O4DIsmEZpSRWIxLix4LVcyvBanje5WZBIckOk3mezi9jCP&#10;Ed/t4rkQyoojs8idW53XO7EDqxm/PltEbPU45QV2S670Ljadc8TfBOQva7Q2qNzlGiYoeTrop8MD&#10;VX4cRZef6Y7L5zjEWE+RA3bAONoZhWHj19EKsFRyifE9Iss87IQdFbEq618zbqxNdSm2duzSN2SZ&#10;YHZpr6VePRtQYNHm8i0lKtKPrG6w7p4idmm0FHZRHOFA1m8q9F1apHeZBuYRimTKzFM9Kwwpe2FX&#10;53TaS3+WBRhQTsuUtF6K+DPMtvdrHDDE7TjZ+nVV2ybxIIfN1MlCzURI7NWlr8Ka03w2No5ti/yS&#10;saCUgWwrP6z+wWsMwxwSX7po3x3+n+39BOl2mbFZHc2zPUht1gN2y5P0ro09dUomHaLDartSDcSv&#10;z8IoXm3uSve/uzutWj/b8lzOB57HEdF9XUCSEb9Nb+PXrXLWop1Q857BMTbCs3z4x2Mba4ThSwhY&#10;YDDkWGclcJ+xNlBNvWBfXp23/PTHMJSKWb1smplT8FJFw8bZ5t3Gr/PsLGS2BXGz7BCY1ib5B75U&#10;DtldigOZlrU26Uo4zB0DPd9GBhi6O4vCxeVfP732WQpngUm04fcBFNhMsJZzOGgJxyRs7bSGXzki&#10;a6wRzh+JujVjHQEoeu9YS1+sIPESZAzP9/BrDPYs4et69wLDOOws4SgYs9QWiNG1VHEzbQYUpJBt&#10;bDUMg5ksw91B1RCzbncQzIJjii+37ZF3H8htsxj4HAGw1Qiwol1LvLOTdTvB2q/DEmsR8tiRsDXo&#10;m68RTeMUxLlktEYoow0P4Ibde8dGXTvWrDNva8w/F62Qh+kSS0i4zTNgu6rcOGibHQOkyiaT5Yoa&#10;UJDeObsLRvUn5v7Nr0FiBi7seW+O72r++tmdUamfdgzrDfgertlPEcKmqxUtTlu/bqI2dWXYbdzW&#10;LPMgzCz0WTql4qKlodZTKl61ZR9in+eEox/vvDW7IOLHrEbL+RyRtSBuF1byR0F0V4UFJYOduF04&#10;3eeBQQM2ES3YOja9m0xph9jMlu1+5iu/qv50FZ04sevH9KuXIi3ujLLy8HOuKAH3fGzh9k/wdkjr&#10;qjB+HbPhimmhRtxUrPvM7tS9A+LYpcFdqFEtX2DcOTYpFddQ6y6v7f9w8ZWfuR7pMzIrdNAbaRPd&#10;dyvngLjt8kbEa4ghQi2RPZROYlifTToHYk6hNOP+qVWb51LTlOByBqd4tPHGfd2X/k2TYFTKBsvS&#10;IZEJYiNrKxCorv6Bw5rZRpual+OQa07DnQFqKZGo0a4wuexzeLHHgj3BwVdCplaDLGZVnODQ65HH&#10;8PjyHDCgIjCWT3QGeHvfFnKV4Te/bhybvKs6UFC0bBZPFlP1AfGrJqey0J1fY7SAX4xURMbs7Tdm&#10;Asurlu5yIeSLdgjvivWtvSgov3YJ2YQJSs2V2RoNk2AXPdGxheNC5/9HqsARbtuKJ7Bgkd2u/K4k&#10;b4IZoI0/fQB6zk1lDZU48esSuPkt/Qrn3GG19+vFb1teBLN/dhNb2TmC2g9bvwPB0cD205TmLsQO&#10;7+YSIqNKDr9/z1J6vyT2pJqQKA8uahtmVHTXmHlmrJUnZ81dDLZgVUjquKVWX46MnKoOH99jvdIF&#10;4o+02h6P5iaFa6buAMueGOxuJuzKYqkm9XF6acDXo4MWh238qqOcrWO/jbY1Z9k5xcFGuk/YssD7&#10;SI4pzZ1fJQUylHc2BQg4LmuD+0JsVd1ciuxzejnSaZd3rG1QnbCjMs+y0WdUgBZO/k/8pQ/vXHIp&#10;5eKCuo/zpH+yAz5fOXpXQ+y0rIW8/9w/CpGMILYDbLoOvpt9swEdVTi87vyK5qtjU7/XiUhQlqqi&#10;v1m6DPA4FGyzzjm4uiZIaqsXp6XCLXD8xTMT7ADfZFARtM/pJVDa3L3o3qDa0iNhV6ss1arOijIw&#10;mxEIY371IUB5bANGrsCFsl+KanemMCxz8u3hcJlXe8/OyRbUZiq739dgKxi/Cn89Pcw6e+PYVJDd&#10;uqhqUGcg9PcJWzVRcdMz1bBhlrdfi3cVNt5L+ty5/Zg1hWGZIQrsAMd7lYg730/9h9cadZNXyDUT&#10;ZxFjLavVjG0dUUuRqdvj+MH4+K3ngHjEm/ZxEkujy5iL0AqweWYyh4PkH+BFaLzxc1fXIqgFlBqb&#10;w6XSgL7IkN5xd1NBUqpFcaCvuguKqjw20qXRE9bnZT3z8rqGT+apBfILyMAuwgArIgcNRfY4k+CM&#10;raT2dDTgwjP0qOI/DRnoMKW2mHNIxAaR4MOpuBMiJSJxhI8vr3aoQjmyDNEE7ndB/vqselfzj6PD&#10;4tzfBx43xZJfP+tycYTFdGycsMuA2Hlc6rfnlhkCKFdIhDASVPmIbJf3ceUceeL8hM9YrTasfv3l&#10;l0cWUfYxXcOuCC4Ehx9L62XqLD1m4YnhPHYlWBOva4tR4issdsmEd+G3/lvSgtRHW8mMnnk+gEf7&#10;ezPX088+Z4vbXAZHEj1z/p3AOchxOnJaQzDzsh0b47cHAxUK7afKyK3va5kOQcsiKM93QI12hmY2&#10;C4m5IC5Y/borC4AJXh4jhWGThSI4h4+s6Ll4EwJ2WVmwHWi8lWvHKTZx8oZmsi+WefGqZHcYm3ob&#10;7zm780Ry4igFZWHi/hymDnPNnefb6/2KSaQtR9a0xy3C4ps4Ni7MrDugzjSMyA63rV+r9tE4IicW&#10;6zK8FAotmt0YhOGguiImgadjhtUXMK/jcuJlv8ybw4fx2jsbqR0AI2/iCF+C2FT2KtDGy3LIIxwG&#10;x4hcN6fSPCFxEgEQua4y05AQ31fi1kLblXAxzZdP4+zhOSEaUvN2QcOqpR1bWb0pfm2mWXntoTWm&#10;R5LKDW3BTqOuKzO/lDTrUfIY8FUbL3OJsM2vgqwsSirD1vurX0cwVjkdRcdgqQeLSIrt18lvBKqZ&#10;OKaimLMvIosLIm9NUgqHPHj5Xatpe9h6PIXInfAfh4dSaKk8uU1sgWgyrb3CJnqtpP2+DeqRZ6M6&#10;u2VT/CoZccM8SLFNw1gZNdulWUxY1quYGPcCLX7dX0QMlKEFvgF8WiTQSx1DuzzZuEttyzQUyTh/&#10;bCxQQ5PYVtREjf4cXt9B2gyreTQLKiMfvZiCX0gucdBzL+CA8NZiy4/9OYmk9MyWBXp2Lmj7bpJk&#10;OS09pDbiJvIXqy2nsaET0SREVWqBsNrZhu55TnVW1Zh+3VSOhqqMSBoXb/Nr49dRZisYNksHh+Mc&#10;bJ+lEK/KlYMy1JpmSHKXD0LYPtsYtHIphjKNPAOCwVlULIbGpr2mNi7TbZ94e9Hh496BCYpf83U3&#10;j7ZjN0kyz+nN+cN4G9Wr9K3LYQGBkBxUGU5GGz6q3BeFTr9jlZ3jvKDzu18HrfOt1kObCjiifGO7&#10;4rKtlbbgaDIx+3UbKHF4aWyPpIRi6rpaIRruWFOi4yH5gNG+vHIwneXERQBibWEuhsrJ/+Tgh5n0&#10;/jCnpF7MOuDuICKOnatkiWaxL89TGYFN9Ktfb0vpiJjJgcfNVHE5Qm7kf/u1L7x+z9j43a89WerI&#10;qwvFitcrqot/ftVltgywnWDNcQwOMSuwrWRVAZLrWTCx5bqR6ymkml215kQXSQeJief3HHa+ySyT&#10;mXmUSbxdd9w+qKzd/pZKC0TC++s7glFYGzq5BlRF/M5SpYP4v/yaopqfZ5K+JqCNJe8LBrkW7Vi1&#10;5v3/9Gt5k1s9CnUtrx3CL34CWR9uFZftBBtxh8LG8dry17VtqQzLlEwMUat4HE1+di01NE+PcxQc&#10;7V13WszU9u9nfadSuysWHrfm+tF2Oyjr/XYWapxoGBA5Rl3qoqoE9kbjG21j8vLrcx/N5IhdNkz6&#10;ygGl4gKDQHc9Z4l2+Zw5vwmeCcuTEmyBjR/GUuI5VTrqdKzsVthmNbjYyzbizv0VSDGAqZqhm+NY&#10;hw/jl1XuOEOStKQ3v6+1DPaza0Xp4NExinWQWMNqdeWn6AlivfWc8ICd7FP3Vr0uIDwrNMy6He6d&#10;jcmHX2vp82LLa/4e0+u9AE1tZGfyS2KVnoLf/Vp57U67Qgp38perAC1SIR1TDS7bCuvmMThp6fG7&#10;mI9Ite62mC52zrFUYjuankXmMfmEmkUAOX620xg21oGCmiccEWLRUjNn1lbA1vvtLJTTcAu9kKxa&#10;UqXL5zWiQA2492uNPPZBUf0sst49rfhcptdzcOdpyZb969GjX8ZvifBxIa3QS/TVr8uc0tMrJnKv&#10;PTm4zGpkMEYPTn65EC8zH5BgqQAImqMf/aoSo4/Ddw4dC7xYtO3bCetdSTcqDFCyMFI1wHO2gasM&#10;uDb3bmK9X++gUdc2cgVjDnRcllu/LINF2kxVmzrcfu0fih9jxu+cUVXBnCH5VRekh8uGVvWMk+fl&#10;1oElDSd08bFfu9TN8te2RFyvUY03uGzisYzbbTGAPzYrMUGoLkaPr1KJ5wgznLk+YiyZXgvkdr3z&#10;A6PG0gWpliYktKGNGPDxkLNWsl7dQXMH97kwySuoN26tfMt2au1vfn3urPS7cCVXIkrijeIol6cm&#10;j8X49Gvu8XleznX+5tdxosQSdCwOzCX467eD7ppctmoHI4qtBXHPOfFTVTJZlLhiK8rZWZTyOXaq&#10;HV+3hYMRq8nljvQ6xdHV0k7/3NToAmftx+/JKrgvw86xLxftz5pby62zZpQldtk+KkxAdhqRigwz&#10;rdjJZDzq4SzRue2/7q833C/tpHCTsl/bcu2axZQY2tYhy5aqELwGY5QwtTow7KpZaV1B4Z2MclxE&#10;JAsLvVE8MgpI01hmJPFTub4j83h8XnLb5zm0EF2s0SDRausXuC/D0erMU3r1tXFrhY2HVA5uomIX&#10;VVowDUeG0dhVmmZ7FLppTB8lb+FOyAV949eBuQSUWFgwsmxauCfTgrLp3C7YoZUPauWUBZYd6c2M&#10;i0owGstzu8q9CZ2eL0O9nJYf6CrgyrFBNeG755YCia7a2cPdSYkUCbwwSA23ptw5ezK77S/50DZB&#10;Zpom+iYCGgESG+mXsZeuRAvsrbueT7MzRqVozGVCUhnL/IcdRvuuTq2FuEqHI2N7AmP0JXwq7yDs&#10;zXoSkiuxE62lcVz56kClemlbv7KoEM9PkmSQqtNmYqd/vc4EmdDrgWmLAfcVrsrwYoPp1gjAmFri&#10;vW+07oP+BpluVJyj46edJ9kbuRSdY3Nb8Rb2fl05xa+DTyGsuralsNMI1t3CKR0ZXcR84LIehxrC&#10;eZ39gpTxCS8b1b4s00Uc3qcVp3cJr52y9NnEEazU82hP3TklZBgbc/h91t7NrqMMP/Rxxst0a/yC&#10;X1PmfKl+wnBigbzRda8wS172huUj3EzA364zdnVtCPtg2kGDdS9pYuAXY6jN1Yyy+K9+9YiU0Brs&#10;eX6/cBqd6w573qx7nUIGnj3NxOv+rJrgkV0NqtzkR7+ImQRI9OD0uu0ReFlSd9jlnz5lEairsgtk&#10;oXR5n3czrja1YFI1a559sreWDRpZiVXXEOrQxQVgTpC23DJf/lJWdn6t09V5rIJLywjnMmQcf/kM&#10;xi2GA3OU+5pLBySwbI9aJhxtyn1BqwiqMtPWVgjb/O/pdd4bs2biFGJLWS02zBAiYn1lzYQQ1YDf&#10;c6zjnjzgJjdNGUbUcY1guPbuJ8PDZOsct/g+fv0pb1XNGzDWKl/mz2yV1VVV8s5JqvdyYcdBa8qG&#10;X/y6C6C60HPMCcKtX2Pvirv3/CqTtvbRCPa9X1NZXPDLr3lp0N0UUOKlfRyKaonI1zmWSaINJ/Wo&#10;XKCLMvFTC1FUn5P1tMSxXnl589uRmWgYta7nA8nM3l8X5K99KAoWcwu+84iQWYoizE+OFvdXu8ek&#10;95W3v8rg5enYsPv9K+zEz7ObJMfq5nbRhG0xLDoq5naAO+sMpvawY1V/sY0FxMC26XIJ3PnVVF1e&#10;y/ffHjPWtAU9s8Qlo/7XKxQudU7PIW/j1Xhb7phreh4ZJoN684R6lm9xLIRMOVcCP839OOrEnE5c&#10;LhLU3t/CSDnBGQSicARF+TXE746QRhTVnUnPtz5l5JTqKuwTkrGiEooxkm1Z3/7i1+2yO1FFDYhf&#10;IV4pJpjF36tNx4tyy/6URcfCee/X6GYz1UmOb4/ZHzC0XythPQp4jiP8Sx1zEiBHxWQKsZ+emZFV&#10;YYYRMy6PiAvpOJbki9N5V0z9CGJ5p0MmejEYO+/7N4aoc5q3l0tQH+Ui3sgB5t2Sa5isfj30PZPI&#10;KVW0LXTSRrZ1Zeo72AzzV/VzYw3BoopBTMXRPU86inydsnDgdc4l6JYz1Pt1Ux2BomnnTjJwE1Mz&#10;aIpAQov9/Kqq3ysQLemI4Zv/TKvER7YFbT28VzEX38E/ThfUY8w17xaf4lQ4pmZKaSuYi6WlRsO/&#10;5voZJcIovw+YK7Y8YfbyPaRxpS17pHpnB8MzqtYLgRbh8DxOKa0hVBXbTZk9EbXPI1Kj+vKGOdlH&#10;FORKhJHYd/kaD2HF4RpLOTIqMPyaedKFJtcjHz3DZrVVqWBbL0461vmj0SA5WjfHVeBU1jcpKI33&#10;q2nJ7ABRsPgbKEfMhC353Wpo61x8EqHAs0QtkYZO91V4+V3rp02/3ir4Pc3hcck5Gz7izBAYcHls&#10;TTfLpswUiY6QgeL06/MQJHMce3jL/I//Pr8WJkYqi/tFt+WEBYYNcpDiXU/FF6/nTt/xgfXMsSdb&#10;efmz8sxNKJTXCS5xk4AwVHHNwpekGnHvV4IKPuYb6ytwHLlO2LgecMdYfBxttAF2f6rRTKvO/gL/&#10;FrvgZb3EkKr6PSqBp6vaC41FnQ3MV/ysLgjt8nSqN4YZVUl9/e04jo5Ct+jjyvAvfh2YNddrvEN6&#10;TEIFQ9NUaJv52UZ9salrffCE100z78DzCuskmQhh3o7aM0K6BcNR6Z9NYxoRCNs5cB0/shbfULAN&#10;HMw1kQDS558wWs9DBCzzDE4gTxYasFwrFel1sswa69xuTZpvjn6mEHOYod4AtomhWrVUPbE4JjlK&#10;9oQseLr+Js9f5vm4O78mwIRZbFUSMnhnjxlCmQvsrx+/8pbXcR5O5QJrauQEod0h8jcwKQJRZUnY&#10;mTVD5SSn9rIh+Cxnn0PIkGraS0PBzDIHHxu7c0jAqMRj0cG9EwtsLtjnWdsBxchkAdjYKZqjunYN&#10;vuxvVy86y2q4Er3WqEksl+TFJA1lGlOX8C57Xz9d/X7xqyU9jqU5ZdZkY7UB069Z85iBVn58fTzx&#10;GXs7D237vFzS4yAazCmzUi9w82iDsx0IUqU5oBLtNqX+mJErvQmUqlLtqHL068PdcgiwSLJuS7JF&#10;WmuwoA6DALK65TF4YI6CZph6hhXUOrthvBdorppqzdSOTnzY7MncdXwjtWsczacxZ9+vh9vwrSRx&#10;4SjYYQ4KFToZFkXHK4YBGwlqVN+qqfYhmHLFqLudnDMpO8cFNuZJx+qFrc0kqlw/DW1UM08ULkJ6&#10;ffBnt0IOuLq/3DqSN2695W7RvhwuOp29J8vbZgKc5nW8szwwqlw/H1psGM/QGAFQ55n6MWRZijlA&#10;UzD94PiGjgbzV5rU/Mar4g0jIwbYLGNx4DXpKxkkS67w2RSEjJccMPKXs+25RgO2sOuzzZ4p0tKm&#10;baTnSNglCWZbSkBNqwIRi9fq9dIGm8S7pRfY86bmOgxwzwoOpH7gw+rWvrnmcnztWfVYC8JCW/zq&#10;azrlnHWCroTd/fTkpUiPMlwBMSaKLPOyEHPX+m68U0dDvDXOPA1x/s2vJX1eTpyMGIFlGJVcYC+1&#10;v7Kyn73hQPCdrILD0LFelXjUueSYoEuXYCRxZecmYe1rpfzQJpXYhSDmyrmuWRkLsw9YGxwswVrc&#10;eqvUlFdHrJ2KmM9WCWZlsqRVSrcTdFx9WgwmeC4L12TaT8uYARHKNvqY+AU2Qx0ICZxeRL8Z59Aa&#10;yFHKCqZ3yvBma/Q66ih4bAyBe4yDa7zRSSiwoewO4znLwtYOmI9s7+XvMKJgVok49Dj6RCxaaGNw&#10;82xughUk1qZSA0Fq9Pq0IME4l7S6tY8UfVy0LIKBcQTcfs2xdh3GPm3c+tA5soE6hd7ZUiE0j6xT&#10;e6+m1EdoE2YKQBvDxfyxiODeryN9DCFg9HEkYlj96qQ2hydcs9QLICTiQ/AYGBc6B59/hldG5CwJ&#10;O4+bq+wuCVubj0vxYHHm0lEV3Dld1w19hBvhxvmtwHzfwihK/VuRJOb2gkFXAwVEYV0dDrd3y5Gd&#10;AXXwsoP6eX8WHQ8ZOKqrwGaqaXS1taFGCbJekowOsOch5v/l1yxcjD7nOiB8C5BnTpxjvkvpSTxk&#10;DtvgVeP7EGYm52LGsXSq3MjpHoHiJZvy5cQnNpKkGeRoeI9SXO+rq3sjhIB53rhPlw6v1v7Osl08&#10;291VlbPm6NNkDTNuFzidQ9GJUGQ2A7MCSss65xk8ypClj6zpyHwaITQSesDGr6kDaWtlAl4JNTg6&#10;TNn0ujjl4dHxYZIIPBMrvsiRU1PP0PstYecKoObTXvMp56uEf9bsa1DsGLHGeftaeYWcdQp1seHy&#10;ePK6NFNeHdfld+naMdM3gxarcv6SdIaxRg2cruyfntOKHR7jjafmZjDpCvSy57nEqrnckCyRMrbq&#10;/7dfK50zaBgYiF+fIp35uyomOZt81sXhMZLIUV3EnE1XSD25f1h7CLgqkUp86j51DHely9DBW2Yy&#10;u+/bYkZv+Vp94M+8FI++d17VkO0EV9H+2IkYZe6PcAzzTHrgekSUWsBcpfBHNrfnuOKvrIYzP5/e&#10;85IeNnsaaDxZwkb5//ZrYi8zxNavCc6aJWz7pcB2Mp88b2RgkohO2rLOThnxxZuT6+uYw5eEndU5&#10;HMbKUnRLUzGdgaA89iRRye9B116doVAGLZozNq79e/vFq3eucaTVZApYwV+OcAxRccJ5zd/zrWjL&#10;a4UfyDSHjH0SU9Ng1+PKNiCuqR/pLH6dydCw6lCBkUHzxAgQv9bEFc1mIe4CeTiiVFGxOWUtU+u5&#10;ZHL7tr/b2mEZmEun3UTzUaUZjF5OCa65z7jjwbIcmxMC2HU9lQoqXuTac/1ob3tn1G49+uTqtAiI&#10;9r8e4QA7mU/vS8P1s6Jht9SSsYwkI71XijCnVois8/Dwq1WYj8L/b78m03rQvV9PH21O1FkKcS9k&#10;nvwdJk5iEnbx/+KO7+F4Q9ccYOpRZAsUt0Ejckw1kOsPQzekv75WCODtWHY5iB23SiVr99cGVpMI&#10;lPO3MrenEMxUxXJ3hAPsBl/nOVwZoWvwKEkFyeLrY7kdEJNPq7Cumssix3J5XR0VLNWoYLFPWyYm&#10;WbJf4GlLkZNQN2ZoxyZViU+ZTCK2KUtxJ9AmZABRYLvaN+uyuRJfslIgd5a3VHNry5ALnu1X1/S+&#10;sufAi/qLfXz+ApCz70rpLl2586jsd86P4zQN/nqEAyyeMZzXI4mnbK7XgwMxy9NIVsHTrc4BbrHL&#10;r1W3hzW3zgKWROnDpHDZhoCjTggVBuRhjF7WKjJe5paF7SqVTPu/1h6TnXBMoL2xpuZYJ+8WphJp&#10;JmzX/gFDYAYptipzJGokzUF0YMznz3J6tTX0VbiA0qVmyNN3hfL59mk190c4QI59Bghlc4Qo+CUY&#10;NsdVV9/tpQrfwVQ4ASv1fEsReB6x/Z9+7cOkSvLsFBhN5qwMIiW9OapEQufqocXFMijHLGDhjbzE&#10;nwTJZlpMWMzqvHOeErnSFOG2Pl8M4EHzTLRCK9E4J+5eawvynJpqFbzWmf+GF9/XLjhKqFpl1Mp4&#10;UyAD9+la1hxwPyNvw/f5MfYaa6KuaAFr8nyrQ2c+DNuDUsF8ktF0USTpRArEr/MJkK3kiNk4/Gpp&#10;avXrprZqh0nzg7wtT+r39rUWnUOXWbcNkrAOfmSdtXQDI2Y9aF1P9vHuGqojnt8rd6u5p94d5Ggz&#10;Vqjytz/CAXYHr1SprV9/G7SkK+vknc5lzALb8ik/I1tgexJJTJf4Gj6Pi7Z+9TqB0VXd1JvSPGqR&#10;O+p+mMo3F8TH9LSr2tgm750KJ0vcC+7BfCknAhEprUnObd8S2NZaJIqYHFuoow4IuvNQz0vy2am7&#10;V6oF+sa3jMmB190RjqDPMzag2roQ+K1yC2OI4mTe+3XDx4o8zROhijKCYufXeUbNDiiIXzdVJpWC&#10;0eUXJUf8Okzl9Dl9W4saa0Lnqitl9ZbaKO4qmYz8VNHd1XmflOIWFyHtctYJmH5N7isG2qTPVSbW&#10;KXYeAtdM5lCpFfLGvePGt9Xiv9yJsZx3DhhnXTcNE2+gMU7hsyvcwxQGa/+8XPw/O9l7+RLIQrpg&#10;5qctvF1ehxeVrmwlZ5jFjIYonUm/pjo3nXLHwaiSlTqJXBuiyiNop8eKm6rOS1oZRLgDS33bajRF&#10;CQ9xGNPzc4s9fC/p2rGXul8XkdT2UD9wapg3vi0r5V9dtD81jGLL3Jlf4d1Bp2ufWExaAT6994tf&#10;n2aZ1bERTGd6CXL/SoGPvgNJxE3JiDHt+op8v3tu5RoznUyzV2CWeD27KEiIlBOSpDF2Vc/SssNs&#10;agmIXYezCKwlTjAlzlJcZIdRn4vOunYaw78Sa7631S4eJxoVSYvF5v2fvy1qy0HLhVeiKBOTYJso&#10;E159bLh4fSyprz7uWcJV4ER4mnW2D2UXeeaJMcHqxhDe+NXkEhSVJN9pWwr7DMwRPsbNudFRDpLX&#10;5XmbtiT39tNrVddRMiE7bXUcxZCM3ibsrDgJDpGdUfFcdWJBmoW8nrlLmWmSce129VokJM/GOA1J&#10;13lyz5cqmsUaHyt0zZxyjWL+fp+KUexpnKrWospcp0B1xuT6HpT17FLOQazk5vRauUA2mMXi10o0&#10;Q8XmnB1ntGY26cnQg6rPCn108ezMSu7VFQfGNR+psk54c4TATHDTFKovVq56jUuMdYCFF0d4fj5c&#10;/ixWEQxia3BMyGJ4ydfTZ51guj/DVNDJuk6QLcDzz7/59bnJIkhKafv1FoLXuvVpM++mwG70t/Mz&#10;Rda0dM1JmOXAacSZoEw8prAloOpQoMg7hgrbVhaTUqxHmO44FVP1X+CEDbGCRWRoMEcs664627NZ&#10;O83zE/7kXOM4yXh3j9+YKrenWBvmsvYOtsuaAa+zZNaKRNA2kwMyUQzLATbGcx9OMXnGW8WgJt6n&#10;xxhmW1c2mIZgVVrFrtdcCVkOCWtBY+g0Hr6eYVLGqXWU7d6TtJ3x2OWxHeCkfGrqz5MPJEfgAMuq&#10;qCbrltZQmTSWZECvrHKZ1DYcxX2flV0dflsKC9aDix38mt+3kXViPx3Qx0o60k2+3vv1qeLBRdDR&#10;VPYuEZ5/qvxvc91jN8swj22kFNJTMmiUV8k5xRxRMfJpkBulszDs5hLdHmPJSxsurGZ2vsvcdTM6&#10;QIyPFa9hVmKbhGJ/e0vXAhsrj8gzeHrotNzdPdO3RfWdoXvIycWCp9XJv6arXyrVsJx8qCUBY/7V&#10;r1W9SdfYM1lSZ5TPr70w/+WcxurXeL9XzKGUMxCbgGh7AOXv4YMxD4/DufKB86mqkH0AZlW01sh5&#10;3L9S+x6esoirddYwMwkIbNdWho2Zt36HwJx1gwETPjc/2LiD/cHrAr/U7T77+/ztlcNShqO7F9yx&#10;1S9+rcEIGxe6bNYS7Dhujd6eXqxF0vRrGsbKpw5ofGfHJiCWkjcE7To5VBtn2iqlLXt73RTgE2N3&#10;JTZOPcZOjeX1JN5yRR4YLnOlsBQtQgeUtlY7Dy8aLMnwUGd2ziHbrXc/vWvYn2uasM04oI8/dchq&#10;e0yMcmvy5d/8eg0rzweucR6fsn76Xt4mUZNdILN1L1gFccX0fUUUH/OOKsE8zTk72kQjKIZT2vVW&#10;sXLAzoBz5flbmsPxsVz4PWqv/bNWicVlOYJCivb802S9rAr2CY1UsQDQYVIX9nTws3s6xIQRsHew&#10;n497EUxOxgfDjHWUUoEen23qQ/yae6YsiRvIkbp0qMZ/0TMHR/MEdQJxIb/k5abCjKlT0BNszRa9&#10;WziefarNZi0fO3dcA8p3ZUQL/1RxeJ0TGd3zENXroi4U0c7h1J6vE8HAxlad0AGGDFePMCl5/jw8&#10;/FMtO9hdtb1+jCjfnZD4KHanD2gHq409oj6J5jD/xa+0dqJ5xPW1YoVQmVpuVxKbxa8gIbRciFgC&#10;fCvymjrVU6E/rylED6uTaDJG1XNPnVEk0lUlLr+WC3OuEvDSdnB9MtXOJ6epE749/zYjeVuJ2wMG&#10;Zu0ZoWOKrWDeGHmB7UGO6us8p7jOVX3jRZ80rCmuqE4isV5qdKeEYTot4ZLFxttHJq434f6+yhZ4&#10;6IySCLgu6ZYM2aq5VrQuAbH6CJxUqw/PlbU0G5OqwB7LdpyXSlx+Lb/kbhvAOo8Z9uy3avWCLzFi&#10;sTsOlt85jrQGtotq5oHZUoI1Ea+RP+9+87N7bO5xPUc7M+Knfu9yGqeck0NV9boICyF2dWldF7Cr&#10;XxPAObNQwHWDunnGzt0MTdCMIKviN9QTTFq7hV6SMdDzs6lN/yc+62UzIep0KXQ3JyQqiyx9+7Xa&#10;6gyDwKjtZgUP3Jqz48UB1V46L0c9m1AegWLA59vQAeoox5fzqLnVbJiPsjCcPpbJdujerr7OexFT&#10;Fypnplvb+rHdv/g1dGeOpQT0JX/TGgchQGV2NRWz3jUM4+zSdak9Q5ySvIdnqJYJTu1aFln82Nm+&#10;qOZ4w5XYzfgr1fA0ztW9YaLWTSRc1KtUZLK2DSth5aMQEGx03q6JITRr8yjZVY2ozLbuEhnrA4UE&#10;fRe4Ien66sukgv5JgSHpWvPRdGvUmsZaYPGrCY2TNLlu8BPXHENs47XlgAhm7ORoasA4Oxj2EyYT&#10;QdROCo8AqGVC2a1Etl/iTNfU1iQ+oMPhD7edAyp6klxmYlplcZrDOfYjE6e/KnoCw90GqM6WUbIr&#10;h5Ge3J0HEfevkp7g8ws9q57eN056tReSrqtba9qKsbY1Mf4Aonprxjp4eEZDjLfxa5yTElnM9lel&#10;SsG747KNdSJbNXUZT2XROMdiu9sOsHY2+yh9kVJ2HH4dU2WDCUfkKArDWm054e2VrjBCmQTWqWWU&#10;oIDWY0tLq9kn1DQQiccdyWOR9Rt8zxNLxx7QkEMTG6otnUuusUtycxWz8wxIra78rZ+LpVfuzFbP&#10;SAZjhvKv2SooYvt0XYJJEHErBCroEqA+cWXcktkOcIXYnjkrQ37EcWa3LM1sCLut/Box4ZhTwImd&#10;TVgfFwLpKZgLJYOEny19emQ0febxIFXTHh7+LNdr/w1+uU63WKPd+j6bKrL6LJ9hcaurWt0AW78e&#10;KCKMSOKuJSktnn3+JVvbr3fpOuqzYfpJULPZMp8kBd0aDYySsj1CNEvdU12wQsNl/eebtD2q6n/k&#10;WaZYF4vEVw07vS4ENhcAKgAL4IUNs64c9imzqqCQg/OJfH9zvfbrb18L2sGTj1X3MPNxWDoGyv0w&#10;92V4dauSsUbFxeqNCnZXXLGOzfRKy79lawt0l66Jvwa7ofNkzf8Q9ETYixc7AAXtoSVgUsafQtnj&#10;pv2faDThWjhVODgYjOvZOMWo03TcjwFkqgjMideLMrnSLW8ujI3Y4XHNDYFzvEvtw+/vHfjaTqoD&#10;anbFTHWu6DOuqfVxCueSPO3WaNvHrAKrOC7RGdV9q1+zQpeJ/jVbC+W+o9elBeTMMKJtnphJPNhE&#10;PZM6Tb3ehUQVVKAM+WY6pjHL49WNcCnGSdIEQyLGZjK14ZHXSm7DOuElhIA3PCt7JtrYGSW7Vcz9&#10;dXOp6oXU+Wu9gaZgc+p9A8kOYiPRLxcmRctAKZzNGYfQIEisCerL9aRWwm/Bj1/bIIJKKSncMVQd&#10;E+o03sKxYLWYQAcIIQ/YJ7PwCCx2Rbx1wHjGqHg1tLUhnSVQOUhN304oGaEY9zIha2223JH17EhY&#10;y1QHSutppymrowjp7TsPHCW75TnH6dVa5L1C2rn2/slKBTNdc8zJ+SMbv1I0E8ZMuV6qHK7+dVsg&#10;ash/j5G+b37N4MWvaZCx/tWtfW/NiOEBcduEjj8AFtsINHbPXN7p5w52dQamG+PCpQTkCjDkmnHX&#10;LO8jeXxock2orvfVT5bGMYxgVIKTz9lIYvsuZ5WHiTJOnnbwzLiwWI/gvv/YtZcPL67yaKlfIHoo&#10;sCvTNKmmnlUViO1GGZ63IL6NrdN3cux9XqIr7ET6nCeqJLzf/q3WthRoXy0No0401EshDdhluxBw&#10;X7vQcryV5xdrreWxImlWBZ8nRoxm3FHisu4dM0lWNaE8+KxvVF6VGPL7ipHmiCRsXNmIcx4WrDMG&#10;x7CXV/KWJw09HHxv1Pu/X67NVPrTeYhZMvNVEbAnBoNh9roRHDjXabvTexXycSKrXDHLSXQbdz3d&#10;yzTDZoZSQZwiyK8JGT6RSYwIsUmq9qstqHWvpW/3GGZ57JlyNORHI++zZRz4ooV3cvLf6nbCXn2S&#10;9uknP2n/tTbE6RqWhPXzZwZiLwUNS0Z46v3yKepAtf8LJDef+5w382LiflPPuiiOGxAFtcmZiGh+&#10;evPAZYlViV+DBUGs+yx+ceso8oK9XysDFFAtxDyPi6/itMFs49do93E3LQgWO8aKHjjhWFoAPdI2&#10;JpQqXty4ZL7EeK1zV2slHlcQPsuhlbDGHIhxRGAtLR7zMokIquc3SOZ89zGngjApM67qJZ9jn+Ua&#10;TcGbfTPnua23YqIl6P4NsWBTavfdPfapb4kN5BSK/BoH9W8idn61UfKbhLV8CJaEjaC7ZffbUpnH&#10;OgijOPBtnRBc77/yJBYPrNza9ScLIpndULe+NuJIa8FmMrJfnuePawX3rwgpiCVP9XAcmzrO6JVP&#10;ql9KTdY6K1RuLiFeC2FDpfGy/FwQfyvCkaIWk1vzj8Q65XbmAW9O/rfXCsBBdetXT1tXX/LYXYde&#10;jmzi19Wuguv6eO6uIXYZ2Zt4SWN7DTBjU96s/3riuCKsnOZYkH9hMRDXk9RLTpRgxw4gv2rz+Psz&#10;GvuumWD67vPE9DgWiG9yHuHOrT21tLji0xENxBPL0etSZn9za8g81QHxvg6Xed9uG7+e8rC3t9tm&#10;sSfY+jUiekmwzBOBIX05fAoJ5AkkBWNqZgzEndyVxmvChrEdu552mlcaCd5KWARC5YHYx0yCzRov&#10;BUDhFKf5pbB5B00hDNhcr3WK1l0pI6bHueNlRTOgTDSq69ZkVQuWtukRrrzvYBz5lvK7tKoarYDb&#10;+PXp0e3KKgs6B239ml1Xgju/joStwZmaTm/+kh0XdqP2OGSF77DvarkkbDF2y5JzS9EX9JJY/nWO&#10;jqhZImkT/mEgtvGF3xzbl2YLJTDfzFCpVkk5rsDUL+I/NysmEUt70rUzqc4xDYh/ZgbJgmWq+sXe&#10;BoqBgqvCdS1BgioKRNgqyneWS+ecol5q/s6vs9qu80KgI7aSo9QZT80ooQ29crKDwHdUlahLwjZj&#10;e2hh2KYKqIDbVXKele610zIVDF8b4nChJ5ixZ142IvhbOILlZqi6naVO7rUkfaqijjcb3n7WVOwg&#10;3NRggWltZrPSqn+xt0KdZYJGRet22VpZxHI3fg3+6THR8510rUADdn6dq6H1dFNgLDHDsvjbansY&#10;117sD+lvf7Txp9cGY2yznHba+rUTlgCxe1rnKe02CsvhajOhI1Kcyonz0WDLvJjbG/fnbJMLyom6&#10;c7Hg+pnKm5mzBu2XI/vjDiEWld9+pxm3+Mi3w2QbqanSjqT4NTc1nBNxp3N8vZTYnV9nkm8WMoHi&#10;mMwai4Dl/sIJXUWSsJILSxSbxZ5jXvSCbR7s7EjKjx0gOSHRRkzFBbbhHYcTXRmHVrXOnAuSySR3&#10;I+/d2qcq+tbFgn78U6aVXsQuJg2E+qymfXgylRzQT+40jT5cXHJviOa2pQ5LhEy7hjxzu8B6z6ia&#10;M9v09YCxUMEdA/M4H1hrONMxRruwfxR2lJ8HuktQGm8UqEVaQNRGwmamKMwp7qgQgThcFSArNozf&#10;7z6YvzIZ55A939XdUdOtEeJpXTgI1J8OD+pnD63TqCHp2mc3lufa7/NajMqtYdwnCjYUEyQJnnV+&#10;fZ8GkOHXETbA4sPB/xe/zpN3yo5B/rp7Fv93L5YCmPR6S46msSUXLFlm0zfPJMEEKZTEG31l/bke&#10;WINVEHs/3dbJPJvbQkSLDVJunScca06tZyqezlkgyvqZC50LdZ7/jvs+XecZjftly+45u11F1kAt&#10;iyWF58GCJF/Wc9uJ0zm4+HAUp+W4q2E5H/K4kN8WYk00KDsqrBPmO96IG5cwWII3lTqjFkYB5fVI&#10;2DpuLe+MCFhmZ6Cm3rclRMpDOx/8efBjwIvldOs4egGu7z/D+slE58449XO3GEnUV7rOs8q7NAR2&#10;bh2T1BJ+JUrV+iUtVLrHzm4m8KpnEWvU2vt60UsBPq/1TCrgGMkKpItpjPEY7PRj37vs1mrEsMoy&#10;MdYZOICS7mdAwqj0XsLL+wMq2I5DIQ3JFLs1LY97F8c8onG6dfNzy+fHuhiA9bPFynUa9W7SDHdH&#10;UK+XAvtV886tswz2UeEMi5pxJ1ch9TVg8doStnvuY2MhO6GW/bl+Nsl79hqgPB+pZciSKPM4bUsi&#10;bJhkEeuUvvMrUeIMhEKtdisZyn81ckJh5STLFrYhGwIuyNOtGwmOfa8L1h9VuNqAu1XTkq5Vgk/5&#10;ecQec+/WxTqN2WdEemjVsrfo16vBzU2PAtNZin7PoWPGX6AqQK6fzUg55MfIAa/3x1xowHB5ZKOJ&#10;DkeodcMkmcWw9skELandaEkrBVN5x8phBFLBWq9OH6uMm6Vmv5/h5eVhvhhxnQhkz8WtVYXfNyeg&#10;9kbNjzUxRa+rjq9x2G52u3NrLfiAEmYcdzSTiPb2MzEFdxOB69iSN22mre6BCtD+5dWvYNdtTwtN&#10;L9GZTEiY7YInNpCEJUQeB2jAn+bqXCtj5YxiL53uViSrlO9zzSfYYlagsWyqltVnnEWabi0Pn2+b&#10;qyrbAtCl8unnp0qwaJTa09DAEi8NQ+hSZ0RYp2tNhuvrFbYUAq4Yq19L3r2ogq5Np4/1FO8OsgQD&#10;c9p5THFEVeI2ft1NNnXU+dPF6LqknKYqB6hnsloUZWeUzP2adLNw3BTW7XS4utxv6FrfcXjsu4Bj&#10;u86vusW8Prfh2WcfvRAR+BcjUWXLuCbO1SnzuCWrgFnse/5MFCrvx0y8pVAQF40C1IR/m17Hced5&#10;ObzYQ0qrXTDt3DaFakpUzjruS2cM+NQZdM35OoOIjQl2zDGxUxekPbW14l/H49yBbf0f4gHfDz/L&#10;vVEXuaRKqW3XP1quppozdzmwPZecO5brVMZaKKoGbw87p7NcsedzM7sK16oT2w6xf3Fr1eHp1yK8&#10;D0FgZI/M8q+VOCYz1WnnEQaaqoY0wE6gipz+gf/TzywMWhVlgg39Vp/FUuflXSFeToAcPtfs3aX2&#10;6nL4qCLHtVy3rUs+Pqmf4qtEtCXOuZZyV3VGysmMfU9MKvO6tOtknaYHpl8Jlp6dhda6JVbtsBG2&#10;vxyShuG9X7cFI7Amz/1J4TauXWXvzZwf1WX/HOA9myXDBJrjh8kxyZxgZ7t2/7UQr+TeNlm5XhRU&#10;2C3K+Oc+rKQeH/BqlWTydo0TDTh9j2nURBqWuXn+YiRZtixu+he463V4YPgV442zHtNBFQ027Zje&#10;1nApyNyxXGEK4emSCUumvd0/naPXxzXSdp/8KiQkXhWfgl1B3Hldfh0JyyrMRBMKzl2vcaVxO/ku&#10;GJeEPf0sB7I7vj2d85Eig6oEUL14IL+72Ty6QrUvwi45AYzKuflxQbSecVeJOG9xaxh+VcGsazzA&#10;KAllPuSfU+8vfo3my+I3hO/OiggKlRp02p0KB4pJqbnMhUDZVCuu3cDd1LTUBAH1pQOIicF5VbJ6&#10;28embeCVX8MSft+bmNnwrYVTjsMTlwyMubSWikob0eXpSsxNkXgtW5++NwasNewIpjr2X9KpYfj1&#10;bX2u1DiO6hova0y33hlR4DlznfjD8q6iCYKax4UsRyA7KL/uCnHbdD7uoWBbECeigRwdKScrJ1jK&#10;OjjBC+bTT1t8n/012hrJFBu/FIKhpwlfsajfXVIDcoWgiG4OaWWwsut66NpevVvIJLzayv1woV+u&#10;rk91z0thG+SGL3lTzOy/92uEXet+ysi2tgSC+jmv1v0KXZasyigQ4+hpNQ6C/edBp4d3yslpdnoL&#10;ayefuSY8S+x9OHp0njvwsdaC7bqw48KIddyNY/3yEH4Trs+/RjH4NrgU/8V0w6t3hk6WVUD2Gv+3&#10;q+uLX8eJJG21N6Yvv9eJ8JdJMzG8zPyVT/cRMIVb56l76EsITutZGEsZZ0RBXsO4d8W6hrFfRwYf&#10;a0HcWjD89Aifa1tjd+5f4J43c3rradiwidzFSILK5eFY9/6dBz+e7GppPMgsXt0euQicelUU+7Ti&#10;3cwamH4dMKrpdOvpfV2m/LIcjhtHWsn+wf/Fr2Pq79z7FyhNk1sjYGpG6UsqgtOHUfZz4jqLxeed&#10;Zqq3jooRvQx/c5hd2zEbbxnsfS8H8kOihk0h3nh841jmCb9bz7dZ0JlzyP32FbYFfWLJsOSwYUnX&#10;LsHzIdk7+MWvzWOpvOOmMuCu5AnV9phB14fU+yNtQYSzo7bRvYdy1Da3fjkueoub7orIghkpRsKe&#10;Uy+HbC4ceUNxnqM9augCZvLmsMr98UV+Mxfvpds6Ng/nQM6Pw8P/PK6Wxlmm/mwvLdwZL0ZW6095&#10;5vcSbFjWwAW9FF4n1MA1PzD4LV1tjplVfeL3F7/WegoabejdjQQNiZLk3aiy93GoLmfiQClYNCsp&#10;RsJ+emtO2rhMYdT9gl9i1/Pw0VEJ6Hgs9llD4E66ZY6VY+0Y2PoSgb5rsuUJbiNTT9+fsfzeznMC&#10;i2b/VoKB++PHfmTyumwLXHNQsq8OgrhxcWKfUbqfiVMCa2EW7+f56PdQCTuMEagCBJgJ4jhNdhcY&#10;VvnLuvYMcDbNaTfP4YqLZa21TCkNDBpvwxTR9uFSiaNdA+yq05ETATx3R7hz5tqXz9dj3ah6+h6/&#10;3FoWKwELfXrvX0n9awkGtoII+rxFmaVSFBi/3rqnl455ymMcCdz7NR6vmpAbE/PLkF8gCes5ax7G&#10;zEDsO+lEBxPv5NqcXK0JYvjNWs9AsBUoqNMa++MmQbCGPebvG9dlRTUZ/FO/xFSSPfSxiV/UHLkO&#10;+SWB4GJX1eHs/hCnV6JlrP8owcDdYWAlYxXha5UEgZYnYXjvq5oy5+w6B+1zuzK7SOy5T8jPUY2U&#10;IB9Om1NYjm/M1ZJN/sDGwjUJzpgAloSwVErYeRr5/hBWrKsvsDx3cxaqDYc81SQZS3Se/HvahEFC&#10;zFd96ve1ylSgVkR379Gq8/SB3cnge9jNoZ3bVQqun2NVqSLbS9E9zarl4xTVMsvsrVNVoDJlXbJu&#10;4fRhO9j9pjYJjdVPIM5xTi/1cM4EBc6aHb/Fr9aA8ZP6b/mw8dr6WsGBvFk4iSChkPDELXlKugtx&#10;xQg8fVzbJwvr2VF3LxBYpxWK9X/D5tTJjIKfuFXJO1x0rKwU7P2arLtfNAl2+drFvcxQgfILPOXH&#10;JfEGfGeR2C5NqvYbe52QhrANpNR26Fq4vSL2fD4cu1+GATOdBW9rpW9Sm6jDoVQbOzKV2PZGlz7I&#10;Y9vh8qUNmSQXfWaONCy22jzi7XfYFMIxEZdRsFnLqVmsg3W/xt0vmtZ19HbO27n1zvYTVKqg6rD4&#10;rwXxWLub1PB9h1b9UBMg4Xc5vAi31HpvCmqttYU1Hd9W+buebEMH8aF3QkxXIB8vuhCXOfG5o4pJ&#10;tt4Vn4s+G5gxdDfv/garCwZ+3ZnhUlCKyMVT4l2+xlpj0bQ5PNqsUXdu3Va1DZCdJmsLeNhYmywZ&#10;scwIpjVwKrqf6gSET07JT7tJZ/GrE7FqQhW8bUgWhF7gbS2NfYaqoyLgmYEf0tvtoza6MPSvMyX0&#10;Gm+aa+dNbwPGNbv/OraZsEw4c9Ucm+SnWuUkKtxQYpZEQ1JjOKsXXFm2ram9d+tmwboF+DmOXFrt&#10;szF5zhNf61UMx18dGHXWaFrJxptjYb5IoGD1K4aoMHH2CO6tO3QwHLeBGeZbv9Y0BHc06oiMBXu2&#10;Gi9rBchXj9lA58rpvj7/BjO1lvVV7JayWuUMOWa67vyaUjePej28DnXXGW/v1mUWvgMXXfBtagda&#10;Z/6UY3P8lrNS5eiaGUSl6vAHvtqe/hOsGWnhku9t/t8m2CzQAptXcgtcuHelvqKRgJImHTFh1Kvr&#10;p9tyX9QXjt2/6adPGu5PF/8LTLcuS9lYP6FbyycMsATq1q/p6IrYbq2bRUaSNd50638c45R/bDUo&#10;JBfLCS3Hfpa3qOWKhCahVma+tiYbWP2a2PFmp/Ui/ITVlbkQezI6zUPWCT3t4hgJ3FK4aI/y8bGc&#10;KH/hUHY8gdMwvLDNp3+FsRZeBtQNE6lw4+4J2XTUEMm6od+VzjvDrSlRy/xXx0KT1VrR9pDcTAqK&#10;cMwXDiMadm5NLsQxEck6dKWsMwKC5YLvOvmbRzWUZKOqrzDLBYawhEfutvDvC5WGO7+OpIfm8kQU&#10;m6Fzf3mdZL2nx3a7+art+CX8/69bx1X0pVjWYjoVbt7YyiMZ+c4tKh2DgRihrDycl4l7SYiatKej&#10;e3a9ro8dCDSWqYmyrZFomsV7v1ydzi9ZEWmkRB03CfIqAsNcZgkgXHW8y+Wmv2AzR+f8v116tbU4&#10;xt86dvxgCSeeh9tNehw1LReTc7IjnBHp4X/sC+at5v8Jy42XQ/xqu8ZJ5WNAKz/v5JEhG79WbqQp&#10;C38CK83zBGxdZFySrPgLeTclKcZrmJcTypr41XpN3M1KW5BIAimOcwWZ2fNZ05lcN5JjYyk7M6V3&#10;1KZfZtj7MnOSd08Sj1GnzzGFNgwmDHzqhWpWzyNhJ9GTgzm3WrhbScvX/6db5w1qM4e6Bicxxtwr&#10;OHd5Naf1vH/Q2l+xOm6JQYcsVX+W+zWqhRjoWtkwjpjsATkiqQix5TTK3q8hoxitRRPoixLHXt/V&#10;e6mBTcq76qfAlGyCXxzbvhhw8hljGQW6+ZXJCvM8M7Kf2+8xcgeQn8xpyMMEkzp+bl+ex/j/59a+&#10;kdjQxXJTg6veXc/NWSAfWKmlblf0VkuC0QXTDMZEXO5YFulzIr47O7GEjVOsihfE1mS5m/2Mpdbo&#10;YbdPB0nLjFVGjlVKL58D7neALsPuzXnn1wB3J93lqmHGBor2RaAUyUHMMhu+PSGYr5fJ2zXUf0Iv&#10;mwPh24ZO5pUjnnKdMoAPLMesw4t3gCqAsmgc0BFTv+9bTnmWgzxwl66jfAg8mV3zuyBxXdKvHLdC&#10;TbBzLmiz5V76vCje6g5rbtLRVd8pvPh1nB8cMAZvwX5KMuxgmmvcIihIKiwL4Yaji57JRY5hj//j&#10;IGe9f0YQ4289VBX5/LOcOnDX1q+rd7wLjRRAEyjTF+1ZXoeDCKJ9um6OvJ0B9WDLn/lTBGC/bgrP&#10;U15IEiq1eHtMHlWpU94Pv21yPuMRcvXr9ErBftYoSKKHxYQnKE1Jx8RtMYD7KHnLYQBO3E1mFPLa&#10;+gU2L2EXOGa3bi0U2Wama7pSEUvV7aA2hwMxm6k1VQCXk0NdL4y6t9MmhzLpJUg+twFw59cSNjKZ&#10;Wc+o26yQ+EOtTY2zjZF59eudY3/3a7lp2ivwbU/X6kOwOD7GWVM4cM09kZjBrMZk1nW+drawvX4j&#10;cLpuPdQnnPr5uUB1xa+xxi5bm4iVWCJtsxoD5p1Zv6XrKN6BJZ57VMH9uZeJW7aIXSRFxBH4Lpan&#10;eZIixi1wNrFQ3fh1fbQC8LtfS+olIQ0fRl9CY0hShfg+YU+PDkOVkprMJvv6fe29a7v+LYBtN26t&#10;HZfToUM7L3OYd+oZH8OttV6JgqZhvM1qTDBe6KaMo+3eTNtJ7y6eGzYuMUybhUSO9m2/iubrZw6d&#10;BtHt4suySO8d0+2dE7/7tX/WsO0lA6C11Ja5torh7hP2PVnfT75Z1xFdDpYnggHj15jP350laL1J&#10;vL7yys79Canp13qM3nRrHaE6R2MYuXh7RCyY5zqCepeuQt7kR6tyB/d+He6o51VVGXZXXK5F65be&#10;tshaO3lxOf1j2LD6b79uQwLrOtpslcAQoKje0Tv2Ci60VuYdubOwC/p1PrwodnXY1q2xc9Y4fRJg&#10;Os+s8Ou2cgsiRD3QKZ3fowb3NNbv6TN4ebzV6skDFyNoyEjvAblStElrQ98o0uvuHGuZWooL27v8&#10;2FjINke7paJb4mUa7kcR7U4rjYzc1FVTJ1HWyaUjueJ3jQTTVA1hyClXFSJ/QTK4Cqbh9qdujfIB&#10;bscMbqngzPxXNzBmTdrn7Kbzyq8S986twU2mRNSnnzpT2TW4UrwmSo9NSjWcUia3K6ISYkKd9Np6&#10;BGhNmp13s9cSaXN7dmub9Q4isV+CyYeTSyXuXL5uT0AMmVfyyQ67Z7mGMIiX8doZAh/cqob4dr5v&#10;T2GLDwVJg21FcxM2HudYMW2lVESoH1HXpduaGhe31qn4rAbWnoriypQ4/Zi2UYN7Qv6obgm3W8W9&#10;vVrn7cppzpqBp5xPXk96FdTM0B2JGUdaR5RjfxMou5/7ISKT4pTrbJGm+zu93pYfqQkGQnECOtUg&#10;turU1+dqzJKweTjhZ4InP8rbGiNRsw1GgZN1M2t2StmTOVrtS7F17Lq6tfP1zq3RpjKlB/pz1uDY&#10;8+mx8kjtuyNpBb1L6S5EN/YT09hh/fVZoDKlla7Sa1oVofHikozq35gtM5sozGp69ZsbZiXuCnNc&#10;3CEYpk7wGmqaT2Qu00anfBeWOSR+VSLM1dVy1N8ZubVPw2MvlnlhSPxRCZqJtkfVHLxxaxvIn3du&#10;rUzZeGusg2ddmDHX5m5QbMJ0nVI2P1cRiGnG35XhPoXSFs6+K8hYrNmL22Da0TH/9aqkspe2kdd9&#10;q/3HmCcN7bb2mWAUjmTf4p9aVPRpzFrUCXKTiUSaq4B56URQsTSCaAvusygx0TZBm1DU37q1lliG&#10;e7dWwzJnzkmwTCs356wR0dOeGKBGqzxje48Cj030DRgL6z6utfwOkZlZ5rqmq9CD3WCLyG7TPe9x&#10;cstUdVa5tthihuK8yXdZAJjoEkA9smmOmSGLMTDL9astBNVat1Ldge9Dlv7bF+hv0zVxuXXrelQy&#10;T/bu3NoLRsE8xVSZiZCxq8roPDsw4DsmGLYuIw6ARyy3KU+C5XEnaYgzKXXr6UeZbMd1d9bBiaLk&#10;HHZFGKpyJVdZAKfNWqn9FmeWoOV35ha5q66gRejlWNJrAH7tgrHWrl4OjxXXHvi53sM//cyDOiFb&#10;6le6Rv79onMIsLDbuXXJh1GDG8XUEj0av5tcgbesKaro3Z0bs8ahvytFy6searBZIn8v6azQcW/D&#10;u8QH+/SxxIIc70IauuU3nLQu6Nppy+H5WngdAsNkg3hHw2/HXoWzWTYN0/5LIfZTyy8ffljJ4Ssj&#10;awFVrwGoJfP+XF2n4nJj8t6tI13nnXAblFr17E7iF9SdYFamRq3gJI3D1jCG6cSN/UMeQul6+kkl&#10;SKzkjHNgU+gkn9FS//M4WrFyI4g9fbK9Lpw2RaJgMb4TdhwKzTm406ZtFrBEFX+99jKM4P2XQpyn&#10;0b+rDqsgm3Y9Mne8BqA8Md1nqATavHx659YRU/M9EVvPx8zf97kIXHO3CnFc66wVTDIWX4qaYFPR&#10;U8RTbxSXMZk0sVHeiv2yvNmeJYzRczaifuwKQWexeJa1XZRXJ8aH25llk7CM61icc3BPOHPlJEjM&#10;Joc38bvM3Rv1B0S6Og9JQ62Hxv3IdRy7TYpdSgcyDU/MStflKSZbt8bt9RrjOzj92Finx2WSblBx&#10;hJo7tvNDL7XPLDtKlBTJ94V5BvqBPpr3552dexstJ4yONi7+8YYOw0os17HFr+WKIfRI9Ialkq8D&#10;RyFeozzxkKY1NpYZ7m7VGHDonh59mwVQFwqGW4vAtop3MG68vZ+G+8Th5Lt1a9L09LQ+E3SB9uv6&#10;8AhRt71ilYTkZtXU58hCuzLZXE8fk/liOovbJwdmMSyYk500taVASMLVaiZmncdCxXSsmeou21F4&#10;BY6z4rQERBeLuTzoJI4POqENC9JO5kCyc7ml9s/DjRVyI9eDkLe1bly2XZtrkuxJoKfEciJQ9bZb&#10;Vvl/Afl1Gut0rhPBETQ5krhYQys8T99lrpIl2TkeuK6RM1SiwdB+NT8wElZx7QJp44Pe5w5zLLCs&#10;mzwjDg7i55LZx6cGGir7Fr927qxqR7nk/qaYeA7JIe425QpSp5cTYS8Pj/zmp/xakb04R7k6+a6h&#10;EuZ9yNNz5hzZ65nO37sjVsNsPH1WZAje+sf4tcSyX9O9LCaKA8ZwX1llXZVFnMVy1mApmqvtBG12&#10;3G9bZDa9s/w8pDHCXLtpDgr/1VRj6VUM+rpBLLNUk0RdB0lGBEwzl0b2C1pDBD9PUqfHMgO9+7l2&#10;49RtCdyuYaoeLm6tVf/VM6NgtfaEt3lwcPoYGN/zNovEISWplqlThKo5jhvjV99cYrQ4c9rcGk6w&#10;Zj9QqM4Vbzs79gQWv9rKrX68bGFWpyRCwhotVEs8vgSehSxBWwu0MScLEolPfo/4/VlUQQekHe9S&#10;tUx39Uu9cuvts8/jVU1bS+DmREbX4MWtNU3P3+DOZFzhezl86weIaIaK3aEWeWXcyrGZBpX/jrUE&#10;TRQewkyBMxTI8H0VnTCiD0Wcpj53MUOl+A9XmEUXq/KyOzez44yQ+LVVTUkdAseco5oshTg5XU+Q&#10;+i+/Ct7qnq4JvK/Jn68f/SgLUZdvwrlOYhhi1ZzI+MWtkW1Zui0pssL7klz18IbzT+WwS3z6pf9+&#10;0VQZkwgP9WzPVGqnzUJXw5eZPpYdMEzM0KSZdRgpFAKTIo6ckRRkS7CZuTNVI571Ob3X+HhuhF0q&#10;7HDRYr4wzFWyJY0nzEHvt2XB7yuNfZrCLYbnd7dsay6wSddWa+ZzabpE1lB9AxoxLBS49uFJn4sz&#10;o2MpNjStc0x9NJ0JMG6cFaAnouHpEnB6ZWf+JfqcbjPNSsxe/A8r+ih/LlbC0eVgk1UzQuLXj44s&#10;iI8aUWkxTTWLU8I7N2f+Z75mvdMUn/L4mOcx4vnvn8fhxjoBNbn01JZ0HXLM49Y0zfT9t3TVBDOC&#10;NXCeb5gJ2LZPRbE9VfwHktOpw6pt1nE4S1Ql5zwW3Af/TGRn9kyzOnvQs/sodFCsCQGIBKnfw3zA&#10;iJDya88EJOywTbRbFiIlryAi99vkq3GBNkiZoMn323tHwm0g8T6d3sc9OUkx3DprZBJicesSg4I8&#10;Pcjn83gb/9p1+M7Kco61Qa95S22fA+uTEbVb5OvQorOxSczFbzt6LF4FG/PPCKjK4DRbtGxDNwWw&#10;5uTa/SZT0hSMqTpeex+cNGKstnMZYhFinn1MeUz5/iVf+wRdy1cXCd7q9R2/n3vMmcdRAptzXbgd&#10;0TYv4JSkc+XQS26D7O2wkwyi87bxuKjG55NZIi6PN6v5sureuLRQArWLyo9BXhb0nc+L4dS4+HVG&#10;gCCFeHBNVxl6FHKx3AwKtcpJozZgAUwYv36P6UcU5irOWtdCgs+RmXWiIsvu5UivYCzH+wJVHerX&#10;b28E7fAF6mlvZVMggpTco+otrkj6tGL9iDDgygI5ZrHQw+gbWDN9nkOoglDz73qiOqbteSLlBeTt&#10;UVrbI/25PWEN17JebqFKvjlAEbRjIdijkCt1NnEZnY28Pd0ZSsSKZV2eYlCXJw22vmvB6R0aHamV&#10;rh+WfBcwwyCG9NWNhU+3Of2tFi3wsQ8P8SvIqKozfVlwXpLtiItQq2n7yUPxa82Vc0or2D+faCBE&#10;odJidf1uWZcMv34253qaZfcnY65dQ6aVamJb56Rkno6iOymTQcOQx9cESUPpDIG9+VGDIDKlt5Hx&#10;SrFM3YALtXve/LOIDroKuGRhO7uhfkBx9YMWXFDa0afHTld8bOQd1BtrDXXuwhr2jd59t1uDWjH8&#10;7qxGdZarqjQswXZ6+37/2Um9TF9O11/cmpM9045eK/ejSYkSa9f9ReD8WjpPxdIhLsE3B7t6LNEF&#10;tA6nbB/gK/DUF0Pv8jUhIqNZ96dROSXAnBdwWeawYyKpVviVrgm4bRlu0Y75zRnZNqXN7/euts9O&#10;nHtI8GDY+dO87dECIFL7p7wvlLGcA2Ox2PZa0YBRpTJ/B39TqCuaW90iOUWqBE3AVK8IVJoMqWJq&#10;VpS2X9LbXqhfABuIxlGGT1oBVtfRTNTbV/mXeSng2es7FOt2Wf8Q9W36GBm71jq4skSJ499e871x&#10;UC2Yrp/9uxuJv0hr+Pbdavs0H9B28xr/dHzv3w8Y5hopsM1Uw3aByEHysDKwe0dBw6iAKfS/uLWi&#10;eTRFvwVlXcVNt1bWjXGVNbaabZqtaaOrf2xJqZxCD+CMp1rFJFbdXKYOmN8ph3EJ+af8mmxaCttb&#10;G204DLKi8Obpo2bL1a8liVeQydeP0jAdgA4icktyhuzhEz9ms2Ym4MqJCwSb5ezh9tFO9SpJYAuO&#10;+W9Au8zw69F2O0Wiu3vWiglp6yPbctA6u6WsuqHOz4eAM6f9WgeAYWOmXtuO1KTLjvlcj1cbSqKB&#10;vJWwwOrmsfUnP431XFPahO9b/S7np46df5jffFZYjMuvt1tPehWkebpixXOEu86T7YqDCimP2UI/&#10;mORvmS9rqSm9O7cw1z8xzv1Se14FEfxLOFX0bSaajdHSthqShmV2Sxl2VNVqoJD9lI/Stqpnrf6S&#10;yvCsLBZolnCAHCsCVpjcp83vwTPKW1TwYdv7shQOnHLHDv51bF1/oOchUiBiTb+WW4t5TkkZqH01&#10;HUQlU7h3QC9eltXTL/A6a+/bR/tU8Js3gKUIq/tX0mXD0endmZpADLFpg9+cXiuqXvtsyoi3NV+D&#10;NA7B7UGq4jSW6klMvbupWfBrdt5DzrDYkjlKr7tYV8hjjTVd3rIU10b9oOr8est5v+HXrVt7Oa9B&#10;Lss1g+RUzidxdFcR+4kUIz8fHv4fEPpdnCK5TIoAAAAASUVORK5CYIJQSwMECgAAAAAAAAAhAIOn&#10;H0i+9AAAvvQAABQAAABkcnMvbWVkaWEvaW1hZ2UxLnBuZ4lQTkcNChoKAAAADUlIRFIAAAHaAAAB&#10;aQgDAAABe2Mp0AAAAAFzUkdCAK7OHOkAAAAEZ0FNQQAAsY8L/GEFAAAAZlBMVEX///+fo+U/SMyr&#10;r+jP0fJLVM97gtzz9PxdZdR1fNv5+f2Nk+GHjeBXX9Pn6Pm9wO1FTs6Bh963uuxja9bh4velqedv&#10;dtmZnuTV1/RRWdHb3fWxtOrt7vqTmePJy/BpcNfDxu8AAADCqU3iAAAAInRSTlP/////////////&#10;//////////////////////////////8ADdDDcQAAAAlwSFlzAAAOwwAADsMBx2+oZAAA87NJREFU&#10;eF6EvYlaHEmydQspgSgoSgkSVEMznPd/yrvW3uYRQXX93zWJzAgfbDbzIYa8uDhdn04XFxd3F3yd&#10;hLeLbxSc/ri4eH28OL2eHq8oPF9Qe/Nn2nD4x8XfF78uLji3r70uTufTr9PF4+fjxSNnH4/vlDxy&#10;eDr9osPdr9fT6f7i4u8ggMD/2W3r+356E8NF+r48ptE7NX/8uvi4eD39aKvTxZ/Ty8+3NwrPb6GS&#10;0qfTx8XpMseXcvp88UjDt9OlvMMaHxz4fWFXC0/S+1Nx/Xuikr6ePCseLZ7b99oekuXv7cm+L79O&#10;Dy8iWn2p2PpacHEZnfHxpm4uLp5fLy4+ZPrt4uF0fqfuG82u0r+c7X3VRjreawGPR1Wn31e/T6er&#10;a1hVse1rp6vVF4I3aX9aPe17cXo4fdDy9Mrn6eJGWzxb8YFstKfv4xM4wN2+EkAqNEqjs3qim6ix&#10;642ynm4er27olr4PNODw4eF0cXs6hz6trm4ROTYNm1ShcJEHEI2+r6f709srh4+nT+g8oynb3vrV&#10;vt+1yustnW8puBfJ7fkWDT1j/s93Kj/4Tx/O09cPWnqoW51Pp0/7cn4fvH7Qdo4fT1e3p0+DgH9X&#10;UTyM0v3+4fb1FlKna/ueTze3kfaEn9n39uE+PJ1gJahu704XaBXDoqIHzjmC0dPpHRyn38NYePig&#10;vX0fiuGTP/1Sb3h+gzxt3sDw/fYGUk/yDgNgxG/Q+w2nhAR9KbM/yOj7gS0lIB3LnoiF29v0vXs7&#10;xwrfggp+n2/RaFq27+0F2Pjm4OG7mMXwdnv7cSmf5Ihbetn39vuZqgdI2/etfV91ZjSO3LcXSHzx&#10;GH0E7HP6ON+aRMAbzB9wdLqLiWRLynLOx1OoQc/oj2JvTyCDoqYIvy9pE7rteyJB8KnTSQ3kcfxU&#10;haL/UCRnDxwhMAVv365PH9eE0sUfz7dP/APlb4yNGqcTRQTr7Scax5X1k9BV/Oe7Z/2CdAUZzn/H&#10;mDmRMMd3Yoi/q2cjTbr68ukGpHikBO2Lwk7oAlW+ieQJL8aMlotHfDhCRHwm1d3eidPiPyyNgPdv&#10;qpweNyLwP1LIphLbyuSA+q8tClCIl/F9i9vTS0VDgOoPfJjv1yf0NX0TvenT79jp9kkCkDXsX5VG&#10;NcGMzfDaiwswh6nT3V8K8HbzqROZOIhgUZeS7d/kvOzKxMXtG9wG8/nNYen28fl0CVPh7HTxcPsD&#10;QuUvbimSV77uzV9iCi6UTWI7PcKI5xdPYdx+T4QXR1C4vXolNQzlCy3lAUOeYwaRdzd97Xp11iXw&#10;P2rkzdC+fXkA0xtyoo6L871Z5fHVfHh7Q55NX1Og6VMT0vgVmqfPb58mhttEKGzc4iFgO9/d6mli&#10;pjGjwNkAl6d8kV8jmwcE8O03Y/AjomBGkjpfNqDJ88W9CC7wLOm8kmLT7/R2p6E0mL5OA9L9DUrV&#10;d0IIjUrJM71I1EQlUfj8cnqRX70r/+5Phg9dru/qsu8YgdA9f1yRpsOLQwFfYYm+j7HzTfLELaiu&#10;k0sVQIDID/Nwxmmz+Sdcvj0+ftzefv73v5Q8/LwioZgQr/k7XRBM6WuCIEmmF07y6Cj3TKDA2gPR&#10;hVkTNU4FfpoINB/WiTcYOqAhE9A+JcCt4WK93aD4tx7Mt2hU25e+F3gFFsv4R3jeMmbKloOIzH7e&#10;Xjj60A4Tm3PJGqGVQjpFJJ0RdA8MgPgJqnU8ptUlhTevZFiSCc51A1JymFTpzp8IZYZDAur29hkv&#10;xyAEcghIFobNLDSfEL0jHaAvcqw+8ePiP2ewpLmpjyECtV0SVvHK8JosnoSPKfy6Oic/R36+RxGM&#10;bffDm/gc1B1pJI6W0oUi/MRz/eyJ4GDAvZ3h4uJEYJvvOLl41VB0hWkmFaKSIuOo7NDfkvsLB0ii&#10;6MVIJxZQNqg+Pj4NB3q+GsBM4pKM+COVoF0DMp4dJKmI9Ti9zNh6wcTO5P4KDiL3nGTwzbYn5r12&#10;pC0VOrkzjHQV6yf+enLm+KYT/4LnkrgG4wfhbDNQOwULpMAEcvH0aQx5dt3U4/wb3JciEHU+rEEk&#10;Iact/uP0pwMeZ5fOay4p9D+Jp83AbK3TFiKWo5d7G1v3ElSeXRoSpin/Z2I5vKMrexYsufhFdevs&#10;+k5X5ud0fY+LIAZnfmTUw1n8SFdyjUQtdfpG54gHmPBVh8c2sl0P/cRPFQa1Wgrzzx84FEmGSrzC&#10;6KRpcfg/fa9ID0QSMzLmPpl9c058MbG9vLi8vQ+zCQGnr06JxQcVh0sGRBDaBTIe32ORu5urjCKk&#10;ARcGUL5i4kktHF0msdj29t0YYFBrpD9i3c/bx/PFLXatp3/orZnXhKoOZCbVJyniv3yEqW80NxLt&#10;yj+a1NFVL66fAKQ9n/zR4mfmVrSBN+ZmVF9cZnZgqzS6l+rrtbN4/1GSD2Zo5x/EGf+Cz3wKmtvb&#10;K4OVoMjkgf8MxdOKhRaDMzTM4/dkJhFBiumQI0hyHV9FSA+6kjtcfNkqMX13ZZTenq6fPj4MQYgw&#10;M7aBEzW6ZtCy68PtQ2aodjV0WTuZBhy1GMRt83ZLNOIJr3aNWZmnobDLR9OXVP0XdG8sTHTTzxuG&#10;FnyOM+pSiSX9eroW+TOorlRi/p1xGD2rTWXztfM6M/tdJ5hGwffbqxsn/PSzKxisA/EP6l2+UAZ2&#10;yu9fDQgzul3pAiPUmIdJbC6K9TsBzaBTx0xCgEp5Bjs+RGUmH8HKsRMKxwAxBsKxp7EP0wFnSnh4&#10;cpAoWIQ4r8AwqPh72kbtp5845qO8RGC9lOo3FK3SZYPRJ46sjZmVodib21ujTvtlehXyb7dXJaaE&#10;6MLSMOQf/3FwPmnC2KIkOEJm4VEzjZ0a+Z/ZFp/v52u7NnpZVySOXvha/+wFUSPYaDMz0tzASLOM&#10;/CyhXHq93hOQZGNp2tWVm7Se3z46uGe9cPfywpczrczQXeF4mkVb/mQanqFzz4yGE0bJb2oouZo1&#10;sKJn8enkJBRuGaLUhwhu3miK+qkF7C+P0ODEfu8g/OQ08U56+cbBpSP/7emv91s6knBw8gzyEo0k&#10;dKXg9uP+3YCXaxed6B+TcZB/CYsSxeKSR3IaMRTJB+cX7990c3iGtNqnmwxmRWx7ZmjOxOhCKBoj&#10;D7Bpe1sS5fem9PhXMep94qUfczmqKGLijrZvWB24FQVN2pzNC3r4k6MhHOh3lDzBswx8b+RdssZ+&#10;Tojc3r0+xmQGiLRxVsJfuQFd6nz7/fHiVW3w/x3LsPCHEHT+znS4+sBp8GlG6vB2ujHZ6Pz56sGd&#10;nDAn/hYXwH0ges5YBAP8B72IMIl9bk7nl6RrqomK6k+g4d/JXBSc8fHogyEntemKtlj2cDCOcvma&#10;cVtMfNxl/XtxdnJuV2Z8TPPJ1c+OEWnCDIbpnFsnuD/5/HHsggP/RAcMc8mDlCUNK/+HEjbHr9yS&#10;Laq0+smyTwzMsG8fYnC78gEDMbL/NL5cImwi+xXVyB+mk0lZppW+QgHzq4vz4222XcxdRi2dX18z&#10;e2TKYiewfrhy0JhkeDnkCI9IHSM0S8q7xKq8gL0pEN6JAdFgbDeOWOADUfDtBYsUv6CJs1uMgzDL&#10;DsYKYn57vbjO5On24u7V4YQVqfVpRmgElZ39Uh7XuDFSWGHRyDcarBu+mQbMh/iQBbOSMD9AQjt6&#10;4FS/Uwerozq8COtTbBzd3s4COqFwOrkHK1rOLk5/MvnraYG4tvhvVq3Zs9McnD9+Jsn++V9mmY+/&#10;KPXf4026Xfz5ycy1pZrFeA7GP2aS+epC01WwJ0FbDb6Ytpjznr4RxqjznVk0oJN6cHfzyELIAcSA&#10;fnSkxd1eHpmgnf5w0/fy5fSWjaTT6Y+gtxc4+OoH3CSBepL6gEczv3euxtdQvQYznS6lmu1SJkNO&#10;2bHIx+UnDhF5UNgbRFzcitkieytmjoNZvKBi1idFJ8RnScLM6f+oMQXYrZseUr14MoZ+vUibiWJw&#10;QeuZWbhDhOxpjW5W88dBqVppye8sQkT1hp+VLrWLqquYBEKadCuKfpduwXfvAKqUaH+pvjmQ1BS/&#10;PtSplQAT6mjYCnt45OdZyxPBPTPH49ZxJt1Zatg7xKmW5rVrVwpcG5BX71BAGqWaz4/MrUv10RUe&#10;OPn45dwdnPdvtkptRMyg8txjZFUiml48QyOLD5nKtD9DlbPxKmOnyilTb9o/JuhSlg5t6PmUB13o&#10;kjevyfj4JiK+4xlk7NL6JDYwEDmDU+x5ej1j7GfdmJJSfVRngxyuz6anRdXdII9MOkhDTAnUGi+M&#10;OEx/YdVSGUwn8BsbBJJm+1ANp3fywPuzizyiX7tSc/l5jrNxTLZ5ZoHLSU5Pl1qQIxe1Fw+kr7cs&#10;6vzX9J7kRUZQJ7dX5lYKnlE0rRiTxPGkGpk1PLlrADJlpTHLqNvfp08zIG77qGFOF99YLHzevDKq&#10;STX7+2czPtkKBYarUC3/qsQZrwkcwBXpdPVx1vgW0+TM6ASayOpUk8Bzk0KqDyyqKCL07P34TNFO&#10;NVmzOTLSckQkXpE/s090e3XnLuSnGzMQvYPNzPSchTFOziyFdBGs/L25xAuXDLpQzerl6vTonAVy&#10;bxka4JlTm4XqHNuH+cVtVPtbuf5m/nbBAsgRjjIml/cMHelAM9hBmc5Jiw5z6i2M12Kiy+sNE0KP&#10;P07MhMllKnJRvUmMfoZuBh2GHNDc3t/csLjChDnTWHgr6dKGTPvpc4bCLWEvVxCHxG+3sAwX1GFJ&#10;kTL262Hgki23t+CRKGBu9knWLkrYd1dTLEy4nvXoe80dqRjxgoAQou35G/OSkGDgoA3V+Ijt8IMj&#10;VdMPZylyH8DOeOpNLlQ1Wb1lTtFpAXKU7ZyI1uk45nO8gaCJP4uCtIioOOnpCt9MciXKoep+p9u7&#10;oaps1oiLkCAlesb5LR4QRuOZCmEPt2g9Z85UpuzoFRwzpbYNTxb7nxWZpx9XTJx+5kLNT51I0+xU&#10;YYb2ltBYtrCovmOIcnI6f55vCQyoDNs3V0Y8vRWk2z8yC5ydZX9zuQi/50fDi+gVB2SMqp3qz3u4&#10;yzyJUmqnHPRoFnbPLEYpAKEc4VfqzkY0gyoahR9O5dH/hhcHvynUE/82U/4Gw1XGFVUmclNrOmhf&#10;xnJOn0s626CEXDmgmgx25aTS66n4wW+d3nHdnQkyplW5smRrWUTg8+21bgZqnYgvbcJ38hONHC9V&#10;gPSkVv06ib34BKWo7Cbm24tu5jsKp69t2yR+bSEL1dSRrVPhepvutKDs/eYB+1yxFPk4Pcz6mICM&#10;S2vLDu4UM3p897JtQsPR+vR0j3CMRgw3tjWzRCn+o33m3LAcyxoQjWlTKS3uSfHKSwmR0HmAWYoc&#10;2EA062TVqaQ3z6f7awwJIbvR7jVuYTTrrG4s09c04o4M3fMpPo5D4+7pmVhnUOZQBKj5hREgwnbT&#10;xNkpWK5e3MlJ3NroqlfhPAa99FxdyBi6tj0VOePEIzJMzcmQ9XYOPf4rWkYj29cusW9aomaV+uz6&#10;7d6deqbomY/d4neufHEmD+3+CFqpks3h/gP7BKXTSwendxLrMzN1V4eaxiq77X+hKlEqxStlyhH4&#10;zUySIhowAZDhe4XGg3BlvRTKLAZIF6rDQVN/cD8fKl5kdoXrRoobMk5qH8bEV/QMJBagYLJkskMV&#10;vuR5ueJDhHZp0Di+xMoWUZ7hKyvFzAzimQ4DZ3OMOwPF8OhaiGkNmEPUoZ6vb7rEpewmWUubclpm&#10;fM9GAT3Gb758QBXFkzzncoUlsnlzc/ovro+3nT+vXJrCzqU5JuNRMm8Y/oaTvVCd9DfoWLvg67cv&#10;yY9JK5mSB3P44EgGJQoyWaGED+KUdateY5vKWi5D7I05Hl8ohRC9Qo9PcQTrvHoV1KhhOl2ffp+/&#10;pVLPIkAucYP3DMaQNArl5PH08ni6ObN01A/5fnC+EgRDFdb5xFz4jmtfB1BPJGrIYiqVYeYXoVeU&#10;rE0seL3McMsVE2a6InVAQTsMRtf4Hm019300eqPd0tS5Px9XGNghVV+yBuVkHideCuD01dlbTkwM&#10;aE7NP8pXBnxQMZb7JZ0zzN1eluq140vFpBmiK9CZMRJGOltwi0GsjRDQhE5Saf7zcbrGhqZUKYmD&#10;+tt73FUKFMHL6QZmHy8esg4Gh1+35usryq+SsG0lUabtYMHVJCdnwev6VbKNFQdh29OfT7EZ3Sw8&#10;PbbL+wQVeeX3hTvoNZJUZdBPT7EnJ8/P588E0msc6SYZ0M4oS2NxABkOckzKu3VmSbB+00kzm4hP&#10;V4f5oHQWUd36QpPeJLSMcPr5rlpVhQkacOAD8AL+PTrghSCmog9FkVbctiiWzDZKMt/oBqq5L0wz&#10;2kzoCJpT/h5pRUDmUqPjjgpNlgND5uz5ewtu04r+pI5odoV+USIRQjqTH/6ddQQ6MPuJfkPGAWJh&#10;KtUH9+e+caCWU8R08KdmjLNSgcTtzcndf5m5cGAs/sW3wWcna5OhclzkGIJ+BkycksLXi0/YcYPS&#10;hqZ6m4Diidz9hnOzYrBMnzb1IClBcF3Pkp/Y4PYim58dpzh1B/Tu9vm6/AelRx/0oq0tcqEcY7nr&#10;x5nGOMOXZ5TmJiswebudfZOTtCZtrYoeYyXt5Thls/s4TFoK8Jkj/pwtaYMHJybUWN5bY/hvW7kL&#10;5uU6sxSFbe1TOTBJ7jNKjiZl4qGeOn2Uvk0UaJJc1i0pNBcEi/wnmVxnEfKpPzv9dwSsGzJ7XNRu&#10;L37ICng/UoK+WA+cWRdwKiYGXNfTaAXtTadk9KxtLYAPxmXKOL35po0pwYXC13vuwMtM9n2iPdTE&#10;yRdrMqjrJF4jq7vmygFoMBQ5QJulU2KCFEKsTyCpEJhwHpFzhUt21bMcX90Hi9BZ3ky+QPVVuxfv&#10;H8aoI+o7jZ2WMo/xboAA9XFjGiUrxH62TtrhiNSfb4i9oT4ZsDW+aXKJnlAJJUrANP4GIq4Qop8M&#10;ef6zE4XJdhjyG5Mw47yi/qwQntLKzSU03l7Bw2h/+o8NLi7/yGk15roxh/m7eMHBU2uB339ZMf/z&#10;9X8xc5pgoG/ueVHiAPj99PKLr7kNi6wjhhNJQRe7+D8LFtV095A/17yoNrUWtFXr/Z8vd1RbZRbj&#10;k79Xh9A/bv7Ihm86X3pf7TRrI28w8G5Wjm2DVsKMI01ppO09+SLnlvR/vphyWDjo+vn48qeHMUJ7&#10;vXzaJv/9gFG/aQ1nacOHSUmUaeQXn5/nLERbYvSkqVSz05x+qeTv8u0lm2Cc2MwjqVJGZvL8UjW2&#10;T2A7Clr7Wstnhkz7v2XHelRnwR9+pp9nfkIiu6QI8qLTxHe8xnjh3tzFX66S7UMwF2wZsPriD8wx&#10;N0ZsVB+995mJx0bV2WWa5MzPbqR3Oy5TDLdhz293v5xjxF/94P/c95FuhWxsvnYfh1Ikquy/nvEa&#10;A9pS+vYSlSd+53O+aP6rvvsBZ8+Pv7KEY3C4OP2gkP9/uoToCAGYAV6i+7NscUAJX4+uHdyg5OuF&#10;0hx5g9//UJ3dGk/5+uOJpeSzu3ynOy/0BSWC57YUJMgcUxrnl4MLu2v6J1/v7nNZylf3QntUqtnC&#10;toz/XnSwLP3RM1n0xSh+ePxcweg/N2PvoG3UmLBZBFKDvW1hrvP7mYig7YNBIVNGoUYq6l+4Cw3F&#10;yj9OPGvV6wsscXh6e315/nX6FT3yz9HWW2zSMsn6+eJdDUjNMr/vnernLG4SetYU9aU70/Ad/z19&#10;5Pad9LOPiy17QAfBfqFsV6UZnqhPaFP+Qqp50bXppS9mJa5l3NqkmwWhF2RB/Xqdjca7Xsrpdl76&#10;i9jVv96Yk9PDJSKEpC1OH9eq+s1LZfzz2F6j6AoXXBYEh1gs9JuZuEuIOLX/9PSpsp1XQTi5V0xm&#10;QlRnlEpl0+E4qhvcNPTWG8FOIjHQvIWG45rLOnvBntfCvqd3dLSqQlVsboGoMcvru/awGi6Yaqch&#10;7X7HzmnGAMd/FWF//zJTsDZ98Qy/3YznH7Pf09WMYkF2ZdsEbKj2hi6Dkn/XDpiiQiQHsdM7c4C0&#10;ot+Zmdna5PKvScq69A3y/PX4/PTkUDwVyTxxwVDFIJAUOXLZIKhOd+cspdJDSPNnVuHXiMtQLa02&#10;9chqvuJuhq7f92/3bkzmxLiiXalmyWkcWKmmHfldWgEf7mYmChdVUovbx+jgJvqSS8o9spqv7Hq/&#10;5+JgM4i9/cylE+YYnjyXL7tZhT/MfEN3TBv3zWyQJuD0jqrOZpTXjRD+O+lImad0ZYbod+7IsopP&#10;lUBl5lFOnSmM09og5i3VIDIOMhR0X51Rv0slt59A0LhM+mJyqFrcJvTTfk4q/MonHAxVDs63j2D+&#10;OOci6gAKl4T3UGYnLfNSxisdFFdz2eZskP+PJCSp0poJZLeR8GtxqzNU01CkQRIbxdHI+4VrrMeb&#10;59oWrK9YvKuBK28wgEym74gpKkP78QFmq9sHh4H0lGKoOheBqltouM55BaQGp6Fze09cPj7eP2mv&#10;AaepGffc0+LcABIzioUHJHfafXt2OXPjdWeoZbUMLTMllDiqosl77qxQCQd6wu29V2404ePt481v&#10;WFxk6fORm91thHCZ7IOcepIRywGb6A/ni7NkWCSKWuose1yI2FRP1VJBE6ReQGRVwIHLIS9i2exb&#10;zEkZ7oubcfKe1d6TazjUbF9a8fGQbgaSXKec6Tjdv5mSbtz+k9mPdvE6Uqm6B+KB2lxUnVmgnyv5&#10;QEua9j6XXno9CqSuKM+P9mRmoZN5tKhqOeLDbkHklg2GouoKnwpV9/Ws846P2wsWfjYLclTIsi76&#10;jsPBJ+6FCKCwVdbHFLjg15OydMs6mdqr+FupOuuyOdafHQlYsq8ncn6ZRGZj0F+xyMRxcAjiWbrg&#10;Iz/fuN8XqnSnJYMCxTZlhbN2hX0kqoh0ffdrfIKkOUCqXuIQ4T+pWunH76CJ/ak4e52JRXhwtmUx&#10;lSotr6+6z41qyBxWX12pwd/vN27w2Zael/jbv1HFfFmhuT+kiuayC/9gQ5yvn1mvdpKc/pzTyH1o&#10;kezr96eb9/PpldHeobZUdaK41nf+FlXNE04/dX/SnizZ2m1uvdIe5JtI+OyWoqvK5+w+d53sM2Xw&#10;lONHt+/c8zFB2eR3dhrww994s9eEk0oh96zbGBWid55x+/105QU1feb0+M0LpQ+9ZOX2hEjibTQn&#10;I1RqasFy7i0AnsIrn0yYNPLFzfX1YwZbqGLx4Eri9P61G6c3N88gQC2579JcpNxnfNyEV+s4HoQq&#10;injZtprsDz83Oe2GD4z8TNr6+YSbMXRD9RHvamfAXuZaZeGIqDfBZRs0JvZypBQ9tGE7VkESCJIr&#10;h4m/PH1XCSKiXJymB+aJUMVcMUcIeoVD3GK2sVhNbiTaq5dQFYM21TIomI7X2R/wbzZiXs2dpUNa&#10;LyL+YzipQi1U6RxnQS/xZUBXsOEogRNJhgv966JzYE6NqDyS+nOysDmk0R5XSzeU5q5sZaUTVJNw&#10;mLlb6fJLonXRHGbDjAQdVWWb+vmFow+w4/R2yg4PoMP4yf9r3fIyjKcwlYi9UxXdxVPu6UnoIbkZ&#10;HwOahXPrRzrqkYruxIu+wZeAvDLS+P7rbKTolCwElNbrK7nqoxpscqAqvoubOyKVuKLqh7hfFZVy&#10;9wkZgOjuFewbCHcIIJy652UqFgWdP7Tvt3fo3iTi4ok3Pn3jhUSbXNxBjl7e9hLelVRmROBcSzTU&#10;j14b01mJBh3f4cqcY0nWV49eCCT1Xr284E7Vt/kqqKR6c+uFPxVonnYyYhWVsPXmnTszbommXvEu&#10;Kdm+eGDQTTn1Pkn2xMgIO1en5wefDbLfGZVnazD0/ALFM0PFjXM1NPvtmysJXTdNUMnH6RJjom+v&#10;jZscSkRt2z+TlZ8+J6PFnNOkVi8ioSQ78vfqH0VEt71zUyUtz97EjMtgfLfvgjB+/OCjXpnY5epZ&#10;LindZ8cvVEEnsx7eeZmHaqZUJKZGgdilDCsP3+CchsOzVJn3JDD86siGhbIx/vjsPQM3dz66Ax5t&#10;1m4XjCNBJ33djnlQ5AQ1OG8wKATTlr/rs8843CnrwyQ/K4aD+xPi+ugvBWiI3Iug+N6rtr3r/RXx&#10;U04fnYPfQfWKzIQUxBeMeIMZyFx3wkVWn8b9mw89eqkaerkjIRdwhyp6dZr3lukUVG8eX0KVkRpj&#10;RzoaZS3GsfdafY/s+eesL8fZ5V7mo6X45SREMkbxKbkUcNwAHkTIiB/+LdVzHxDCek686EZt/BI0&#10;3r2SRcuVQW5H44j/XmDI5Je1m9i8oZwiQrP6MtDKQf7hbn7x+Xi6ek4uPbkJUg2FakJZs7ICwRDv&#10;2c+WlDeho6Gfp78jn2tz540cs2qJ8iNePx86y7HnzQ3zGsLaOMN4L6H6ePP46+Iz8e9g7jcZ+ezd&#10;PfmHj2Qv6JZIfHjRl2anXE449ovvUuWT5AaOuwyeWgAV8OHASQx+sGgWIytc7JvJgVwOg5JjEupN&#10;Cul6Z5ykp1bhi4kbyiQjRqc0z9LYmVE5z0olpocDJ+ky/oQTmtE17/cnKCpiOtCKiVau8isgo7KX&#10;iCFIxIcHynQ+gPrcPe2LEpxsldlSJavCDthE/OatGS6VaJgQ0Cmv0bRu6gYoXw7/4HjUY00QpP78&#10;D1YFhnN62JASP1hUdx3kw6yh+rt+LxtXUEO2KBouFJumTBX/tmeH+ec8lpxVM91wkxvcy86D5MU+&#10;ziG8mG+3JLWrZ21FKR9hnSNHK6hQcsd8GU1INRrv34vKKdH4+IM3adnCaij50KECvvHxQgjmqjmU&#10;ZYdGzl8x8BuMSBosbqlyBNU3akBllvhvTK5dvX0ULWtAusskJCWkO387PVnBXFzimsKELYHTBzZ7&#10;zs0eMmO9N1XBDPwHi9jfHq9uydpeOuquA4gNBKr+y3HnebaXysPZgB9RcxmQzNg+FAF4szzkKrwl&#10;2TN4dWjHOM8uSqVKOYP6A12ZonoP01CV+xwrsfJlHEQ3fNKVuQXKZIC0yp2woHtDi50sYtaIlfbz&#10;AVVofGbv6dV1Pt2kqllx3uG7nvdyNTe0gObj0UsVzMKz7Mo/F2o2Sw7IBFE+Xh7NZ7NHEczwxwrJ&#10;tX0eO3W8M8E/6Y9QPdM1VF/OqGnWgRz0mg4uz6jBwd3p/v6MIh0agxxGXpls/NBz/vYBVDqZ5gj3&#10;6EF++FBzue3EArAykpjuUgcVfVmqmOVFH703d7a7fqinujKDlN2COKjfnSwiBfSQl3/G/8SY9X6J&#10;w+PT0yNrH079X6p8e/YNhm4f4NgUyhTuqrSD9APXsqlYcLKMEvx3ZXeDu2uGuBGO+Ao9JrVajaFF&#10;FBJhlup+j0dDlQYp5y8ZjRkU7iZNiRJ8uDCiZrFcUW+uyDWEi1sUpze4cqy5ytRLHLdeODbevG4A&#10;ezfwA9WO0Moo1RvvFV5UOXJijmL51Pd6J8KIOkNnGoohJux5FCAOL9S/Ir3Kz8Ja5Mh+ZZrU58eH&#10;M/9JDzFYalPnzSQnXMXpoVNAe9OBUciwUWEa9PP08sJBmKNJVO+qinPbmzX5dmSwJv85dGEjVe9h&#10;7U2VZZC+v2JQ6oluWb9OKnhLjpECf/Ka2zy9BZI2PibnrVRgN5WLKiLXtyzhPxJ4JNVkeZGl6c39&#10;a67kUOx2Cv9XqrKDGfXeONAGf4tQqb3/8fZeg9MeBxdzPKf9YDbb1FnKfSM3SMumDty2od/TtVt1&#10;yubWTPRkggeSOL5Dg1aGK0eXJW0qpfkzEpOfwAoqEJaOVQinJDomKWioejexbZpyP1QyOtQmuUyQ&#10;AY3iR33LIfquCn4hSXjLEW7kzcX06d/D2hfmlEVYqMKOZd677AMnSRvf3JeoPmwjbzZyDK2mp+LV&#10;OPCQvwiIPpH2w3zipIP8FVJRMEzrS7ePSWRomDJOTXILH+P92CInKjkDhSX5ujndqE2Juby5ZlqD&#10;FUgt5K0zk/Tg5O8n3ILZPMk/X3vyfGeiQwxqL1EJHpbUJlvOwbUCyzIVoJI1rqL6GRwO+R4mWryf&#10;w+IwUdY0nGYL/7mnB9173Qn8HGMsp1oX1w6z3tEINoZLd3Noz3jG19gmjmazZ+/QWhJ5l889rT91&#10;X7wr7+YpeXi3JyQfT3c3RjmLcFUxptapOqCIyewQP40MZL42M3uTGMyvNotz5Q8dPhj09uh+oAe4&#10;6PndREa6sMQ3d9zf3PneCKtD1W/EgBaFnnpfyk0MRknI2ta3jdydvRORM5+/fHCySnt0gj9FMKtk&#10;glLZyvnnHQMx37cvT+gcNhndhuojczAxJXUkX4aSiqVBBm6t/xY/hcWIqntoPHCyZKPFU6xWqkF7&#10;cWkCyUOtJK/OrjhaVLPwCtV4lpevaQH3UqXFFZlAvD4GTOFzKIsdP1X4oPNpZ7MVznLp9M/nyE73&#10;Tu2cDRs1aZZuUmXlwQCGAJRDlshwkSOLRMMFyRH9X50uvVPduzwzEYzDx08vrpzYSrR3h4tIt8gY&#10;iKiUsMpW6V+pekZbvMXrDCgj440yP7nP5e0RMhPbU44OvN5URYnL/hB1NP77CvbzehHJe31XYTjj&#10;1KFNSuU2vaDqs3j8Rxm0hVvW091EwhchglNeZoWDJ01nkyIftGWcpmG8OJk3t8TFcLAGdWmbbKej&#10;yqF97mSDHlMEs8A1SrxWwa+S9+IpMYdreMaaFp9zByKi5hoWmqcXynJbss7xSY9saepPzRshGqoE&#10;hDdHBccNMqJHMxm5kOWUnEOE5VFHBVFbOH3z5bgjKXNNN1spTwzbkAzQuZzvt6BFurRnD/GPaiKn&#10;uarBv+wvmZOTjCD97XSHcJdBbjJD8fiNIYcu8CYP1YrPnNnfJ3nNG0/a48GxolQ1cmodVSVlV2YB&#10;BlsYBszIGXvpOFwa8aWdL4cL5E4J9r3GXO9Xzjl9MIBCUSKBo1KlTorr/IyCuAhNMOtOFadcimHe&#10;J1sqheW4onqC3+uCHD7BGKoxYjzNck9h7P3t9Cwj2IQ0nDRDIbNasfTsOh3fvaFELdQbyNpwkWsR&#10;3hydMr6SE8GLqjlAHfB0H1/y/ClU8Z47/lUbzrV8lCXO3C1vvuGGLxzvKmw4zqLkz7iJPkdzDppB&#10;vRsQRDf4PQg+3SzK+utDX5IqpWlBF7QRxvA8H/fTMA63FuhTQtSrb85hrnOhX+rxTu8ujIM4XRD3&#10;eGweffBVPdG3FwhEmycnkx47dwJevtElQ0jI5XV9CUI51GvWKHXxC1QGd6ahNiIqfCBJ68xKyOhs&#10;JLjFbo2fJnFAqumnsFjQYWO86zdqgtZbpgIBNKp9vRuBVXrXA26d+JIaBz0U3YFPe5BAvJE61KX6&#10;Q7QqnEHPwtgsOcUhlaVf7ERFiun84Bw0y85nX4dQtq3/FqKmPFfRlPnClNnViO/cnHL7QJPmxfX9&#10;8zkZ69LEDiSxugNqrdMkIj2+JHKX160xA5EWQ1VfM3ZYEHGEFbGdI4OaekRy39JmppCqWZzPPHBO&#10;r6s8YJ/AUX6L0ihnrl21HkesMkOVqjDfRlBjVhyHTyR/y21zAbcHQqKQsh7lk++8E2VVfPgqs54A&#10;qTER/r3O0VZf1tjazwSbNxY+Yh4K29wlJg68LUdxm4uLy8y9vJ3qb28E8p1v3dQ9fXe+AORKX1B7&#10;Lyt9IATzLm2JZs15cfqlY5+8y02g5HVTxF8ESG8xCoR6xMleIvBSTeQ+SI7yglhvwhKUo6rqOdxB&#10;/vMg69+5o9IXQ36R1SiyJL1EYtUf4VBZP+zlWvMy6yAF+RacaRkekejmF1OhP+xXLKabaYPYfOIX&#10;rfETwNYfYbkwt3YCL06qgT+b+IwYCNwkZ+QEkD6i/TFMc66qP72nU/x8ynDNE1mV079rr2Xvsqpr&#10;RxZvs8gtc2L+L4buBvzFf6wWUUBsnp7VO/75puF6yyylzO3DHw1VfY789A6eFG2gzqQWpQTKbZsr&#10;pYGQE2Bk3YT/5UslUiAi8f6IHq1zOs2BWQiVfoM//4QMkVR50esygfamFH3h75jzfe5vo7aOL5dm&#10;oNzCylHl8jO4LPzVG1xTDdQ9/VhQFgHpC1FHO+Hb9jS2CpX1/wZZuUVWMSAGtedyaJ1oYLMorn+R&#10;9S+LlV52sPht0m8kiU1DIZ3KBwvphGWSuSFujR9P4erP0328/z8jtW69viZbFSKzVQHPdOOex3Bn&#10;1cuJd9YGwskfL1uB3S9PfxjSyTXwZQv5CasowBP4lf5lL0chl8ZfvYU3GUMxxjpNU1MbcGjwA0EB&#10;Upp55+lzkkjlgdm+seQoK0zJblPT+Q+nBMk9Ay9W3p9+xfmamaL4BgwQVaOUoBw/QoK8iyD3H9RO&#10;8TqlSMoYWdMy3f7MWN4qKYrPzxDzOnRqrM+u/HgVR09ak8+7pFftTZPPPzz6b31oZGXwhrdXOJ0Z&#10;CmUUIFAUKDyXMkpKyvoTMlv4BUiGmc3P6bvtfO1suTsnrwIJS6Xmyw94tg8trYBrh4lWlaIh7Rl6&#10;z+iUninTEumknl9EgQU/oBBr8nmmLJEek+x2NadTVvzJWn6TNwb+TI0Mk/tt/jMNhlhutYxPjFlh&#10;Dea1EVP6zCAmr+WNF5RrX3tbhu6XXV9F8lKvGO3SxAchMYSHqWk3IZ2sU0oXzqxe+KSMhm8k7Zdw&#10;5vH0e8MqGTvzGhDArOX3Ptp6GzfnYJVbTDpVIgDAHFEzlAu/1Il9coMlq4u3JvNMPpHVbyq8T0gc&#10;y665Xfo51lmygpo1PZ6B+TVGPCdVQJO+XNsVqrSuOhJOlr3koqb80jhCc3DllboAddkwl0+X2R7q&#10;oO+S1wuZxs+QG1qqKbI2mQqJGcUTv94OatWf+EZWv/gUq0HxPrJKlZ6JgGQA1XH/SC08WYvhVzN5&#10;c9u+Z/oNegHhQ1ikKO6Kvt++MZL8UmEUeGOFivAa2YDNfml//RDI9VAtP94Xz7jrxQ2V2EDvmaC2&#10;NCeyRXdAtDNRo2SGHi0i/vJhqmzD8m4S6Zkmzx+9scVaLTXNFDzhnzPvVe3RlUJplamJOS+ZJDRr&#10;Q1Clj1mBZyf1Mnun5qGq5fBwXXvMCDzEJnHpdC3lQKRaYRnoRNM69LRkXUVf7KqY/naAcGUrZlZ2&#10;togGtBpGezIUcpIjC3XH1oi4/A+JDF+KNZDHctOG2Zw+aK+8u8H794xDDIkb6BaWPSUpV3JBDu2O&#10;TqUivL27s2AlJ5KFRHpZtMmKWiFiYZaJbht5HTEbAAjgFTxarQBqZxHmpONTCmW7NZMZOFqyet4A&#10;CYRBHEEXkiUfXgdg3ZeX67AKLnbgmsNQ32VVO52qK9KZDt4uBcOtC1kSkBxZtMsKOZKfhfUVWsQH&#10;ZQNFJNOlFXAOM0DOKJxcb4vqzHO6s9K0YJd1lJJcBFOu7wgbl4zfiXZLMx15TGTIh3dO2DESQP3x&#10;4MN3HsMhh0SOi11FrLWNQ8m6oynYfh9z1J+a4mjnfA48ziNYPb+iYREJCD5Ts+kh8Z7IKI12We9h&#10;DwHGkUm5hopbnjfZshZs9nbyRbCkKt/D5Pij1HHUtVYR/HEIUyKHIODvHW3c+QMLClIrPmgsxHXx&#10;vcacut4TXXDhnI0PAl7iscXHCgu6RNsqjyp/SCBHI6Tc8AV6tGofd74MA4v5mCUErMH51elaKb9n&#10;OwCIvxSdtqQY/+ATbiw7ykqVDkI4w6/v2JDWrTtOfD89RAnRKt0PskYIteB08NWxqdV+u0N77ZaG&#10;08HAOHsld11oL2CE3GV9btMb+bit3OmW5mR8k3Zd1117IfvKpWtiQo9VKlzazhd5pgGABHGsLD5V&#10;jM9zf1LqyyKfbuU3L+L2svpBVu8tkI3n0x3e0k1D9+/qWIS/FyaCK8DE5Ro+eqZDZ2Ra3pSI4ov+&#10;GYVAJYLbe3fpMb3LZlKObhNZA/oxNvCixnAI5P6PV39jA7eMXFc36ReIdhSDRoEP7cdfRAUHtEV7&#10;T8vEfOO1ra2/9JagWMzt7LoASGEB70kzeuNnr3NmVHR6CDiL5Wu36/n0u5y4d/t6+jzbxLsWWFbR&#10;6CArKr5G4b8japOUVHNjJ+V9Chtt5t6SgvbxjmW4zsaeF8lu2s6937yRyjBzgzHuUlmbZFQ9Td/m&#10;qnOrgafYGFlNdfpNd46dnLHm8XL1ZDOR87XZlYrZAnWIzEGUdk+wsAo4yHp1lWxUoufe4IT70OU1&#10;16WWi6t2WgQ8FZll1rmV+iN6ehcNWglxTEwo2auy2lSM3tuAIuXhwfbBQeB4+y6yZqiIk493n558&#10;EQ2t2rDId7sysNPUGodIqz6D/Aavyry/hDtoK15c+MyXlGCE+aFXp6J8BtgMLLQI/IgYn45fvcz+&#10;gH3jRfc24aCvcAZlTVxZ+wABpXZ5pBLXDXeJGz50LVjUU9zo90pWTYLLHGSl2AMwGgSWQyNVQ316&#10;5n0nkVOJ61SBj4QPYap/9noX1Oe+chv6cmZxAWpGxfgG4UxCNMKSLtRyVfYz+pduZLU+ebkHNQ5k&#10;48pRqC0JM8+8I1LRaSMVX/Vj17SkWCGRVeI+g9GG+Q42viIrnKZcjc7EX/S+0juXX/DES9/rQRnC&#10;gdR9aDhgQKms9iaRF0mpG60mrEyzpJbFHHJQnT7ImjtAvdIYWe+oMyP5zRe0zqefNp3YMrOpBwTx&#10;PscHZe1mlQiSHGEnecNLSpk7lZZVfjuI0yXbzD/koZ6MWA8iVxYp10bwoc5858q3O3dbpD3DHS0r&#10;TYyQDEazGbXuOJhGKtYiw7ZF/ImBuiDC9Uk+6Dc4aBmevSxjfEyuVMwPU1ptQzs1QtL1DPk3ZxcB&#10;aOOACRtf0mW5FbmcbHxQhOYQFcelqSonBRA0H6ZX+IEj5InRfItOxsqnPF6lrkgGYEkaMp88JeRE&#10;V/qOgGoFUzAHRPOo0Q42klePFE3Ica5sgS4Kgp8Qz8gELFmtJVFENNjRWPSnkEgcWZlkpoeIM8aH&#10;aDJ8h4Wn0bxpKjc1PKJSrwDTAiJwXRe+S7uAuaxOl5pk0hkAUjapIRK+JT+Ns5rB+yZMy9oDeJNF&#10;NJOseMlQIPFgBaazD934sh/4pWeIegACr9RV1uyDUC5mZ5LJVRnxL2onB3s+5jP3XdiD4cGY836a&#10;/kxRpAqum17dIvuCJAqg2BNohY5FcViQfjBzXlGqYa6qMkxty6pPzDTnRK+CB8emlV04rKw4kAd2&#10;pAMslGR1HllLGLocNo7eZrGmKFd4gIzaW18IhsjK3MSgkk5EvcNZE1cqndOSmsjJTESPj6wKQBAY&#10;V3nNL8HnrfOFaHB1boAqK3kUss8o3HtK7GrWSeXISrGDf0ZL2cRlOCKTBtNB1m8pII5wBEs80wvc&#10;ztCtQOLQThWzOEol4fDrkFmneyNE8tAdNVenm2/ehEKHpCtWtLETa1jLQHbtzbgcxxHf9INh/WcU&#10;l/EWiKIUlDnNDZxYlwUZtfEdnJtjm7GsOgdP0d5jCTM/yhJRZa3qMuwhye8rhLEgLy6Zi5Imowaw&#10;RmwUX0PRUYfGPzTzvQNiZh5vJgacs16YJA8LIaAjhqKveUj1RAlTJxIfePCdyJDK5dkvZ72TJdkH&#10;/kFAVo16x8ya6Xt6V5/Lm+gAl71XxKS47HpwGb7lygKAgjoWGJCDFtQ4J1E2pEoSYEbmLGIGGmoe&#10;b306gJY4OW2V/qEcid/u2IIO1W5lVU94p4cNkDY3SAYyu3bpxEyGubzVscOepmgQzq1CDb+xC8MQ&#10;Ja4AlqzqJ52t8H8UBlASriqpDS45SrMp41jO7uNqtjFsQ1Q8qbca6TLxsNBkL2TmW2W6d+vr7IW3&#10;GbdSGwsHgvVFk9+64jbrxR9Zo2pj0zRoU2QVsuvYOBEkHQCWrLKTVY1HyEnQhW6Wq0iLC1oJUO9y&#10;3fFkPDSK6lSBtWJSNSWEjMFjAyzKgUWcfFNVjcvW1qeQDmwphpF+p7riC84cSA6f6EzqqrFEEyrx&#10;ifvTZ1BP1cjKXGQ5kLKqvVImTeoTDMd2mptnLv5rlQAK7R8iHU/iZc+JMFc0qFYb4dtkpLhKqPq7&#10;D+HOpQso9YJ2r+G8FbtRik50W46tjwOk/LN0wPamgR2sEhy6IWaKPfXnGNcHtW0SWWkdSpU1QdFz&#10;lmX8jywAE5dYsLPH8K3rR7Ez/TPz4Iw4omOWmoGYKZS2kYYa1Eqm8Cys0kFx039Rsq2s33mrEpI5&#10;DI9OHyJr5hIPdRZ660JxuDwzQ8v6oVHvQKOZIaCs5oayWrvarucPXp/z/QYB3C7fP3odCI5dItaD&#10;6/NKR5bjM7zV5WBErSWwUSNaQd9prc/4otjlwWOOaEd9uVsjXL7qr7GBSxqEh6bPnCY6jEW6W+6d&#10;hiq5OqPRLdGcXKFAl9J2XAzxyNoh0VPoPaKMFSU+zyR4mTCbGHI8ArW/8fGRObMEowRJRQpG48xY&#10;o4MMzTDPiuHe5slUBmsizDMO0E5RfP8w4XSlEldlPvDjxh+GVAUpHfFArYfkBGWhZn8sh+ylph/w&#10;BFhvGvZs8npzFZxGXYXOrnO/K9NX1rdMe8cSdcE4QKLUsXeoRwqOOTDxsGid6KsD3WeFm7Ea8ZwL&#10;a+RYD87qUmgNa3mU1Yzzhe8IQBviwTRN7/JZOkM6eeK61ySasJ5MTb2sg5hPCbIZb+35RVY+rq5g&#10;zFT5jCfDvFtRqpfWSQ6P7laYlzI/GqHkZBiHpm/nt1BK9/UVGUQFXQNyEqp8g9w53QtsWyPH1pjn&#10;9Cen4J7WTdESyMJKzuIs752SoxS0lPeHdL3kWXA4z6GEeIraZJLiCOM7yzJDczOWiUBSRSSKwvOQ&#10;W0SX3YYhiE1GGSeRcjMrNmSGaKkxRlbzfkNgtrDqAc9OmeFVl9pCESmmpRHtlY6a5MrddnCnMker&#10;gpaEagbtrrY4+1gDnD1ccCCfm1kvBFVmd2+X/so1c03TsxfqLKMrbGUKoF4k0sZFG/GCWO6WWenP&#10;BJDxLDsOnDGDs3eGrIY8Zx+Xme/KMqKuFiDgmxQmyXfY5Ay4etb0RwPEVhMj8sPxpNHcqcE8k8/2&#10;SLpWp98wQhIF7kXRK5+/5fLx4s+MtzT5UHjbuGwI8awTAfzFZ1cBxBGrhfKTaKvfsWQZL/cBKi9/&#10;NvG+zX1qI2rwKoUHfEnkIzv6dJShWE3f3FKQELn5sl03goLIt137jjsjguBWe8obt3Illjm3En+L&#10;8t12z1BjvJ6dr2UeLrXRbPDSKhpcZo1H+1vcp1e3NG2x/I2yJ/4ySchZUmJEjctKNDiZX2d9MQvu&#10;tbEzC9nZxkjfmJXqSQepsDyzfYKykxvOf9siRywvLuHAUwS96fpJOvf+fiRcBaSW9DyBkd9FBjAk&#10;6bpmVX06gGahIV1RQEUFLqm+cTloJkm4LqtGqCDA5kGGlVIv3X7OeeexHLslNLKGxXKVQ7MsCcbN&#10;tG/RgwFNYHEUw8jRGRsiqD9cHvI3/v5lxqoQ0z3lLkgXL6+uEzSrng19/BWRsp+Ez+BBHLTjnYe/&#10;+XshOTK3LIebEBxPBEA7PpLCPNVI38xCgFB3hFpKx/xq2JEWUIxL/Qpi3ryF8yCJOMgCkH5RNhu9&#10;wGWiN8me0Y+uZin4Z/iO29gvSNeATUPqsFTmVW4a/DQF1sKMmxTouhlI4CjCPBgvPswTUVMrrLCF&#10;BYnkxBZ8wlCzUWdmSQDDSaLwSbNxInr0lBVg8o7i8j8sWRmEyuozaoYmDfHPvzFhMhbS5uJHIDEi&#10;pKdbFeic499icARSnLmmBFq+nd8mycKhmtShHMU4dG9hE5Xm5IfTmVS/AjHIDcFMj2NMayrqxJLI&#10;P03U08Xk9W5s2AZcH5DzeFaTVEQ9vXKhE3jgSJ9EpTLFKGSHNWDPZ9mOQJeOYhGxnutQZFMfmNcj&#10;jMsgUD6/HhH7bwpjlrkSxiSaQe/KIRi+47PgoHli6krtOhlCVBU0nEjpzRnEaMddghsmu57A9d3t&#10;X/3dsNemF4cme38fHWdYgPwb7lTPzX1RQAdyIMLcEzf6jpttSXSUMgGrXCoQosZR+tXnlc/Zo7Fk&#10;O/iWkDV5Xi6qpbwEYmC04RTSF/HrSBFVVxtWKM1G4Yp7D7KHDt5shkab5IeYIQLY8HdFz1ghaJHe&#10;my7S9S2ICPNlIpb4ygSi1Dgg1yZJ4nXUx+JbZmuS8ayHCJ3QBQwyQM+ua3vhDSI36ql1/m4CoiKg&#10;jeQkm+JBZoeU5xQK1f84uSaOy9GJk2Bzi68mYETN/ANd2+A8az7A7qBJxKs3LJW5srpCU5qkaUk1&#10;ajr6x02XQozb5GqTmfktJYlKk1hVb0GOWO+aAFMSUaupsEKPvsTPap8maJe25quLKvV9Jad6W5BH&#10;l1QQ0WY9IhFnQBc1EiXBPqNoQpz8SCfEyGrW/jSNpiKqeUK+oBCXDCW6BX6imVcofCqzTyjTBZa0&#10;/AwqevCM4viu/Z4RdUldXrCdsufdSj6QJKtM/SpqJrOY9Lq5nSa9okOVGtBxXk43PvyQjPCXXqZ5&#10;oozgj6jeAYnxUiwe6VoRjDKEH7uXmeXpW+fRmfBWjABoc/W5biQbM0EYAUWqqpSiZVFP6KRdPcx7&#10;zc1uaMnr+XoSWaO9ypXa7Ev+SLugItuXC019O7L6cwcsBWRDpn2HiHc46vfY2XW6knVsG88C6zUl&#10;GMC4i7dT79e2NqCJQ1snGn+10nBaI6tuL3A4dTIYHWprcH5DT4skzYxGqaAPx56cApVVAXNikVsj&#10;XrurqCY1p4xjVxSfrObcMpLkPpt7409lq2IcWbrUZUP+kr5mGxNikw5LCiCbcC0yrjCM6CjVnfDh&#10;R4lm+hMJgA2BPcOqolL76qy2JCORVozCcz1/8xxlVUX5Qb6bO3e4lcRxqq6EbmBjZLWo2awOCo+z&#10;sZpdKYeBXjUB3CbUmriFt47ZB6K4sj+fFrPZSvb84UN9DZzkvzCMW31I0xTXDMDnSt6ZWnCeI5o7&#10;ERMbcoC68RtROdjGnnvmQRTpDQwXmRRBtiPVGF5741aOgSTEKZTvfBMvMgx4l6LMpa8gexMaHy6Z&#10;qDAi7RaYhjT7VG1yjdEoLZYMgOmGIFg6r1IwH1b+bnPhQSD0Ke6oqvOLWGTCiLPRiis3GuUX2SiV&#10;iJOVaHwZHgbUtb5DPDVwMDAuDJcQmjm2b+q0am2fi58+ebGLlyfoQeP7STIA5zTbRJc3kFso3qry&#10;RdIgoMKraG69mGS2nuaHeUBfVZm6P0mlcl6u6MBB/F7XvImPcvIzst6RdJseNbbMxili0J9rPYad&#10;QYhicYJxRd0AYbtXt5bOaiecqi2O7k1zhcwPlqgVEtw6HEae67Lo6DGiuk6qJYwrE+PK8VuA0QMR&#10;I7XNZgXv7lLNCmZkDaE4qNiMQ/1hyeoLmWRU1Ex2QlAjqbGE0cy4sQZjXQ83a0VAVOIUmSNsNxWd&#10;H0w71wukcVNMRaWfNs6Gtw//gYH+4UeVJ1qTXdIJP05mivPEbRhvuuHJav6mIS6X0bOrdNq5zkfM&#10;vMa2igX4cj9fx6puAKxFj7yMOVyIlRNfwPPuMXzaHHkohXen9BwhavUXbbUPoM9wjvJk0BYYBQYv&#10;jUJEvYNH+odls0YoBlGSEFKqd1Bj+2A0wwxTz6eHbINnJugg+aijSx3HQ2dum1NTRnx9orjDJV/j&#10;+vGaxapYVZqphz8XGvWQwaGuOALrePZ0aq0/hoYWmVsYfSnqtoz4wfo34n6fpMjpsyJFbg9w7kjk&#10;pfd7ujtMxO2Hq6tOh+pFFGcP0Yi6+LS9br1zwkhEQA4TFPtlZooEnkAwWJ9Pn27mwPLFf5VWAw8K&#10;WkCGAiSotBmAy3BEIrHKkA3wzdwoh/KTHP+m5u8RDlEfvcsJ/q3LChlEtKCDUQwZrfWuC4WrdFuS&#10;Yy6nSrlOCkK9KJdDJqJ72d7TdKkLU4Aws6heqalKZ2jStE8X3hBZj7W7TMY0zj9G1LHxN1phcfva&#10;QJy+FRb5Q0tRb0iX6gA+87YwA5Oq3DJiHKahF7ghY5xRmdvBDnMQT41wdPKbgTvBZNfc5tolr/dC&#10;uIwaE028BVvfjRo1CiCB01ds8Q4HzHZHWZJRMx3ftVdFLSZtmBwbD1cGmp4rcvh0xe++hhfWyTif&#10;iqcHqA2PjUNRGYFZTcgNIofnbdh0XOFYYSFurUM3mTZ5eIS7B13NGhp1JfDG2dN1Yc0xJyDTg2hg&#10;+BpNs2i1qym2omqBgFzbK9dA4CmFvmf+ygly4oQF808nW1kba8Pq7Zo4Nkl6w4v7polVbUXa7ES7&#10;Zu2NdkgVZ3jz0ljJyMcV6pureMx7atauTqqn3Ie0T0CsbebQNhQQUTSg6cWF9xBRdLXWKQIkaDKw&#10;ctyLB3CeithZjDRNavnL/QGsF41BJNg4dI0i2/FDG1IXs5Tn2MfRglZOMyCBh7v1xFQ0jXAJh/L4&#10;2NathkhnpFcbo6emJo+AJ5rpcahIE8aTOb3ePBaA/8RXwF8P0alulImI0zRat2GtJHZcivor9dha&#10;cnRQ1ERaBfSAI1rn/qIWeU8d7oDmQpYe96dvspjGIHpaiyhv3ays4rwPK76vPORLMtW6P5W/wUmF&#10;N/Hjmr4tyida8nMgCxB1l/sJhmND7bkYVwLNC4eAoyaDv33+Ag1EmLPVLWgIx/g6PGbcTWaV/8xT&#10;IwGuYsYxUGSie12+cczJdWR9XIaSA/t1NpP0GI16SyRcc5LUFPaTETy4otxHFq9hwNtC5kJy4G0m&#10;ibB/5Xu1Mki5aHQSGXu77tAiEbUaP73I51+wwB8NywdioNf+Ol9DKOak0JVsw4241YDoULWoVPWO&#10;ZcCsv0P4I6IJa0SpEC2Tsaqfw9QHT7ebLdLmKVDRluRDmC1Zb/YmBjBSNiuQUWwKVG3rP+WkxhXb&#10;fw29CNYQeJrYjY2A5Dg5TYINR5YgySfURHF3o36YByhg72yk1N/Oi/3avRgKIUTLmcynQQVwd8+S&#10;2Fyfig3CBwj8SngCDyS6WMJ8m6Wta4mQiKjWcc5XZ7X1bRs53pJ+AS8FmZDhJ3ZBOHNwNxknAs2x&#10;lMOLOcGta5pYnslqUnY6Aqh8bbkuPZ3uVECuE1QrSU3j2+PV/LlWEmiUg6DYYsALSTm804Cc1Hip&#10;E62a+9Dn7i9KPfpyspZ5syenSzIzOayqBODd0zC6Ulyw3Zu/pYjeLYgglIdbJYjStWu6C40ySKHE&#10;l+8kW2to6cAmPRMngc/hx/vGEFP+8hIkH6r02SXDOddNsFOX1i4RxnGgb5pjzogyatTRMzXacM9s&#10;caxUwRLNozAnR+IHWAdi1gyVXjB2pLK7KR2moxJwWz2wRJ3gjy+oKPN+PGC4zO3bFEoyrmVjKv2+&#10;nHGJw4v/0Be1yUwc/gXzuOEzHWJNKkWiNwcMh4wG1H2fFFxJ0wuZZuS0DchHVFpTZHNFdeaU1Mu5&#10;mJ3vgDu6Glj0Rv4GZAxmjTGf/dhejLo1p97co87qGyFocXcdQvjVvfdsvFRajQnH8inU/LnNifW5&#10;85AtKRqNjUSDNNl1SQr2a+vt3i0y+KSQRk+0JG6l5ONtWec4z1dxaiWvdz3OcHZZR/5J90YGFRLO&#10;xAakfCIiBXBKnbzrVPZx3RzrU8j/i0cZICHCchvNAjv6z01QAK5RyhqmO4ROXROIRi4gjU+0m0A0&#10;j9Mq7IHtKdu8CX0vv1ELAi/dUT3cMIP64sKbHzWrXDtCVKsWhjUpcmzOnKAWiYmTWQYFvZdbp9Ex&#10;EwpQ6MOlDdUVgrJ3WWlgs4SDMRfpXMw0kuLzzf3+ol20lpAPR8R6ZDOv6v5eStevqCT1kgxiYri2&#10;qAwXGmjAcFMGVYyA/rKd7NV9LJpYtpYqrUEzDU8fmavUjkwczSIqFU0fHCPI77FqOY93LCZEEC5a&#10;h5CYIpNaZMClUipZahAnGZs+rkLGYpzBSxa2VDvND0OdNmSVbqsxwuy5qNjpe/L12zZSyx0Fo7Y0&#10;zOve3WGQlsv4YgHwHb2HAY22lfoKDLTLsVyKvwpGmiEmkDE8g2z8Xhe7Wo6mao2STo4oU2BMm0rD&#10;1Yc9FjYXdAqZHmaQ4ug8Br6HuC6ZvoFojc5ZCVRt9Y3cUeO+juHtnYnmL6EGFgUgf7AHwbycDTAc&#10;qaD3k8zkZImKw3KG4q5jWJvm9mJL43w01OUTQU4FQTkLbGro0xPjYV1B8H7W51yMS1UpeS0665eW&#10;LvKJcdvH/ZIxOwHWNzMnex8914HDD21z1WvEf4Rsrm0BGbnjpB/YJJr8Kqr27t2TnOL0bdI2fKBt&#10;ch2FKEutZt8cQEFeB0/T3OQUg9BQY6cglMoiAlBMi3a+6tysc39izWw+dVBIFvEUvbOSuMG4nMbv&#10;YDNPmVxc5DlNbIfDwFu7lKTJsOEefDV+RDVSHromMElF9XYgIWervAMpmoSEmxnNS5EPMXpCsy1Y&#10;fcObKhm6jShAbtaNgLiOuq0dpx+QOpBWckIZGrlpApQbMDwHOYc43nCI1OCvVWEcKlRnRztdEUpR&#10;OWZ6FlHRsp3Ko/O2e9cRnoYwBQTk2mMrkkxJOnrZlZKMQrd/rziorQHj4dtnBDC7WT4pud4HJHWo&#10;mzqnCPzc6gPaw9L4hb8hCho+XMw2syHzh31AtFZ16M4hFPa+b6Lqfc2TCT2vOnvqaB1Hf91SMJBc&#10;0zPNqu9LX1G92Uc9fp1GpU5TgltFtUXnNgEHnGgwicsMzVmc8ZRfwRFUgKVF/HDxfvFDTpQ/CZVv&#10;VCavngAc0hab4C8+669gVFI2Rs1Yc4dmElDgflPeh8RB6sc3nbzT3+0o9CL9XPWt5qlT8B2yZZk7&#10;t7VqrGDvVhZ3TiReSuvu58QrmDtoGAnNAhB17+JX5jBKhtxubEdtAkb2d5duDFR9sMHrY09RBhDl&#10;fiBdBgjOsruua7UeCFNNTPqperJDwDkW9gfzskZzKEgsbuhuqAwWXFxjRa4BSaPER5V85UCHBsoe&#10;WOcZr42DOJnyVU3NA8lECMgQCodYfelVbA2+5Z2wJ78ZqsIEos5EgE463nICG2C1uhVgVjSDjfKB&#10;ccqMlnGiZSIwNU3iF0xGPr1WHdCDZS3Jfekg/DRict4L/wVJoK8fKyLyS95rHPbwzzWmA3m7U94T&#10;d/l/KegrXeDKCgjkbL1nqk3E0Rs8/qbZS18/Mre9vuXlIl5lNDHlfRl6H9PMF7SZq4/NQWnhoKrv&#10;6EX9GfC+VehvkfjWoM5F3uhOr78lCEN5MlPWAOz/64+8fqfqktPWBEDfWzMCEUP8p0d3VIG8XA0+&#10;rEC/OVvvD4tW/ugLJoU/8lP3uSENRCLoa3JUBfKfviPZrwh85wMP3a2rpmnCBxyqQFlfj1xCw3s1&#10;ZfE/5awCAH71t/UTZH5x9t+8S84nI4Gvwq5XNQ7kfXAgRuvjfdkN8Au4q77LJBAlXSJVH/C9uIlV&#10;g+/PqqK4rfOH1v1Nygrb15DGH8pVLqp7t60Dq8dnT6hGPl+2wX9MmaaqWkVialH8N+zkmjBKyjuy&#10;cYS3o7D1u9xa1ERUiEw90nWAvqEz/NJYRc4J4DFdLA748rSyqrAmqraxDl5RxRLWexmHiXIFYYqR&#10;dAmbk/T7Y3nUjXWjahvoyx7qx5eJQO1LIekjaG8irOFTsFPmnwWLu9O2NNCoC7807quPcgJ4TIMG&#10;JcASj5OUE1D6XBVpncL66tIKW7V8EdaoozUCYSM7WWDJJz7yolUmDu0kU28hYFs+/oxc2DfuDwbR&#10;+nSQTccTzXI1XUHyicT4jaAI/EvrShYdBtqAlqM6td4CxTcaKkrrfG3qI5lLYauWEVY5/lvZIizJ&#10;LZ384/QPWl/XYEJZgfHkBg5ffHTvU19i0H/xXZ1Kx3hzvovLzatrhqEiCfxFWWVflg3haCjepCBJ&#10;f4I1eZfWdp4/u4If5b8krOcFfvKzLDtqES4z+v69hEU7nRv44cvyfCiQ1oufCRnKfGGSKPK7+PdJ&#10;N5+nP0yScss8Y16cmnd4CnSe16QV6KY4wJT2pc/Nv+Ynaea+BsEaL/tX2Z7nzzkniFDar2jOa8eU&#10;y89/OQEhE3RL8jDlf8lcxjhTDcuwyBL2M+Y/faqdFEUV45NxnlT86VHHsbO/vplCLYuLatO7YVjW&#10;3Z7boPYXkuW1Sob7ULhHafr9eMXQR7OTn8Y2CVY8lE9/qHxsgd7g5/GLsHHjjwwrvj07wmaosZuc&#10;/Ck5hNWXxGRw2SeniJCzR+1XFhmeMNK3CUY6e5Q3lgKyNVm3gBwj+3z5hjUgrVWmdh7dWmDVmYAL&#10;xJ/5E2OFfc2WUGh54NuRfflUeR6srz4RER3g7kjqsd4lvlxl+8MXMhfBL6yTTp5e+8GUPq/7rFwI&#10;G0ei0X3erWTL6srKf0BcQ1gq+KQ3YGM46PuN01Vo1SY96cGyFFfY6KaDtwe/DVDdaalFePMFv1j/&#10;vTwDvyJsbrVVeCy7hH2HfDp5uhzgrWShSAe0w9k3TfA8Us7XFvQB5fOdcduJf9d152m9Bs+BVO3K&#10;/kOm4qObsOmd/OBBspF48mbn6fcjj+L8ibDpDfwKY2iQzzM9KqxG/gBfOlkXFNXJINPpTTOcMkHD&#10;I47C/qqfFIhN5zWdkceLHYOIYOSTGNyAxvjyJGBDGF/56ZeTykif943JdbAlxj1Q2GcluTaOFyK0&#10;oZbzml5b0U2u6cXn05MWkr6qf+OjnazLR+xbgWMoKKYW3X8VNrIsoKUv849wBfWLwHwlnd1Lk6Il&#10;W06gVlUAyYjx0XnDbfNTvdyDCpv6lV1SA+knlpzJM0BGJwcAuzyenjs3UM117+lFdz7yeRAWbjnK&#10;2PtFWAOA6iwr04pcCSeGZcBK5xMbu9+CDvcZqKdXFTmNiPio4zj05xmVsMc3HRUWHM4pKEkvvil5&#10;RBhiO+1/4URZevBJ6+fYPAGkxcNL6/h4ChH3xikDj4uGxqdtDsK+pGqs634nwn72mZuAlUbTxm7e&#10;RW4eGZi+Q77tVN6zr9RUxRINWctlWWGjzLRMBd8w+YGwtaUEDKA6tcLG5lGA5ckArRMFrfnsOiBK&#10;szxsURBWIyyq99aBDHPgSdrj+DLWEkSIKHIN+JWRRDUHQBnG5zRk+HjxAef3TG+qx6l0mPClT1Hm&#10;ap5vsLyi+jUUfDKd8LWinOnRn7G5ksSRxo84ik35z0y/75TWVS1YqaJ6cWwPN/jF7Blcn/tKo21S&#10;HER+BkUxxeM7RAMcO/VdIRsy6fPqa51xgsRZe1uOB2jZFK7mwFksOk1TEqzA7J+YirTuOum5s6Mw&#10;B5ScXP4fzVnKvZIh+sbo0dCgUTqbxrLaCIHrapmIie8wVc7Ri2nQPp91+j1EDSCFXV5MbT748n2b&#10;omqun0q/tayFVylJBfhxALcGE/HAA0WqFoGcxaBhSSxh45oR9o4+rHV/kSE+fWCC3ojliq7xhTO6&#10;wTLC+hb17NsCYhffnyM8ENLeLhiuMECbLmH1KVeHcyp9Pm3BoO4VF2/EzKnQby1rkW/xXT1fdC5P&#10;l7DvFEHKwHmtsOaMJWwHA1n5pJ2u/OCVHAIecohFGR0l/cR8JU0zlinBwyRjVBF8hzdHhPTrkofD&#10;euVkiCiFzqo0sAlroN3T7degSm0YIYgrrDimYrl1RPKQyrPTPjkcYV0xbHylk2euqVwqXHp/FJqi&#10;DBqUaThnCiXh68N1c3VXDKSmK1v7VubKlLbrA6i2gMwROhTYNJla2ITNG9uh9UkM2Si1yU9ehwtC&#10;O01FE0Hwp7f9w5a7q742gZjdLTsx1TO62hYNphQHQVjK/JY3PmybeLpTqcUvZAS8u5i7owGFu48y&#10;IMZ3t3bVYVAIV+NVgvylODLxjTrQcVuAS46f806b4SGf4dE2nladWddzCjs/FbZbDc3snSAtYU2E&#10;97hxt6uukr0etKmbSa8JTUEhfZFBnosu5H3FBndDs1WX4MlS/3E9RTbC0jdb0ePUQMY62R2CMqZ+&#10;TEazoYSwl2KN/MNJhM3mxLJeBjt8F/F8SRjC6kwd/mvDJew7QeTLvOGEMkrIBeZMktgzwurJARFi&#10;WF+PM+DvUUfD1W/u39ed7h6UaF4QDjEtFEXH3cfOgPvBxhkE45nAjdiTPvUh4Ca32SV8N2G1fl4u&#10;XblBCb9YxmfN7kD1HGWLAbi+L8UKa3JXuGqULxLIDBD+WAFgW6t8unu/UGS5RJ14eUboyoVpjASw&#10;aBkP7c4SKrOPnglPykA9lMYHTo8eZBLCt19XuVrcjY/VV769x5bTXrbwXmTdkM7XFDFFsX0ZffC9&#10;0dPJZPprhHWM4YvZh+ecsHIWm22FPLGrUw2I4AGNdKQlEGDrgTUwfMCvtOitQwQ4DPnaWcgPGWBK&#10;DtfVh/RS2Hq3WviwLvwuTDpQ9zBCGJRnpLsK/gjtC5BX3eVTh74I++GooklKhC9ccIQlbbi3ZduA&#10;jaRUuNIeLj7yC9/nmwxK9PyGx+MkNrmed68Dxr5FB2F/6UTPcaixrJiuMjbJm22YJlmRQF+cqIhX&#10;wiLCag0K3hDWlmLwjTNpLjy+dgoVYd/lrJadFruwpEJjyLYFTrZZf15oiLBXnUZcM0zDMsa1XULZ&#10;Z9RYbnUGc1+dHIXF4TJwc4hNdJsPYqKvDV9KHlf6Iqx4zD/PXozWyRFE51AeByoEG7sBH50o1J6+&#10;jGwsi+1lG5cZYSc72HbguHiPfzlsZXWAD9XoykafaILs+hnCnn6U/C7sTG4VBKz2lpG8+dyC0G15&#10;5BdrQHIy9451r2T1WaKsJTj0/hP8nHMZAKRqp6TA+11YojpsR1jVcd/bH21bmH2JOp1VweWdEPpo&#10;PCV8hWA1znLBnjBiMbALKylMabKkHCRXSPBJSpoLom0TrLlM1pLggjvb3axfXEo8qCBC1KkPoVHV&#10;g73dksrcahhhIWKLCmskqXoKbFvg2IbdItbTOsThSiapjh/TDpSfNxCuMHxdq0maeFbwGMaVHgXC&#10;tVe5nmLvcNo2Gep0dY57YRWPgjvbocmoXBr6MzKQJyGEMjKQiH0hAlxtTAVE1BPEEbbemK0D2wZA&#10;nMsZ6Ymq6PY6ybivdgYSIDSBNs2fOFQYmH9zNteQHvAYLNTjcj/tYOvhHO9RNN0aSCgsYTm/1vbe&#10;rtxfvBfpyHCPdydMJ7non6UAuO2TGA0RhaWjoROskS0XrKVCsaXbos4GJJ5oaEIkSR8RcM+8tp5i&#10;C7JwhG3MlF19wSp7cQh9n1dWmyGKyeC9wuKc/REOjiOsffzJ6/A1F9MpHhmaCBB2Erz+vVwF36Wg&#10;DSEi32Dkq8L29idO78Sni1z8cZHsC0RPYDAc5DOgHRGLbo8+cggRzumQt1EogvUBJdP3OEQgFHSv&#10;dUCYzU5qYaSi+DJyICXNq68RVgyUNuZknb7897agpjhAk5M16uRG5cTsF2GxhPjMYrefxh708vso&#10;rA1GWAkhjH3mCs94cV2IqkvmDMZDvFcitNos69TYdrUVh5cQ6FNNWjmMRNgHlz7DDqBfk144y11/&#10;tnAk7aoDj6JReQtIh/lo7Rxh6+/ZTFwyV9iwyLev3puB0Zvk0pyJiVnqSuLrlhtvFgSCL4L1WTQb&#10;5xYYFJAGwmV/1wH1mIMg4k7LTwRXeO8toWVEebtOgmpJpYAPzvIU8ZyOa9UhwJFywH5JZ0JSc92Y&#10;HgpL44OwHIbDx5MvKsL7WVKooDT3KznYJzgC8eKgIbPkN7GbCX7kJqHhpZBHW+KCfpkP9MGPKC4W&#10;o018CFsqDSX2jRRJUIQYuvXUu67SFA33Yag5LZfbb3ObguZ+Asq/CEv7PKPqC39o7gzod1K+vxoa&#10;+vbKALZezTS3Xmps4F0JKVlvWfoqLEtb03N2BCSSufbtXd6EkbuKbvsUkD/Y7zzDEr5QvRnFM+yQ&#10;G9FsOfL4LJ98VbcAPfiYlbX3duX9hP8QlhD1XquUeF9UkQcR6Z5oo3WEDXjffdzU0k2rvqEJL4Vu&#10;EgpwFNb2z8xIJ3lAzPsYyQuoqvR6n7fPVzlWl3xbL2Hfes+e5SHgDD089gbj5AoIJciCluVCapaw&#10;DV1SAhlke/rYkEMgmtQZOMjxgHepobHenzg3ZNEo9+vFK4vni7CeM+B4Y0is7k3wvkITN5unXqKn&#10;eLR3Fise3eJJ+Z2iJgBk0HOL7767qFREJ9E1LX6rWDKDqskbRCKAJqZnhfVWvzJJDc2YglLnGX9z&#10;wXjA1RXke+/Y8qCO/O7m4hmSk78yBmiJG1j3QZAQcf9FwXILMDa1JfKgrfC0hLVphD37uy0RPre9&#10;iU+tqRdaRuHlmLHHE3WD4/z8V2GJMvw/VRRlOPEeSc9o+6fNrQsgn+/17J163kCSQsXOjXjr3mmo&#10;bvfSqRJ3fnxHaNTjlruCJWIVlkYUkfLKQIVFI4DvejjfDz+9XTA4wOXNe3x6hlOT/vRQz9QlWdHn&#10;2gDKNT4dK2xeLGFVrGES805GG9AWtRyERRaJRcUcF5/P3CQRkjPjfAZRHxwBaNNsfT5dRxWsouKd&#10;dpwYMtMlfO1QYU01vh0HZSx+0r6xDFeeEIuefXpb6dicCvvfzWUMdT7C8pVf4iCla+tYI0YPogjr&#10;ELkLyzBjvbdTo6M+n/DsjZ133mKbG30F35Uq3wI0MjVAvOaMN+Itt0PnLm6HIFnAD2OSEdabTU25&#10;qjT8UFpnifU2Yc1sLip043BDK+vefY2sZ/QwU4CAr+xo0VGhMlmLHoLIdP9meaVtOnrWdo534PoI&#10;+mRgJ+t5lCr3jd7cm3sKJMjwIX8qqm7mUZ5zWAnjW2+JpkRmOzXx5qgKm9IIG5c45dXR8hiJ6Ggd&#10;TYA+HXB5uk4VImWApBrGsynMoTLGF1BAvJRSmrmhJ7d8hNPsGEQZ86IHT+SS8rxNm1YMC4QoTQSa&#10;9NEMH51L59DjqCk97x2BD/Q3WS3Mitm3Jsld+AF1aqN8Bv3cELzYaV0UhNbs/zgrYERKDqOa2mes&#10;rJDaOsJSlecZbHB9ehxhOa2wAZIDbvYaYeHk4XSFO9GLwYepDcMMLgEKgV6zykJ+ubnKc76Qi+3B&#10;85znKiD52LnKMIv5fCmJVL17XyFlLwKhnChz3C3Cck6Q1cdUXF/Jq0j6Il98evGM/BRbR1ja55UL&#10;Nrg8vSusc/yL59kzBWAW7+oD3lCly3vGEQ2LKBmp5ykkSXCQlXlnO1idEQom0wC67xVE15aBCBt2&#10;fKFxnMEHnxSSWtXrTD29e5I3WygsGgxaG37kolJFmq45iwvF1hGW7+i8XZ4VNrFs44G8k0X0CovW&#10;jSGFdlYRD9CvxVGvi0iGtEnHuQRdEgTUc5B3dOuGl03hoJj4UNhkF/hLQdMnFsp4tYS9NttRBx6M&#10;WGF/60HALqyN+8KPam4Jm6cFbPDWZ2ti2SVt4gtEqNtZHp6XHEJ2QsQ8OHsQVmzypSfpX0AmOLSZ&#10;oAaRKpP0HW4GyKwo+yow1GQuik/ShtWwrTe1CBlROc9p3tYsgbM0D8LqVt7uZUNLHAs8mHhQG1aP&#10;sDMC6SkU5pGsOHOUD37STH5YAJqmGnFkhgI9keZllZ5SoI0nqDmwkegeGMAoUVitch1hIeeDPooY&#10;hpI6fBMyTcM0WtTVOVVpaEFNc9w6iftdk5ybn1LilWDROh0fYZPblxsrLfrSV5P5bftYkowctPQd&#10;BcbFXR+m0PLIUex5+xOg33pufWo8yQt3XCx8KSLLiNwos4AuSArT8BBVJToo9gt6sorWMntrh6Ow&#10;71DG2i7EKfFpNg7GQ78I67nC8gfiG/6Sf1RlX+Tjo3j5VOfGVEaGMsMKySaNQxXeSWVwiiIGl/nn&#10;LCe3Ipv1B6bWZOUN52mSnd4ZeProOQzEwz74uv4XYZEr9U4RKLmOZUUQtYmQUnEnO0dYFsj2cFZL&#10;rf7X17IgO6kojzn5NO9L3QyZko60cH4nKoCHxxTipIkvy0gjSpMZmQ139DTLgAwnqhynN8aovoZ/&#10;noCL4LaxdWSGfCY0KQN2Yc8dO+0Il3dqJPkumKa/e8d5Flxhs5oHSmuwwGxViWOYfUDFwtQGBDEn&#10;HMB8JRQIWb+CkwycaJQkDZIZmVNZApsEHk0N2bQ5/UbQpvR5iDMG34SNf9vWnGMZsAu7+UuM8BQ3&#10;VltBlP73ri8mccI2dgiWnGcYIDyCQd3z6QvKkxu0vAGWXwCC0KcfGfmQSAVmOrQ95W8KgJhrVOQP&#10;IDiakscOccCHz5VHZ9HlTKccT2QJxl0M0gPP5DNwFNaDTDkvneHHslpBRPkiZ9AiMUxTkOeOz4RW&#10;keQFLLgNnyQiyMaVRS563+sIOaTODX915MwOJ4Mtc2fO5pu/KIsPD8fzVFqEyhUKX+sFpHMnB779&#10;M9olzWdfKLVhDsB+OUyOzjkFzKyZQYgC8sGUr94WUL4QliB/O+X9UpyHg8cMOJpUUxkCyfFyiK3N&#10;KJmBoC+mEbEsrfXziDdxlt1Mx8Ps9hifMhE2EwBtFehxxoKwBFxjAisyKnWYXVUrwCjSxfg2UFDL&#10;8yuGCPmYusLqqSIqZuq85mJtzlGs21oMtQiuVa4c7M0acEPDBxvlEfxotu8af7Qx0+eFVFnrlr35&#10;RW2D2QkWtbFZSQnZzkh+tCU4gbtPJ3DmP32KwdkxPs0ABrMcxsX4NvcqhumAw/g5QIOEsi09V2Nw&#10;pSie6m2DP54b/wjXWpz5VGxNSd+bgjavlgfCgqsisVpX63GypTWDe2Zx8QS01TEaZBIMy0Ad/gnH&#10;AANTSLllMp33JcQZ9sQcF4vmQpTZ3KhkjTR8BXVziXuQlCV9tP6ZGJL/BKFYzG3JztCAPvwaKRoW&#10;7+dUBu5ct3PmS/zGNvBItyomiMP8HBrc975ARYBBld3KzgPBm3cO0fsyQ2F/7K/CZjCjJtVZdNlT&#10;MfKneM0/nI3mGyGkAVlPpOYWqnlTB9xEMLD6Qq+ScR7s+OSFC9t8S7L2yERyFVIibdxzxjGFcTLM&#10;iHRWp0NSjiJq8Y64ujgQSyz/8jOUu5SusOT3XVhH4PSkdYSN43ZTOGdp2AdnGf4Mh8mVVD+MZr8x&#10;1AeJTPFlmUMKEw1Y8+2vsJA446A/6xly9jA+z3ebaH7RFB7ysHuoP+SVFxwgJiilOcJGU3UDa1Ur&#10;k7AOHgmZ830Et9EImOCIJ4WYjcVUYdPQDtlScMFZayptK6vQUBfhcAg+dwRhLbI2LKnH5L7bSBex&#10;R1h/d8ObM6otQn7ZT7VdfS1PfjIuOFJUYWs8w1lPwewgyA2NiQnV+BkrL4ZMYREFJY1lPaJghE3D&#10;poOH0zP/gwTweloCzsGtdujAkzcPXGUtn+6wGP0gD+0p1Rn7K4iDHqY3hbdI6SgYNvl8dC8jS2Aa&#10;gXDvHMjrEfI2krAUYaNGlVub+As98CEhlBc2OFR/Ehph7RPUVDz47p8ZA7znqBMiwG2TINHhx7ny&#10;/Lm2PN1HP5wSeElcbr3CLxxZ73stos78YpBvQgIifdn8rRdn+aSwycqZD8ywKGSl/ELovPgg6FIz&#10;enJ3KFM8UlXeypXJdxBFPMQX0xIW5DOxQ1JHxxE2E7skjaSNwa/TdJCwbEYuryI4HBjuxhyU+puP&#10;5dehKd3lZ5nLgnEdUv19c7DKyHeGC4eAgRS/UhAT4zQzweTDxMHROUNrheUco9Arvh5CFdaJajRl&#10;xeUVGsdBxcOS9z9z9zs90wPtcxBfMONYhniNtxDVt+Efm2dNC040e9UXiXLi7WuZkdhHhM0PeHDm&#10;IcBa/2dPOmgLsh5FxMThJ2bnTI44gqncH+2bOxG6dy/UocU1lg07KUBSJ696BPAj0U2jbqUANLWn&#10;qEPDIpX/lr19CiBiFHBImziuivFt/aUor84ogIMXOyFeS7w1FsQZqxYh83MmKTbk1Jcixb/m5+os&#10;g1CsYACgh58j7JotjrC06ITKmStTHPrHkSlT6HlCRqC7S8HovtOjkPEl63IfL/ZOKpfCMiF2auQr&#10;2TWF1Iu23XuxNW99j4IRVoZfQmei148PYyu5K8LiOR2hrrs7pPsCVJkqYj/8jAKlG+E8Czu9o4Bz&#10;/O0VBqJ8kIhvE3W9hj8JptlyCWM76fsVriQfYTEOSZpw8sRCVhp5S1L7R6v0RlPiAOT7pste0a3c&#10;Z7GprTEt6tR+XCbpV1ifBnabJ7jyU+Fp1dniLuy8jznCeqtvhbXgi7DtGM+dHpoGuSkwS5us+FOw&#10;cVzJhmJ8Gsltewn/yeTZOg9UUdjl7LsKPl4ibDwoN/B0e85JZZcJCpvat778I8e+5uU5P8M5TfiQ&#10;dGeLFdZBs8Ms5+p+kjF1UdiveR5oG5/DVnjlGIeJZyY9wdFNh1+cILZDdLwIjaS9hSJJVNt9xrBY&#10;w28+lO32xaSf3Nc49GlwcejPFChPExqKN7o7bBGpH69Uhu/ImY9h37MQzF5javM/AD+JKK/FpBqn&#10;TqZK6RI2xgZFJKQcXo1m5MkeH4ojmcw1KsLSu+e8LNU9l+W6pi07r9s5KHeEszZ7j5l3U4wQeGd+&#10;YqIxfkUH5xQZ/1xIoffyTVaiLnJnnVVh4yDdgbI2xg3QKapV2FybxwldjIahyXB2fo1IjjNrTKGu&#10;7EbFYa9JgeEI7ftATTZGxvuqqVgjuPnOSjA+3m13PvQI/8a8ZUPdSS7CMqfLhlE8rON5Imtz29Ff&#10;7lmWnpjsCOArCReFfda23i+GGEkYfd9yuA15SY7/rw0eS2wbqhUuOSE/AVYGGMlCQjtDtvEIwNNf&#10;8ybiFHnBWOZyWwc0t+zlLEJho+YuTBTWmvLgwxghNW5su46CpnFIWgAQR3yekTBTbxtegiEsjN+b&#10;rekKRdNTyE+aLhOWELKwF/ycMoGJrdKIg6c4smdIjXd4BsrMAdVd5X/whYg0i0tiXsM08j19V7Y5&#10;yU+S2MwI1ncl6wAibYnlA0iBP92neIUKS7Lfhe0Nc0KYzQn+ot45r0tALzUoIWGAyz2M18dr7zNy&#10;TaMmCB1fVHk/HGAkZphcXxDIb4wGOzogTdTBiApHnsUVtGi+CHCYOAvtCpt00wJ/6ilngZvkp5+n&#10;M7pU2EdXfCvK0j6Nf4pfdku+g1qSceuhn5evA7iUKo87WOB4b5EhqIqnR0q7XMBUCMkkJO+i91pX&#10;hF/7iaePLDeWsGK1a3D10JAJ7Z6Zn1rAoT+BsqDzIv2R6bvCHmTtpMQ8Tk/0bjJq10jRZJzBQQPX&#10;qbqB3FeiuoWkJ0z6qWHbFG/MXQSpwV87qjyaZqMWhWdenWpvVCEzL2FzSFePOSTBdcdbjiKsZ6BJ&#10;mnWHw9NCk75tsjxnvZDHSuOsCrdJl49RxGzj0wW+LMDLqUhpgjCXQl0wenqVHKzkkqIpp2f4V8NB&#10;R80KjjlPzkAtFe/VizCg7hm1CuvJTKsOwnJWFv0Jb85N+JzJDT5UF+OD/7TCycnJJ59iFC2849s6&#10;IgVeSY3dUgHQpa+1ACP+CHMt1N8tnWFJe2WuWg3GV97h30xpUDgviRzYLBsGiMOqXzJ1SHCE8zRK&#10;9ILenhrZ26+kVp4ckxJo/gou53LImaEK9bx8foTVI3LloLPZDMs0QSXxhc2Lc62rdZWKrwwYFlrw&#10;ugaUmXvJJb0zAFHI9w/WXaYdS0hPc/dC9eEOQiw3yBV2zUPFs9iIjumR5eZYtjunwF2SORVB4h9Y&#10;srl/xQnHfP5gsauwtrc7RbnILfNSoVUPrHvAhNmQbRx+b2kMm8Uy7TiDqPn6rS4KVsoMmt/Xp2eJ&#10;O4mMCbd0nV8yoJWvtRY8lGZohbgocqyw+aW8XVhQQNvf/HUx0/F4/tx4yvDW4Rf/oSe9oC1SmHid&#10;bTITooaaMZbK2VDQnaLDFOKj2Wt36Js9jTTSNaFFLIQ1ZCJsDWING+V6UKXqxTITU1JhGbhl9XD9&#10;oaXefmWopVw745ToMJeAUGmu2SRW/baTPP8dp0qaOkOcuKUvtE3dTv8QYYgkfgBOvmszZ07qMIUw&#10;Rsw9zLYqTVCwvZOLYP4xy6no1d8BrGHjMNEhxusUMC9gTciSYzhcxG29hGUukr1SdCNRyX+oUA33&#10;SonNfqt4k9S4t1sraiPTF0ZLbRrrykN2jeQl6afDUNCmNhXhYEJWuhgPRvJTCogZknZnhWuQZzKc&#10;352zOPbMy4W1RLb+UGr2NM4ygzJgz9MJ2SHuYdRP17yE0xgA0gZJz2YqM4B7I3FlQ5XPSM5SO482&#10;mMeYQ1NOV6riUjqvakz7QRuzaxom06nJ3FJilxLJfY2UMlaHAe8291nTvvP/xtslLG7EauwKW7fX&#10;i5FUVbrSzWJ+pjMSWZYNI+4Kc9w5QZ3oMyGJiP5Ii5Vat78UEPzynBeculnynjHdm3a7x6NIiaiw&#10;vX52EVOFR2++WCErZtzclaw9jN9MrWNpEwKyefrsS74tbsSGnMJihmoOReU382jg3W6OTm1f4nPs&#10;CcOH3R0XgbD6091sq82OiJ+rn5f52Qk0bbG/4Axq3fKju7vYNzds66iNCYUrCSFCNKAmZM1H8o9G&#10;QHQ0rGlP/N8cSQnW2RCNYZMGR9jcpBcvriE5WgMqhDwN6RwnZBH20lG0U9UkUMeOzkXlBS6z7/kz&#10;dfnhRb3ZyMUBbOFwl/lWd+MAV7IpnbS3tOvr1+KHhmz474LUYiYgNO6WrRFBtcSZPSF6fxUlEZuj&#10;CEsLRir3l7PvDXyGR+f+mc7MxCXHnZ0yVqqruYcg3KLzzEXlQbVk4/a30/CXbAnY5oPPGcpC/kee&#10;oaj95LrSzVRxtJsHuuGkIYtEnup2z6cbGjBQgCpLA45VAoa9Rq8c6aROlibbRFiUkEh39hMnhim9&#10;RWfP6Wwn5DiM4O1xncyX6nvvEE9Iei1S6f1RYFqDHPGYiNjeBK3KsF36i3NxgsvU2UpCiHYdDlE7&#10;clEuq/znxEXPZW9bYHRNDqeBb7UncDCfwsqG/tIUH2FpzNhkJfijd3opLHiq2+ahHI+LXVWXMx56&#10;aAT4quMozaDxF+hojcQRWmHPve+JPwl4cwNdfZON02iaIIqtihSIyft7RrhVRzXvd3mbXI9lkIUC&#10;f7856uKD5uauv/m0P13HYWyQQ3/gKNcRonAwSZd2VbXmHy92JyFsQM+3mXuiR0KoFzyg9eNvzumU&#10;3wBCKZlRhaCMyQFeLYYI+43ZxX1eTj48zU0QE59n6LY73k0Xb8zg5LLp3OwjngaSC2efzfZ3+bzz&#10;kLJMysI5cNf89p2K+GQsi0Sg1Ns9i0aAHNaW0RmK6A6QU/ro7BWiaFtB6tPw4tRDkkHlT9H7nWWb&#10;LflCG6qLIvEAS9Y6nwm2cZls+U6rZqyYxexjvVghAkv6n4p4yW8+4UudPAXea2OvV4ZGMjuEQYXI&#10;2gxwdt/BdDgJctSYMxF0AvaWvPYJkb+ec69MB9w4Ww4WwmBG35aKN4/GTWBNggA6DJlzOgmgIGut&#10;j1zl0Fzabca1tEI65P0EOxnZnxDRYOOewFNpvOZn8WFcbummVuHQnpy7ax98VIWNIk/DOkkbNNQf&#10;vW+aAMZy93oxoAHUT81hQ+jslkXa90m9jpMhMUTc4zR1aQHUkt8J4j/mCL7UIDLHZGxNydFr0vDp&#10;L1g3PQVx5DLMfKPOmC8EXLwiQX5eID8353ADJVA4z5hmmWlXSA5GWM0ELucS/uKJvz6X6iVsHEe9&#10;cuY9BHSqOrYBKDgDUUxGsujetkxi3l0AiJBKoxsX6f4aCo2MYpXpTMtpV8TxS++shrvlktGC1/EI&#10;88a7TQlNevrS6hlrjF9fSWGfoBlhwyAFZisnHSEY4bqX0p/xMkD4jDOC0hJXQYVtXpyk8wkik5Dm&#10;QwKO7p0bYWuoI5Voyd6c2Kr6gn0P7mDXXFH80cNPn+nRyvZc0wNwOB0BUefSFemNDs1I4cw3W9jS&#10;Bo4Wyq6eP6/0KJc2QDRh8t2WXUJ+FT2jEwVhxueH/I6DlkTaet2SMZrP36DuBkPY0EfcRYAqBqAO&#10;7xvsaYQXI7E/9Jbp1VOSH/6RlxyJaAhknHM3GRJOeRSCrzxcMZxYahbgNOI4anmafBkufN6A+TUf&#10;kDIM1GP3SORBP3OIoABhfbQdsCg6F9LEH6syx4BJpqmDQK5H1Za2ojRGH7+fCId1/jgkHs2ElgBX&#10;TZEhkqMErwpDG52vRyTf1DIhq7Dmnm1sdNaRJ21AIGMt/q8fP+Mj9CFF9AZYz+twGYFg8SYXurJv&#10;FeKCSsxaAsPR6n0smaDnAN7MZNCjB/XOODp0YXXJ+MQt7NLgbm0rA/lhjzA4XvwDJFT64gWfM0gY&#10;pePOCoffMDRuKE+fHHQ9X3r1NgzohzgjLPqd29g573c2Vyhz7SfjSFv8M6F47YTCNQoWdZyJlrC1&#10;iHoq4zjTe0QGzK7Ward4jjcQ9K3BQG9CoDwyKDa0aKpvvGWu3N/iUNdLWKvp1un9J+s9ypU9LFJV&#10;aVIZF7MbNnl2lFJvm9DEPZL0HnjwX+QpByBCJY+5KsA04x/BG4fgPF2Y5XiG/Yt0md8ocJKT+1sl&#10;KEbSN4hkcJw+FwVpAONoTUU418VqNFvJOALIoj1YlehKXgaIkzmjlH6W99sdjw7+D3U0fz0xPnTr&#10;jIryXh/HPtvFebUCdRQBY1p1aDfFZ2jvPMYA0og4b1AaaB6Fkj7rT3vc2QHe9AKKzdEzZTHhyiE9&#10;GJItcjrasWwm/hzSr3Nh0OeubjzYZzmAiJbGOckHRTAOHkEFZHQ1pM4Mt26qxx59KGicGOr9FbJI&#10;kSFJN6F8fFxLuCIOj7W23/uQTRxl7eV924YLhrVV2qBBQFbbUSbz5fCUmVb3bZMS5SSPiudZe4Tl&#10;NMJkiVQR1alNIixE4zmcwkTjmdoXZuxnp7AKMpateEm924gSDpOwawG+kFm3j+izPu+SxSOAQZBW&#10;mRtyBk6I0NhRf7Yucliu8Mf0QwbUqLq6s6BT0AwZY1jaOOtgDRSNOs7U9olskUZYcsQS1mVQDhD2&#10;5lMHo4US3mAVekfrIM640vVAr7grV2NHBnBV2VYzGCPcRyORHoCdhDcJswUQgaeM5C3RMFsSTxl9&#10;wBUMESSF0ZaWjP/Qnc/otvQ4ewgztpVIWKiw7jP0kqYXXm5eukUVeyGsCTk3w+XFMx1X4khSdtwQ&#10;5f380ptXSUIVB/WLOAbiYJEdc9FqLculgucHVTQYR0jHEBglYVis4WVskYkenSw1cGB/jtM2uOiX&#10;a1vVkaKEdU8Sy6mk/NU9m0tJxXUibMZbZM56p9ToI2GjM1kQ5t0H0AvjcZyZSSUE95HTbqJ90UUy&#10;m0t10hNt0ivKqQW2FYMS0QoicePYPXv+QGOqshSCS8+UQi/U0D0Nqs5b1vbtnaHH+Z9cmVby6DUk&#10;qMuPdM8+igYOZflHfT61rSp0tMEZRmf/z5DOr89gox8qqkFOqwyftqmE3tg4XizXLaTT96gzyGKs&#10;rLVqWA4onytE7RaucnKVTb8R1hGDinmixvIgyeZjSq4dc6TBXFjaKNcW9c5w82SIogb3hDPMiAA2&#10;YilJhzg9aYZB4h0lhu7jPW7bLem9tyMHDpfdf9OwTAIVVkHC8sQBatD6FOdUsA0K7FuAQTV2E6up&#10;BPVH2antV34fPIf+zHgv6PDpLC8LbIUKuL8G2if+MlUAqMaL8iPKBi6NokDnhzi50uG2luROTG1n&#10;o+i4c5mMgYnPuj/eQu1jbmheTDcxaFgOnHRFNtMCRSqQhTDqwyGogChcQNAmPgBDgYfz1QmmCJyH&#10;9JnUKAzDosNM6QRa5LZeNPICQ8z4rfZ1nnXAkkn4vEHbwYpmfCnQHfOX2F/+vATgLdEzkaCGnjnU&#10;sMbg/Ig8TJhR4uEalgMXPaWnlasHsEEDs1a2KCmAMTDVV2GxdHhU2DVjjNia4Ie9BVAmO0HkNVrN&#10;Ro0oEnfySSslujGSOYOWbqVHOVkLXxSDlf4o5HGiz/SUTKFEIPS6YnIi3pUbYWkew2YFMJclrmhE&#10;64kITq7yJpFwIVOAd1islcJ8dd0pw76qek1JLzQsjGeeIKA13x38AO9eotNpUfy8Awf4GW6idf90&#10;CNBfwhtnf5N1ruTLuSLCu3T0KszkN3vazIgBqXzp2ZD57o2w6rzDriuASWq55On0QffvdaWPJawd&#10;AEO26jsIywGk7/O+iA5viVrn4Nu5gn/oxHDw0d1xeufKaaGyipFhOF7e9JSihgnA0AwnVGTflz/a&#10;xmOTdSRmruDYjr18lntValhcZTafbeAfEx/t3LH0jYkhZDdhZ887dfO1CtDaGvMB0rJqX9NlU5G5&#10;SMqGhp6HDUpE8F4ZgLICfIuTQlYP+JLWxrQoGtbHej4BzxgVj+1QOXNU81NYdic3epo7HEhqVajK&#10;LJInciWqt0w9Isq6u9XNnTFKylPmyCNit/6kF8AIRlGfklo5ARI0fPQW9nS+Hz8Ekj9G6QKnikQR&#10;wuGDNsxcTUqzJYQa3HuN8xh8SGjy0qQuqnCa2FhHGQe7Ov2ckSf04zuYoTO43FFG+UrX7rmtgUah&#10;U8a6GMWz2NN6IyzdXs95WeI6FehCG2YlihbDykig/WrYayekWQdTaFcIIBQeAQKlC4I03UgqQZeN&#10;4RwlU3KJva+Cc9jC9TtGNclC3hwifsrG2LQc04iHU7PgJqzJ+OZ087duRmGwohs9ee7ezjIOeHVK&#10;hKySou+9qizMIJtjtxCxJSiYQURKWqOVJ6cv9HhCwkVbxu2a2EfCeANVrGlz6zY+kHZlKxUxbPMO&#10;A45NZnjJ9IHDJawDpKcyqSumkG8OPrzRPdsqAkT14hxvVwtQHQFSVmvYDAJCu9WwTUwwO4E3FnM+&#10;58aBSQdniqs5KkW/OWNMdnqnONEV2SyBrgaCn9OOG5ly2CW3FZJAgn8TNrPk0wMye6p2Rh8pEH1a&#10;TJ4hx+fnErqojC6XdpDPTMsR43srgot2RecjSqChO5lHJxufNNl8UHqZ0K2ezErpm3BYnZKfkvGj&#10;A5heDkebMOMAmRDK4yS6Jsf5TMPa4LFTiqQrh2fLdDLvro2wyBGsNz6T4HUjT6wAUDxYGiI1bHgR&#10;mp5i2KxRII8JL2ZnivYmG1nBbWHSDRAjw4yoldsTCZdPZKsRsfXyvAuxbIkhEeWpwmZhkuyV7l+F&#10;ZYHvlCJes4RVPheoEbaTGTX9BGHmlqQoDvRjZg20h2vj06Mkm0AVH2yn3926IrjXarg+mREa1v7m&#10;C91EvKgCxXQiBSPoIVL85M+de5XxlNE1bGl4W7oNmPz9lKXC7xBi0cVnGk6cxz6N4AZHFAiSt5KH&#10;slhRlFNCVPTLY592Nmcjc3dPNTGI7CGgQPoEAdRyy0xXCqHKGUy7y3/WLbJRk5HwwZ188ejrUJQP&#10;MptMgqtrAht760vYgt/NsB2awgIYlCDqtqr45vUKm7AazGpQT1RHFe3VtP6Qe+FC01Lge4/IOpUO&#10;SCc5i72jMjUwwd6dHK/ior+/aYb7pIJqMHelAESFFYlGzpkkEFyZd2zjp4kPHh2ts96iZfLAEraD&#10;x3vuruJUwVA4urGab6acETa1mYJAz2HUR6P1JosjnEwk9LTXerkRtWOeJ+mH7TagqNMsd8rFk+r4&#10;/ydh7QQPJ5aRqMkpF/lJD4AMX5RSPHOK0Up2OzSY8+O4kOLJQ45nvfz6ovdzagTDomWfUciM1XIo&#10;VhAhmQ1+c4gnuxiCd0C66B7Hwi9ylbHuMIy4X5PpEYRooE2bDfJ6pdyC8OBmCYCdnky0iORdyE8J&#10;ariJCUwe+goFfJWtRkV8BkAib7mkU/QRc3i8GKWsQXkQljRieyVWPakmGbtGsQE2+nXxceEYFJ6d&#10;GmmxhElvk4lhZUzQZXPnWxo806ebJtL2k2qFUrPuD5Fo/wv38uPvepvp0tAhUKldXtslXFUIUyUn&#10;ujTYvdEgV3ed7Mlvv/YpRdNVNrCjwtwKow1CTAg3fUWIYfu5j0D2R58EkZpNkYYdJ4bJ3IwS65pA&#10;aOSvrD8lXWhYLwuDmjMmlQ/YCkIvkUJqk+hLRuxa2rudFlsBb5yJq9LtzTt045UW5rOKf0IBERbW&#10;TJlxLEzteNRh3YAEYAVc3hxhnvKHhkjKcfN92EHi9e41+lRsnApCH/ptsrsxpUYeWIJrPKhzTq9Z&#10;77xVR3ExL0tF12pF/7Mwm60uaeVq9562kro5HlVwNAtoW4aZt3n+VWGdXUS+3icx84OG/tx7dgm/&#10;znN/k0HyK0G1vJHT14uEf47HGoKV0k6M9BERb7g69zbr5GUoXZKXPvPSNEv/m2ZOrjLCQDyxoilM&#10;EHIQripEwksJ8sJQ1fWQ/rIGCjsktOnWSQMe5iTUMnJlJgF6RQZmIVpADW4MUAkRbZuiBAuDOj7a&#10;n6aI+pJTAKeEf2vT16okvpPS7ZrYiwGPAjBsRhUR2ExX1O2QfzNwDpQgbDVz6W0p9BYN+nrNS607&#10;No6w8uUDndPNMcFNGEDdZG9Ar+imTLWQmksGDNiAjDdkezHIvh2FqhIMG2IBHVgJXkS4Nrczd1Ke&#10;RAy98u7POC0N/KTMQcjJnUpyhycc56pLttyE8Pvsnlsmo+oU4l47sK0RSAuFTTtqK2xMdynDbqgp&#10;I+spT7vTE3exLfHa9xXBwcrJDjgjhaBhGwKA9zc/K7CLAaRwRLE5SKBI0/TrhlFuHwVvF2u+UEix&#10;lSDLjzAXL56XGU4OTIy6RPXmxc54fYVan/Ot1auU3F9qvwj72ASq2o3AvH1U7NtwprCvJDIqsbo/&#10;c0ilJzMbCXQcHMjVVcjnKSFUkmZwgSAcIEr4+DGO0HvOKVVZ/GnYNFBEv+PFRE/9LWSc1FVJBlcv&#10;+IvGR/IiLF11Uc1jlgOCKnhp6r0EqrWUrTV+kwdgHacipjl7QkN/5qrXYZ4YazXcAQeV3OiirlFJ&#10;tYCr5fvvkeVvKoXcIiMVWT+PYS3RXmHY9VBMF64mcc/d+rmH8FvD9N5sZ2Pkj/gAegadwiazLmEZ&#10;7iB/uQub2vn1AwoRRjpu1eFfqPNgSiUZPwBc/3cG1WQTC67twMjCkZoN/LUV84XCNGxu1GL528CI&#10;kJCVpzpn0sCbiOsOGtMwm6frI+zIFQ7sGDITmcqApRotqU6tL8RHKGMwIme6h6zej707MUZYVkbR&#10;tHwOI8Sqdkw5KEMep+p0BC4VN7d75M7ZcqfU9FW7M+iHG+ZY2QjTkJaA1L/3+BPaeM+Pz1Cr03o0&#10;I4BajqwVZyyiF+daF4xAkNqo1fc/hotXvFi90IcJsgIv8YC3WYrGbe6U02aQlvW08xquk0q3MCM1&#10;lVea/C/c4DJZqpbGsJC5y+5nZqH6RIT0u16CJZXHyWh4w68+vQvJKRjHFbaKMvNF1qp6CqEHw6zb&#10;0KljVSfO53uCVBnjxZbQJ17c2UUBFSVgcXNUhyM8q1cZM8eOLRptFkTHlOaWAaz/B8PNX+MANKS/&#10;d4ggfktMytrFC3/hmDbgykUahARJiMClA3mF7dZFILIADYkFb87Is8TLtY7wf+Vugd7rfanmbe80&#10;mT2hXdqZNeTtHN6eEYV7o7HbtRl3HBDkPT4DGuXMDwnR6KrLvS6BmDyFe9XSjLe5GV9VnO5CwsRj&#10;shFic3iJOf2rsJn94Sw1HBCTCUELJqeJiNYJlGXw1buw3pxfaYl4nLIRQrYA1h1VfCIoDf2ZjNwK&#10;C+VmTzenlM0tGgxO+qSG9qTPZKg/ltvFm7OrlYzHX/de+hxQnBgVJvlqFAoUUNxze62tFTbocPRM&#10;PYXOfeFWYR+YJMkTwmZAi8cQgj9CAtZzz6NXiMuY0yiboIi6zAsc4lXOgdH2I8hNRqnTOolAvpkw&#10;duqtGhDmvzVjHTSDAWHLdDKWBqV+mc2wbdZCyDJIQMOU79MISW5aQR1E2PkJWZAllQvqTnDCmttd&#10;9QEaGNO1CFJlUHG2k7XLciL4FIMHs5LwKdW8uB5mkdw5Pi07IqleyTPp4Ws8q+jwdChOesqMElVQ&#10;lX6dT9GWXghtEUD9vSvDm/TMGxCSBF9v/fGKCksN6IJZWkseQCyzZx1h1cbCDGc0++mqsNqCl2yT&#10;9WcHOHhtbPnsVkL3RQH9GXdlLRoPHKh+T0Sma+wEekbVrs6qJpXZ+WUYw8y0RZj9iYp4LSedpGUh&#10;G9WYS0bY+OrpJSuqEFurmvrnXT0mwtpAXVnPMGXw+VhKvQgvjvvPJRE9W8g7HDIZSHYCCzOcbULR&#10;3bRy5ZIJ6CRSkhbFaRNpXiWu+k5/Hxbe/vKakOc6dA8owuMr1p3BAB/xMUearxf1QswJVcmNsB8O&#10;ktgnN5AYyHxal9cZMY/phfVvs/tHm/TrTLXv2IWWTh5X7D0I6lw0ltglzpDbuWf52PmXCgnBoHSx&#10;a0nFojiTDYVVHxEA+SCcAdgNPNY4uS2358RlBpKOz+FnUduyaZBjtkxuGF51BVn5ED1ljOe0mDHe&#10;QPT79F00lIuFzmjV3EQ9Rv0JGdpNF8X2m6JYN7QTQw5NlD1POkdWt+ATv1jFXTknIyEzfgVfNNCQ&#10;uXaBY2Q6bBWq9eWjEWGD2dyIvoRuQpFmwUJhtZMMrLpjndfcFREcaN4hI3dKttmFTwTqgbJAM3DR&#10;winuUMDx4+rXGmdlRxUcihDPLZyByGqvG9WViLK986nY/gnLtgGmqRp9Q4WmaV5LjCSCC5uw0gMe&#10;m8vKnk7rVW1QOx/RjeD8zcy/soCch8MIA1Py+0ShHGfjiSkDBqSe44iEp+rp2HkjHkWKwvsqVkJi&#10;GAJsDft/w0S9mMZ35RGjzxWMTBts7XRYx9Avq8s6fAHblF7704Nu+U5FgkJ0USBDOuLoRmOeoMxI&#10;LqcZtt4uckfDA/wnrb6QKbFmWyofymCkUENbctQlnLOLwjcuByorcp69W0wVMH2lDSWJ+egfx7az&#10;b7FMFDgd1u/LTlDGCQpzP8uWymdx3W1zO8AEtBr2MM1nH8SzGfiR3Pxtc9gn2z/5W96naw2fEe+/&#10;RZYO0E3uVPceD22V2asXWHslpKTv0PtNyd8wET+PVZDPq9KgwqNA5MOBwUbz7MegZi9gjAgbRKGW&#10;VZ9rjJMOpZD5nua9kXvyaHxchdFZZ6SV7R+Uwp3Uiz5mkccBXuYmmvGc3Pv9w7476Thx0jntn8ft&#10;qBTIcv68XQRTfNrcO7zx32sq58iX5607BMOJpLFKpomUjO4CsyG5FPCzqTAjBcBJNhrv22Cts2Rj&#10;vqH69jPyEN8PDHNynssQlCEgFi7ftu/464o/x0MajxAVR5pKXpfjJzH4kj33JauzYTSTKRd6ef2R&#10;7ValRKkzjyVMkikGlrAz8swQLi3KdP/e314N1p5BsoRV6/ODEojx0NG1I5AC0tfhaYIjHrleTrsy&#10;cSh2mepAFwS6DmA4eikDmeIoUolqUFlu+4JP2nvzWw1LkdgdcqhwWB1iBdOoUIWulV/Qlg+nYZwr&#10;HQpLrU6SI5oZuH1loITQv+EUT15pIDzWib3pc59ohu7ET8mRZ1OZ7D2dSObQnWS7mI8lDfDc1KA3&#10;WhefHXZF5qv7ap6BJWwUBuMbgxamIzi9ERIu5gWvcZK4YiT04RX1KkU5CXZ7p3GSalVTXP6+SI6H&#10;RJivS4PTxBumShG548T0d+SkMJhAA0UXoTaaS0liI0FSoOptuM/qo1Bp2mhNqhybhSlVIktMJRx/&#10;1hkzL4kk2+yO0RsZ9vv48pK8HDUT15f8jdi5cma5bUa5Gf314kQYI5zn0RoEaBrTpVCWtmc6mcrQ&#10;Qd+bZPeeFU4MSKFflYsO5rQ2WkPvzChiO8A2DvGeQsV7HHPGqeEUt0an1aFTjeUzj7hghDXTzV4G&#10;zbP4aZtSUFn7WY/jxEsN5ybz3tZkqWoDHTGOVBT5JrtsUQUdOdKbjzyBX77LcTYH+0aTNGvhcLL3&#10;jUKS1aCQn+HGvlZJND/vk+TxI2gT3oE8U8BfEU2xj918G3XGO9brAOdsTvRaTkFdq3PKKrWFMew9&#10;1oqYKsDk2e038WVa03lSb3UMx6cbMOW3frZmgLfTCqOCxXt8BOL+Eqb520q1cqU2WAhFhyhD0oVI&#10;8St37ILGAQTkODFZO8fJ3onKOHjOVuc6OFXbVW3IzEwxZBOVNocvHEy/mcxOTRyeQ1wVDUz8POJS&#10;l1fJ5zaro90xTfF75yXgmV7V89Z55As4DBDLnFJswvZa4Dz+NLhPb0TKTKltbw0lougUeRm2dahx&#10;kXNONTGJKLk6hXBug0nQrebln6y1HIA9xNw/NwXqsBw6ilhlCIIyobyt6EUN5MygzvTp4JnP6i06&#10;psDtTtgIy07y35ewQ/DdypkL1m3F/6iz7BiB1MnPt5B3v2SFYdvwobXzegGauJCdCT5ik+m7QqeU&#10;2KoCvZ58xV/VOIOdKR3i2+1UDeAqhLYVpHQ9TUzhBEzCI7HvmuikApuwsJvbkov6TCva5mT5ZNn4&#10;N8MixPwIMmc6Z5oktb7zQRamI4VaLKk51fTgpNMktMp3JfhpYwvabhw2F3Be1u1U2FmDdwijfW/5&#10;ySAmNw0Hhom8cUqJYSNN3DImd3mfR997Ds2PZOJK1GFU1teMJYwGQhrGkvxiM+y1EqYlfOhqerFs&#10;z6sVrLY+sw2Pk59GrIxcvv4kVTPawSnSsf5qhJD1tVPGQOl3dMq1YFnr3AA95ido0Yy8hGUoPihs&#10;3Ez7URQnLvHs5EXB69eCij9gnc06ROlGoG2TxPsTZGkTL7agl6SsjnWunJ3aNo+KNEF4RcFpqNMS&#10;q1IoIC9dMipDnsMVLsvL6lGyU9mpzXM17/PLWgPuqSGs1r8QKR3qxDGwKE2UkWg7EzSshd/rBEZQ&#10;bjGWBfXhYxcaEo4f/fARil6WBgeTEm3jKVX9xXrAXy63HWtfq+IxggLQxFJ0k+dQGi4oZsCQ0BPq&#10;1Koi25dktVQX4Nm3w5Uatv0WexBQeF8j1hTUp93DQRQFdeoklZuKKeAs7WQhAfgBVTvEi+mdh6da&#10;beKJ7jxGvjfFso8Gdqt7knH4FqhzL1B2aO4rw1e42CvguZx0C1wt52r+Vi8oj0+k6wDAxS9YunSv&#10;wYfOu2sGI3m2QKbnXVvowtUOocwIOYbVNfFHWbDE/awYf9735jXncb1ytfjN9MqHV7QHH+Yopdrj&#10;JeDgSbF+ZXlz1fIIwHM9oYZ0YpM38nkCtwUzkA+aaTgkNO/CUjdVS5NRjBJNebr9XVQz48VmZLbg&#10;07C7ui1BOznl5DFpRJOkGoh/zsDjD8haR8mnWjI5hPDuosJlN9JB57bZUNqfYVTYmDGoI7prqdho&#10;KU2CkMuLJgBz8unV+8N8DK5erFHUBdk2bQB6ozQs6TRvRex47TD5gNUTk5lRwN4jHtr6JUYHHpDm&#10;ZWGJw/in+xZWbeQCr317P2zJe66aAfYCshFUyRJltkT03xknHmBBoAmdzOk5vXEXJuxfutWvL3iS&#10;nccMaxRw/hDPk6ZFdqQSr5+5UxiguD3w4rThb3HYSd2IHjueT9fKb887JO/caPO+AATM0ff5FchN&#10;bdMmWx0ZqBqjTl0gOPsnfFiVREDprAu+0ZRlNHxaGMPynetQlAR/zIm/V1YgRsqGUJ81rzM9oeAM&#10;FDqoCrvnrxgA+1Yi37yQ95rkt53ElbdiWVWWhAjAOqy3PoCIs+BRlcJN3oOxdwglTsPLTXbHlqop&#10;3TaAlRVp81qNDHb4geMjslrhrx1kDhHtmFtjxtx0Nszrstk+7rqcs3g4fda4Mwm9mRl2fCNXUlNA&#10;M2dOqQcGkpO99+FnVsvin0S4FPKa+0+2DvHibFmWy5RNlOtIq+GWQlCJO1J8f8JaPBIwKuQmVzv1&#10;Wr+d2m7I6ny/E6AUgJu8SYnGGyQdmQYldSruW5QGoDKjeWEWglGW8UMGWc86e9qEpS3Ie2lDGGVd&#10;GXN93/AooNO1ETathPpKhhOg887K+krnM6qMXhx8qvUlSpLBO1rtujXjMY3uD+NOWRx+IWyUjD+G&#10;A7ts80e4hZZFKU6JxNJ5GnnBNHv0eswW0c4e4OvbzDnreNC5ngt9m13x5PsLAqM8wEAq7Ptd7brj&#10;nD3CEtNXJzlFi9l3zDm6wrB0Q94dOcIheo+vwlJ/Z0MI09AbFgFbaxeLYwOgxJart+46E33jJUaE&#10;KXWOw8UXlrAGwwhVFAPNdOf/5BLst942f4T8XkVZn8MD/GkLE0AO/gFr+Xxx8ceUIFOdYoO7Q9QS&#10;pNN+1Jl3Pxa2n/Qf2LG8vGIN3WLvDMjP58VF3skEf4OnHB1OvFNGOHuvz1S50X7+a07E7rcNVMGv&#10;t4TBed68AsRKhT6vLmvn/2t6/NUnFk5/L4+5af8SAEYz16/hdODFLRZfAle4+U+acv6ras6NSVnP&#10;vYZ8dmSE6OHbnOTdHqc7w/P06bLvdPrzOPSNNZXufwz7H4m7bzn8f4U/2wh6BlhTzuM/XAClr5wF&#10;ZIwIKOf5bdPa+WPKB94yEgakEjP/X6sCP1QYNaL5/FHugQrQm5xy8n897N4rEMOqEel5ovXTGeXK&#10;OZ3SZtPl0bAxSND/+lGZf40DItgo4a3aDwGgmsYWMnyzjIkoB42OU2fULuAnEUJ9we0WQd9tslSV&#10;O89f/iOF8x9WnL8dmV3WVP17CBYa3pejx/+BzUwrLoCPyrfAQNhrX8aNwSxComN5wT8pHzBCJeRp&#10;vcNfKg/GNIICxDbL1SYpebI8ePlgjCZR+vaE7xX2OhMNLT7wM24iNAxFD82wvgyrshtBCJyaxlUs&#10;ecaOias/VwD/0fOBZakOrac/4OdXyMY0ZoIVpLJmjhH0n4vTH7um7vHNDKoDY1ix1iN3qLrAeswj&#10;G+CchUN6P78dTALo+bsnLvVOFOOXy2E4/AI7QZW5Wu8QKthCDhVg2qfNj4l2+G7wANpRsN2NxjCv&#10;fzHs3xc/dEk6reKBg2FrAg2IJGEquMbidVKaxEANwxhbBtPuY9nu/FEvCOwe29z2Igf5tbCaRn6m&#10;iYXL5xLy3/Yx6w/bjGHvx/kEXWgzVeG1cyGWkmtS9AU2rz6Y/eXtcAKIfHfOLcQTSbreyLeGwA0U&#10;piCV1XoHU6zc2k4a4yAh8DZIUfGGZlGOYZVey1m7GfbPZoHpdDCsrZdrBo32N4vZfAybiGgatIme&#10;FbU233L4aictOCnqmNZWOALBhlwrdlPoyQwlitnCsvnC0Np15wTNGPab39MwxltJIeCNlMLHlwDf&#10;YRl27B/49bpisOAvlW4+db/5TWxN0CyP2WsGNovI3v9OncKR2rTdagFE8TEQ+vm9JeVtKhMb3i/1&#10;xMrzTYEKtKE41ztBAEn9Gj4N/CQgCWmjScXxgx6aNLZhrcqAVjRopwblEY5DTA2KC3cmVtMoXHNp&#10;XHZNM5XtV+Yimna8o5b65QPX07ujXhSzYCYe599fs+sGk7iX/QN//GOWBcI9YPdMHB3gRStL/3NO&#10;/NWwaX2cOu2uO4ad5p2CDbuwt5EeVtvwRSvJy7JgDOtvvNXDVvGA1P+YQLNXlC8hleg2BhDDVg82&#10;+QEF88lYEZ+RZBS9DQ5AM8shYKdWUWPZMY1WqmRWj43+Muj/nAxw/JlFwFd874htYoAtWBnt5fc+&#10;hH4BQwL44oN3xbzAFLvbfcsHa+q0zZG+OJQQzgJ/7K13iKJkVpsg/ui9HA1Sitcach81UmK9Ui8L&#10;htgfYdSUpwhbh9ZWU9W0rpuhw3bnyhs/aHgms6gxRrAZ7P8Ijg43S6vAZxj9Klh6ZEIg4jGsh7n7&#10;OFEzWszx41hytezp+fGLxizbY2raAL+OEfkFQuKwMAEud76F+x8X/ycDgV2E+IJ2Gaf4nyG2QRT4&#10;rAhHl5t+eoMaw/STKRuYgxS/35hZcn9dXhmLmiSp6c8IYupQ8K1DI7S/n1V7SzJDRxRU6cUyJktP&#10;2b//Me5GUdkMrELUl/j8KlhwxgoezZxn6x3SDafU37/mjmV4x5dSGnbuvmrMXnneoPCfLWdslvkn&#10;JM62qBDOvkLuAOh8t/Seb3WVTIakCfzPEHsw7B8V8avprY7UUv9jSxqNsyLFjSJfYHPYKA5IZ61s&#10;lxj2PfGjSLY5Gpby87jO/xq2YPk0SfA2FnMO/LESizAiG9o53NJYIEVpGResQGILWim2qPH0WS9J&#10;3cX9aST59FdNDxrzbHoByX//Dpu6TBnZwtggF5WF6f3HccW8jZJRQbgf3RzUOHCI2LjGP1ooUBJA&#10;jbBU3IjtGcztqWa9Wepry3ZuTPrSirH3Kh6Q2/NrO1rsUfS0cAGex5iDeaWQ0x/y8CVilxMyGIS/&#10;jbVA5I6hqrh4pDOR2EmxB81QCzSwlSJ72iW3m9Kz2l4I159frLbAu7PzdAlUf3wdf/vQPR0njv8M&#10;/RbuYSmlxIbXbISv6UjoDFP4zBr/q/ix9Zaw/giaMBUScWMSwqbdyS3CMkbUk858523FPuq1G2zU&#10;J/wQ+/+F59DctLtwAfZb+SGRMmr5NcjsPSuWvhoZBn+XvwMloA4tisEewRXXyDZsJvmUn4EGpz28&#10;B+6PbYwpfDFs+v360nvBnZLd61DwlBZb0t7A1xoI7wp49uLaxhFgOMfMa9b6dcYr7ErL9un9llcC&#10;cZeIbLvnoLkzsDL+RKlQ22LjsGG58O6d+Rbd+f++OosHA+K7rEDmKLlPu8MgpGGXsiJMTz5z/wHI&#10;bDrD3JoW/xpP2CNLqGHXgCCsSJVjPSEzq53ak+yM/sAnY/807PEsqnqZ/NP1wYJf2Z3+U8S/OjuN&#10;kb/Ar2R5IBH5Xlm2qIlZHHDX+Pu/c6fxeLG/2Hl3ikCGkhgrtpHY2WlEDZjhgKNEbmAmIcBIVIrp&#10;zLcecM4PMYfHVbzA88jbetEnxSzdAlpn2Tmar0oQ0kbPYWUZdrLU6bUddt6EGnZN4Z5RkKjFhgqO&#10;q50h/rQZfQbPPLJu5b8atsQfqyJwjpMJ59doNanpV5ew2eb4AnkB9YLPt+ScPRPLZkww+eowXV5Q&#10;Bn4tHfxjhhEd7uPps7L9ipfYLgeo47Bi3GkPq79+rBPVHWaV9au9F6iYOE/wR5gY7yCj+JYWMj2t&#10;UxFJNno+5tDN33xFnfBFtjrEWnQ9u5qFls9hwJGj6Eo+JQ7OMfruWEkB/zTs5IWQvFuD1MNiRXjO&#10;02b3CclfGf6eD2PZwBfDzo7ktnO0FL9p4osWC70I9b4M+0/L27Os5kj0d+FLd1YOD456T1thaHaC&#10;7om0N/lKZxUvMKB/RW2m+m3j6Z8EFpYQC+f6no2eI/KaSGwGGL9OuC1o2dYxjbvDiKEsWgEe4jps&#10;2wEThcuku8y7YWMvDv/TdtXywJ8d0EpEfl/+s68qFhwNC5402PjP0MfZEvBg8wXJ9vjqEN6HyAHF&#10;r+pjKNF/RLF4d/M7PVY+AHYzjWGLcCy4JcfR/b8Z9iXcqvDIn/67jGmuYn/Bio26uLc0ek/ymBxa&#10;xxNGuuMws1gBf9wp86ZfF75yHIvK2CSfNvzJke00ZdRa0IofeSImsBk2rF+RlcL52du0d+gs4mOX&#10;6n0p6wB/HoQmYMPEDPr17Jffx/n6UTRh7Xlk2PN7yhcEYTst2sjr4cNi+nWbmAnrHeerfdN4TjTs&#10;4mQcaIo3MF5qWCM6M61cGd9llJmkpXeIGlNNYvJto+fIWuRfugWi84HxaHvaBz6115OzJphT7GGs&#10;7HiUaIako2IiDZjuadm2aZqbmfSvGOTuuMdPHwsRcLH3qyPoV3jfuQdjlbmUG4U/HMLkYPOCD/4J&#10;s133vwEdw+/RJZBbPbyegEW5e0I4Emj7ZuJlwc3XZ0EyxRvIcXmxga2bDw8WgpmmaDnDgr8VMiN2&#10;DOvHbMD+r2HHywJaSRh3g47B/hJlPRq3I0q1F2slmn/XlXyNboB+du+kdEVs3EtlJoP+eqsuFuiT&#10;Kmax97PN/NvhaSYBwOPS21JVOv7cGwArSRV+LIIvNfC/TK00XiWctm5jRYVjz/u3L+64E0h7s9E6&#10;ga3NBSYzTPEG0Vn8ReeUTPPhwUIYNpH8IcsTL20VrvY+U/IFhhthGYbcqkW1jCPKh+H4pKInqQT/&#10;GBbuzt/XcOcJliZ7T3dApDZVrvTXK84fDYENMnJRO+whqkTzZqUdHvcJ73ZRL1wAtvz1Fj4WOFTs&#10;sOn5vsG3UtgOCfoaa+gavvLdubHfdemc7FlwDLuSh52x4OL9H/beYfMRaW6J7ZgTqEgk/7YM9DFQ&#10;4jqG9XSbpR4Nm9x58Os1/moShRxF5+0CD36Me5R02RDFx28/r/rOoUt0GxOP3BlKiGFLzDnpvEJg&#10;A2uNobLHUVT5HIVt8LHp4mMz8UuI1M4PX73li+n2UOtF0AmjI8hp7T0JPeKaA3y6RXiOhnKfM7Bl&#10;wRpxHLknWGHxsoz5T8Nuo0bucLNTcvZWDMBM1R47jnbCYgpGtYVt8gQkKXVQCWx1+LrMY3NXPL/C&#10;km3L19wjUsPKhj/3HkS60LWayHC1XAZeZvCkpCr6trvrDg5RNSysNwd8Mf/5da0hr4vGTciOS23u&#10;7+sXbHfQO7BVFf5ngAUSHLFOhp1Jy3a8Gm7zwN66g1BPHkgK24ym7HcX88qhXQ3/E7GLpfiPnRLy&#10;x6SDHnSPXyvt1c9FGMMmLy4mjgLe2/5AazMsNrKdXg3B3KSa9+zUze0FtGP2EgQdxLC88sN7qw9B&#10;cfpPZ+3r9sEr7zP/H9ATg06FKsPV7w27cF6Z9vyRg1+vepW9Gld9LZTwYu9t9BHiMM+bN23RdQTl&#10;qrE62egofAigwLm/zgfso3SUuhQ5Q/VoaTf//xi2Zmqg7jOYVQrAZQR9CjLkqfFs5lHXsZV/ZncD&#10;z85xfJf9QMMFgL5K0oOWstyHvyqSEaxDyuJjn3T8lAv5aYPCMLi6fr3nsOANat2aoH0y9/Puhp5e&#10;rR3Fh9+6CSlJciVswQ4+qHnQ+4j94tNgheOUcQP9ut5QOnXMr5h14GXq7Qamzjk2w8rrdql6TZX/&#10;xbDLQdRThgEnBUfNXP3IiHPPIsuzt8nutA+N9/A2CWFLEIIv4j7OnjbDgsNj2diiAJi7Yofl3ZTA&#10;TOnl1V96DnyRwt2oZZjT5vRHgN8OhAo6jrDpUAF7TQM8v2Nv6IsvSXUTKyq+z705R/Lp+LQLv6Zc&#10;X0Cs9YY0r0hR4QFu9onxRqDut05D5XEz0HaLuEi/qGRpw7suEgzSnqQUuOkZrtGthOEfJCn/GcKT&#10;F1eCCHQTYM+Ym2Extg0Vv7osDFszb6lhx/ATnVL6XDJ9kQL4e+H/tc9kDkA6KGZxSfb+9zYSZ5l7&#10;PXZ+D56snPjOtNBdz0B+VeQpIbTLdZFQfT4I/6+G1Rs69sZSDYUvkZA0sQ1YI/NqshnWk3m5DjCp&#10;8l8MO00yGdLTk7QlvWx70+0BIq/Lx+Qzi9Oc5CLK4eJoJ0RX1H0esRv2aQX/lw7FsTZwKvgYtlbu&#10;VGrF2T8Na9QGfLbwf4B0MHEMrvjG9RYuN/GEzrUxrF/JmTpy1LHGYn+xGkwKchhGc4My+tvl+zfD&#10;TnrzSCzTZKy2pk/UW5kZR9oCQ/xo2PM+iVhzp/817O9Bvexpigi5Ne2+6RnF8tbVLACSyUgSGZQr&#10;twX6kOi2EjoI/pBx45+G7XCxtF1XHMOW/dHNlH2RYiAV78eBfsH7squ4kmpgr6KfnryMfH4cJUfs&#10;ElReHVo9A12WPEVN2wg4k0LMsMvyb4ZNAAVtsIxBOn6e3kvhcx6hyemkhGmxiWuDc+Z1gWX+/zXs&#10;KNKyrHGMm7jkz3GV3KlcPdvUp38FjKMiIG/rGTFGUwW62EGPCexz0PstGI6GbViOepNBlmHnJD74&#10;P5tCX4GZy+RyYFgF7r/4uJyQiUdnKwT3fpM84qc0n3b3j4pz093IlSjHSzDJwasPVt+gNDiom8zY&#10;WFk+O/SdoaXT3OdmrzH90tASVzxXvRtM+H8b1oaA/hG7eKCIN75+WDiLpF0yTIwHdcbtTNbvilL+&#10;BpRCDQ6DhzU82JROcx0N24aDYxZQNWzSySj4Y7nPvxkWGhfrRheUv2P3NS0DIJATUtCU9aGgm8Md&#10;bcfdnG0jsrkK5U+8D0QsO5StXL//N8NangQfbOuuvRiW9ZVfPqcVt35Q0HHm8fOvhr3Zpdkc7J+G&#10;nTQTX0q2AF+Q3a3IEPQl4JhpvwWVM1nZOM7jB7SGBYv0oZIi1QHSGq5QSaZZEY7hR1Ey5L5A2fgX&#10;w3a0W2Ptlb/vUujmYfSBx4xlxtMQQYR9YUZhTYwkCJky4bss4g+ebne9JMtFPfXI7LD+m2FlTZa7&#10;/zLT/Mr/MGpAAR6cMzUa54oJtdESN9R3Q/w/DbtPhUZxYw4cZjKQMCuRTVHAY54fF6+u2n2YY/1m&#10;8yXlwSuIAsVjIn4w7ExHxrDT64thrdLg9VeleIL01RY87euVsTTYlzOFG9/4IAJ1fP82m2sIuj35&#10;PLDpJy578T3V7wkBDXpUc0WOI5RVfwnx3wyb3mqr8k3/zKfHszR2cslnDNEs1YKj0STYt0pnZ2dj&#10;5B+GXVuHSdXSBJ8voVD+H7sPzzK4vBe+x+4q1XbZkJzoH1C6ZNw6xZZTAKhJg0H1/8+wteHByj4v&#10;ncyiFJvrtb5jZ8l5M9ZMHwZuXoP75i2R974us8HLwYOFlYhhX8kystIswmPCtF4xPREHDN+5H/Rf&#10;DBvx6TWB1KGxCmNgim5+DpI+WF05In+uLR8NW8j++kbqH4aNkEDSoFze3FYfvqMtSSPQLHk07Lkz&#10;DqmnvS2OthsqstHONVFhcjAKOWCcgXQUNAz3DKYEkYm1Efbcdwqf87b60pDhkGXNdPHlTs7Gmthu&#10;os2bLU1/rHcibLDNR44aeEym9V0WTj3GCWumvODi+8ieV6j9i2HtTnJovm5ArOkkK2BLYTxvJLnJ&#10;L61U5ijtMz447w2dN1MBN8fifxp2ewFBFJO6eY+jb4RYsq8oWEoXroI278IKLTk9VAPxYzmLotby&#10;NAA1K+DjELFfTLnOOoGrYUMnWKOQm9vEzkPfIqMAMWSpefTldoQMilF6lLXuyUKO9T7eBX2/V2HT&#10;wPm7/DuhqV+0TRi4cRTaklVuYf0Xw0r16veya/U90fsQecSd6svbIFPQsWsMHcFRwqbHx+hjexF8&#10;jTcnexJKahkPaEKD9eAVfC2VcHDtm+iub0yyn7+I+FVB0bAE4kfHqFjjOPIfDDvu9v8wLOgjbxhN&#10;m5vOW3wDjO75Nik6sdAbA7Yti7Fr+xla/RE9ARN9TTTneXtHYNOAb95EJGrCUR8Jy8unrhyE9hcI&#10;fbfLZJgjyOJNR2sgU5K1TLiLFYj7GBBPy6P9j6N/7FqPLs5tPvDQw+1V7F8Nu5nCbgnfh+rPF5Dv&#10;xliybn5Au3hXKyat7lkikGWpxM2x4XmBBeLGeAdf+IdhS/GLYTVA3kGSNtW17y7LRghKF2eTZBj1&#10;Sewx7UxiB/fpnFdiB97/GbD7K6GAzbDZhyNJTsDmNTVrQsxh2QS6GkbBByRCwuDGD38hFwQHlfS2&#10;RuIgXBMrUr1/7ZtbsGtfczRvSetwHBaqj6AHvhh2X1r60p0Y5v02Fov+OkmByPYGnN23szCEujUe&#10;gvNQK5Sk9DjaoiIKolwhyPAHpU6u+WrYntWwdiGe9jZAHDA5gzQgso7UMXFvodG060rM3m+Dx9sZ&#10;iUcVKzkFotptXXz2XfpBkYCtYfKyni3DQl48+w9lLNhanPNQhk68OUMoOzm35gqV6hufu12/GHY2&#10;CtHpbfbLktMFo2szbPoGHDTS/zIOnEy8WWoTNi0KH3oB7mCNwpJJ9mybZiVpISZbBvSdebZNkDH9&#10;PKh65ixT8sWwjQCVk8y79zJP2UwXfP+thq5zbgPcRi0TwnnPwSr+B/ycVxplSRFHmbZIe/A6ATX0&#10;pdkJ2NZmLNoGWKriwdsrqzZYmj5/WzOFcLsDGl8BG7V3R6XyNTSLMo3SLHMhpwgp/2LYg51iWEn1&#10;rrIGwqrfX8GkLwWusgKbt7+pLxBs42W2A8aXRHdfXoXc/aG/zv1oB1VPUpkS39G+nZVhr7HU47Ze&#10;y+VCJarIDwKXI8zpTGPz6UO/Hb7XKufOks+bnv7XrklPwfDNNqFmovtyt8lzvO84TAe2F5k81UpP&#10;Myq/L72ISQ4M2BgsOLWrBGjVVNVAiWs15DsoCEfD7iEWw4bkYzJEf8BjzFFlBjZZfe3mRixqrDMH&#10;/EljdZRKRNrvCugyT/p6EbY/qHoMOyT+xbDWVJCt15o6ZK6oL08IhyO+ZYSx/nkWugdqA+s6yWN1&#10;oagL5T/smreUZm4fHrrQSaI82PV0J4kZoQ6wxjwiweSC4kIve4eFu8YiI/xOeOw6Y1AxpV8H9uT0&#10;jd+DYY8TmmXYsz9ydPr8sSEEJJYO++qo27DLXaLGeZWe4BtqTRLpo6PkcpfQuxRiWNVxeMfZFlnx&#10;ZPHlrPVhOKNXU+XWazxr66X2VwMNq7QzENjqQG3gKi9GOb3PHAA1DMYq53C7WygHgaNdEhYG/KpF&#10;JJKiyvwKM8S6OaBlzm/JE/eve2g9biPs5ijLrrHDUmfSYhJqc/rGsA46ht3dpbzUZTwb9fT68iFg&#10;d8Vcarsm7FHj9vo9+FXqJd2RCnzYNglMtuZnLAMrwkdPY9jIUYbTdM+0gnrwfCv56moXpbaw7P12&#10;uA+5hzW3U6IgGLsehheNmID1nZbd+TfjfrVrLxREvi9wEEM13b+l4FvjVrh6yxrHGFrTI9EXj61m&#10;MI2HNNUnQ26rnZAYwssbVbFmyPBg66WeUGe4X51n/gic3aRdE7Wqcd+B6EpoGfYwkOuXUbVVauB9&#10;exuonLf5+Gu7T4rYQhzObLTUPdYHRhYVY1k44sgscr+339e14Bz9ATffF49Llx02maFsEZvZb7hl&#10;ZpR4OztFaoP75bydFH9ZMQkVak/cz73nIm9ULXz+WAG7ed9EF6BhO0jUAg3TjpwbpT1il5nyHPcy&#10;bMAply3ijHvA7qvwXpxaP51RNe6R+RHWtn6bbmj0thtWqg+bFNZl7bf8AB45neW4DC+PFuWKkuU8&#10;yx2+csRhRpf93Yenl82014dIy5xA0KPtv9l1E9kw7SyCYSrp+4xbz4TR94Q3JJ4Tyv8zKY5mk7ir&#10;9Ts7aMUty/VdEhn0Rl97ko00qBMxy2jTlj0O0zQ5acQunXYTjKJVoHps2t2rfaK4GR4MVtGnVUGw&#10;8XjTxyu2ifg+jqgq24Z+DxbNcgCMKWPLLY97ItJJvSuqd8POgiNv/hXCEceKcP6+G3a78tNnKQfG&#10;lzaP7gaRMbomFSowP6mQpGPX2jVCN/4eYrHoaNd2ofhaaoNzbp3Cits+wjmPQ0S8ITnTnIB1EbU6&#10;npBRr4dZvHVR2kx5wTBamFfpHobOyH7+Pn0Pq7W+OTybPoII9kuEd9X7co/JDHllPrLVnlSVqp+F&#10;MdJiq4adu8g4CZZMYDDs4mQz7OYAUzAiVSfbbanwlFoVeQjYDVQsmk1rDbdTSihFAc99bPo+lk7L&#10;z9yefJWLQAmSf06KOz+b/fYi508nHLfhJL4RvyrJslJIgLmwS6MeAiG1G3ZF7JZknqJcDbtyZtc6&#10;+11l03dze1pbtSONdapadZbXNp58T3Wrw75lZjrbRv86XN6WPjBGWtOYGnZY4iQ0moM24++Gnayw&#10;7fiMSD142Aw7G9BM1Q/ZZ4dMnZqGb6rYodQUHcf3N0I0r7W1a1+w+ZAAympYXQ4doXbFHBlbli3N&#10;AYstGI9vRGMhmfF7QUqYJa3ImnFV1W0K2CN2STbDnswMzVkKboacKdIERWClksEapS+Yiy7hPLWJ&#10;tWyT6pHjWJ2D3x/W9sPjIqPzbTmXOo/gNRg3Vja5xrCZ4QibYZ097RP2zbCHywOB3j5hFFYvS7ZS&#10;avisOQmQXFWnJDw1ytlf4z+9xIiH0RFYntpl+obERLzEmFdJNGATcFsyFOIy8DaheN+f5xpLbs2q&#10;2L4MVQDFMuzmEJVpGJrI39MGgqrl+lfgi2Hf1xx+Od1eS0kMlFyvWOfxZmGMNJ3jfJsa7vv0Bcqw&#10;yT7Yb1fYRkebn2/erLefM9gI+yz67f6LacOGcRnlZaGRpsWrIx6udRlOQJrSJ20e4jw3c11msQEs&#10;XtfAOKcafzIikEVX3SdpITOlDRSGkjVSJiwA+xwM29ONS+mNYSftzKi9r8+qvXSYp1M+bTkTDWHf&#10;mohrxZM3LW8zndAKkUzkPbo6TGHGsMsGYXn59DkD2+ZKP1evTa7hfSWJ5b78U3udpgO7Yd1s3E3b&#10;5cp7p7vJs0U0Skgi2GLNLL0cXSU7XDChkMNsmDpr3OhsAs7AONbRtTdHOSh0LiGOLgqh9LxfXFyL&#10;THmba3lAB+JNY4l5gwRUfUdT3JGGu8qpIr5Ee1ONnjXVNjcCRq2Bmx/LkpNO4sQBpVHF7Zo9xc17&#10;hszRsIeT04can6nTOJk0N8M225wnSW2GBdR39jGFoSFI+XJM21uIrl6TEDvdbbNx0fjLmoE8JPQ6&#10;ATHuJmAjddZNWRml+3Aa6MA4nqI/bGkHkt4QkICdKN4kFTK0vm/xsa1ZLNgvI8Xvnra8mjWJJBC5&#10;lGbFsG83JNCCZd0lmftRk04HNqLA3eZaE9JLIU1RnqleYkksu3D/a1iaqIZ70QXJpIC6cF6TV9tZ&#10;FA7ktOe7YcWXG8wEFZr6sjWLn3khVB7gOd1saXhz7qBdUml2UkkcSdcNjypbDrJ1mshL/05HP+V0&#10;dgQ7/3EWc1Bw1ZBuo6y5uFLI5nK2KgNr+AnBFb2T3H5ukZBJgr+rCPMtnIDd8FSueN77IXtsU6PA&#10;8AMg4kLe5LNPOVwFJLL0c6x28AbhXwybTPCw2sXBpBbt3Cf1TclsWewBuRs2s6c1PKG8VAPSeQbX&#10;y0XmdQvC2zQ6jIfrksDks9yv3dCOr9vLIieVXrUthobnc5xgYjAoo4hdZYUE7EqTy4UDctrZVWBN&#10;NEJwN6x85HVggY5aGpuVbqzWaNpnTgAJLvww+Ga+EDj4PrBmPPHM1UjT7IZqjIfUsN2stMG/GDar&#10;2P5QK7BFQob0bM+XhBDm9yyyGzaPci6HPCjMFkySxbWPtbHVNNhd0kVWFTLbt/6G2Ni4TmYEWubJ&#10;i/4nks74H2r6ZuJ9izmDWpLRgNKtIe1r1KjPJMnA18XGvqMY80s/IDaagA/DRtFyOzlwg9/hXifY&#10;gyxSbbBbDxkX9ti+8j4ohp5sQ9Vgp/9fw8ZF7terwBMJ9muTPI3+D8N631VhN6zs5Oo+cJwXSJ2I&#10;FdfL7zGtN9BsDZo1gSxiw+zsPCR6xsYJPCeDmaH4p3dZ02xNfNmEJYooYx4TQI5u+rbGgKxt6tU3&#10;woNwmDwLcpPyWG33gC8ZYKaZbRJB5krRNu0MfKQTzryn1T3pCYel0Fy9k8UEv13PWdRnTqF+1uRi&#10;hdHADO67YavariOATaK6cG7+ju8I1ckekLthexeZtbtLAenwUM5/MaPQtA95o93AttuX4Sp27QL/&#10;i40zsiVRRGwhA+/sEiUDSDxN6ioaI9TP22QdMMQ2hUzaLKwwxlwe6RYBc8hu2M0EmeA7NFgowVJp&#10;KvoysNNscb/ebfrPgN0nvmjT8SwhInvJ4Q8ZOpKv1NbMlg9hHhgj7YZNDiPhTUmmA0JcuD/mvvlX&#10;pD9snB4M6+HA5gcgkZOnMnSXFxxd9M7Dgd2ua2I0npWn3RemVBAeHK7RKHbDSIp8padFBR5MCrBr&#10;fOOyXwEt0fHOCXIT6cA+zGUE30yZUS2khcgD3MRl6nVlL0+FjsHiOpLZIfloWwLtg5lwCFg4TFBq&#10;DLWuLPd9jM095zC5WPuHYccVd8MmMnGHShaFpV+M2BXbFoIZjfeYPhp2tpuFw2QzSB7rOz9HeVMl&#10;RMl9mvH5dm4aTT74aT99M80yKesEZvHdITbexIKXzG7OumIdtlI7zZMBcdQpQV8/pv4+w/eXsNly&#10;bF68EfQpD+ubxBPXmVJujlGHDER7mShkO3gHaW3tdiUH9iUvIjcGxrDxkG/JV5FEeTdjVJsbwE2Q&#10;zSl2VlJcqO1WAh+JHjPT2ASL9LTNCXAw7JYjxzSF+PtHx7+3tW2wmTZ2Pffm/28zITXSarCrNdpH&#10;m93Q2aLP2Kuiup8ce8HZsiviRyu02xLgyxpgz1mvZIIcPoB9+MuAZki1TjVsuuyYwCwxpttKt5Tg&#10;Cr97xuf1GGxBH9j3NnPWrsBOGui9Q8nrs2n8vKbJaEbmt2jf0PV57snQu2HX9lzfOdFBQogxkB0G&#10;l4fV99/3mc/BsOPLwCFVx3Tn12gbFcdegVTGzvhOGB89SGquD2zbIHJCuYcbFZrlFRXLUaMP3HCp&#10;865bg7rJCojMw0LrMl/JjvYVtoTTZ2j3q+8qajdsyJy/xXR7wI/mB2VU27vTF5TUSgrZM9soL7sV&#10;vnv2kjubbnJr3tX29qR5e8XG2k7hWqmHnWXY9y28c1f/7sUZYtWLWp4Y7GJk7oYTDobdZ5XHOUnV&#10;El2BYxfh1zt1Ibg9h1swdcSDV54bAf6RaNBUw30cMZF8/7btic+bHjJJHX3GEEkL4JLZBL1I7b8N&#10;c48G+mFeb28k6kkTxlOw2L2l+/xUfUVJ6w0s8zMIyT1bZEZBq+8MRwPnR614Hee4GWY9TpvEceb1&#10;6bjr7UnMY6OlocvNgHHGXdjwpzq1xgx26XQQ+mjYPR85/VotDJub3KGo72zaCzhDvv/Y9nUDIM+v&#10;xR1WunGHWVhsmfh9nzalIkLeNYaF3J6ahLONbP7Acq09ytf1F591WeAz6WKWDsBST8+Scj7jeXsi&#10;3pUZb5xorhN3M7eJfWt19Px/zKCv7EZ2SluvrcOJCD/VSi467p39MebAvcKa6ixdWfEx8YAaQ2DV&#10;AkGtF2gV7G1ZOmGhNBCOhl0YvwxdFt4kZmRoVDzw6+3ihhXtlj2Fy+bNF2aAC0cG75mPLSc9+xvp&#10;M2imJtx2WLPJ2d8AKCdrO0KXzaN6XlzQieP6i8iKORKfbbalQS2+bmUrc9ehrUu19OCaFIYTiFXW&#10;7HgMHytgD24DLLUV+lqDwQJgkCYsOX5Rvn+EntAn801OlC5JtszTgoln3CGO510d0hiXjftt7gsc&#10;DZuIB7bBXbBHR3+TwtGENGyTxYnQnZ8kzS+MrGujS96mJuOjrcptBM19TqmvPocvlZnBKiOt/n/D&#10;bGwRWWED5ZCwTWs8XTlq7qzIsyjSTgOh0UnN95WIt90toal3jbBVxfQ8DJQbGF1LUMjI6/l1axfd&#10;pOumjMw+l2FXTstOIpSn42bYnOfahf1pQFm9cJ79CRwNuzLDtnMFpMfDfH4RFpiHmvvumdzSEzh3&#10;62EhiV1mxrdlYiEWmlab854utyFrbSZHoUnKyUlRzDAEpPvmlGQuSezTqp72bF9zt0UaCNv0An3F&#10;w6BxHDlj2IMFoTw9vyxhFzj/H6M5fBgNz3VK4PyXyNJ1Ub3/bevZYt1U9E1uyTxzPhqcDBHXGsNS&#10;3Ijbb7H9atjxlf2aHpD1/GX6obNtO7DQO9d/51L8fpOql+uEVA77a1Z69IxezZ1mW9QfdiMcpakv&#10;05ozNaqqWpp6YXVCDxkY9nAMRU49DKKBLQCEjfrztsTaQk6IzpuaAwfDHpstkLGWy0c8BHLz4KKZ&#10;B6Dr5jrX21BH+aJz1jTE/nJZeZJgc1OuL++GjZQ0tkHhi2GbkDTC1iLjSh9Tgjcx7dvsc4Oz49PF&#10;n6v02qy39x/JmebsJ4Fe8kkhsDnv5X6dPBYEV7gywOKqqmqGWIfxwTAO4yDi4i9R3RpXQZX4aJlN&#10;TYH1kD3YQz3xvrKzYJbcWY//TNcvS9iBdN+Z1edeCNMhXwHov1P4iPgGocXL/Sy76ZMQwnKmGjoK&#10;3Q27p+cFR8MOk3saAxT0/NN+Dhz7QCjgezYpw7088Ny7Gw+wLVo82SeQuQduZ2PttWLtFT2ZiNKi&#10;CsVSqYj0t2E7fA6KNtrWRitBAGqPlihsHyK/NICrPZKfklh1i02/AknsiwW3tLgjvd9ES23smhhc&#10;KWPZseMP3TcPvuldfuPpa88zmfGhiJbdpRg0ODXHu2ET/EvLgaNhZ4l/nBnEFc7f7YfXhv5u2Hr9&#10;xt/F6dfheb2BTFfmQsDSP5BROEWBEdpnKZYCYyTaFD2G6Eib0ga45AdJO2UYzmiRqtZonzh7/GLu&#10;ftdJN/J77p+1TWIqmwIb9IYe4ZsIVwI6zJw6yxfcFq13Jusqc+i1rOsAuy8PJv7TxgqKJ/kUuuS5&#10;zprzWF3H3A2bi1FfJr0Hwy4B8ZycB5LzslYHV1jZDduEtPH3r6/Pk2CuqwpbwO6LkUKtlwQ6C4+Z&#10;EK8nL99/hLlaewJ8T7dtpPa2Ta5Vt1pO5pg38BkcqRY2AQaaCdbQlsXX6fvab71bo1K67jOnwwuC&#10;EW5QJr1IMRYuxiYi+m8dEFXhEt7gPBq2Vw+u8kjaGLax0eDbDRuCOGS4ChwMOxjX0qBQkxbDIWUF&#10;It4+cv2LYWOwq6QNoUxRcpyeCck3nSQPDa0m9qa6889QmTw8m6VxWmE80u2KUozyWqfEjj3xsPtu&#10;jR4CGpgl0AbjFcvcL7mLbMUjYx7N60LAEghmtsSFnVZf6YSwrPUybbED+xbow1w6S+kxCVAVAnfp&#10;2mvP40qd/9YsFFcDWx4RDoYdLo8bxTNEJVXc3H69+DxrxZ0P70V+PF756SV047CnW8AqcIsKiSbs&#10;T+GIa0jbpBsKc6HlznWr7WP9DckYv+dbwKaqboc/RHUMTBmLDMlWA//01g512x4bbRNyI+VzDLUI&#10;bOMuC7Ntinu3X9vz1ndVnjGi73Gpb3K2B3v7bmraENHvm95CmnJ8yf70qJvgs+lu2AixBZCwG3Zl&#10;4i3PCJGqj3Te7LO4QpdFyztpQPvMkBfUrlva27YL0UsKFmRvsYLN7HiF3HHhWZdOz++erptdVlAn&#10;0STrNE8FEkfz2iB6LPtu9bvUC8Zfxt76wARrgODRCC5FaVTKAH64rHn/Oykg94dRnPwr59VNRpuc&#10;bdfSsIxGqPGB3bDnO7XhoJQfHbDBCDtpeRt6Y+61B1TYDbvl9r6cohBNXNY1vmgZ6IJ6WYsGtLfh&#10;87wjo8vip7X2ifkCB8UDX3jtOLSmd7tXA4f5lj16Dw0wnlXlJacf/EZ+zvOSBRAE357DgfQ+PCia&#10;UZzy6j3xdfTnb7c61ewxbMnKZsvBL/POrKsP9YJH+ZUZ30TVSiY7Vqxvo5CyRpYLuWszrrAZdtxh&#10;RlNpOnw3z+VoA/HXsBvCq0N9EHVHu5cqDqApOoQUvMk8hkW76au6+iAOHnKIjC+zsyVhChs/mThZ&#10;t8s4GTI9qqI1BZxIsc8esGkGBN9NlKxdq/zwPQ0SXfOuXKHj/GIkzrRtNwofMWxdenO7eMq0um+a&#10;+hkeH0sxI+wMMit/7XqblfuW2Dahe10pcost+X9IzqNZMpkoSWx8mRSnLrsYh5wEhlaWCsndr8NC&#10;rRAFTTZyV2V7MN6w+WMNd0Fzm+vaA18iZr1MpIUVVx9N3Z4i4rfpABwz8bKJg3JdmKapEYIhjp+0&#10;2LaN7b2+k87CkBlldMxYsQgQNUr4kk3qlXyj8ZWwL9PzqavXvrG7sTipbTL9IQ10czvxKEsHw4q/&#10;4092reBteXE1GDNrvBKfqVKhY6hH26wuOkgloHEw4EbsCBp25W9fYXz/dpHFSgzr+27mC+1/SeK1&#10;QeHrAmhLmalfTgMkkNJBsHwy8ZrSdqWc/iTTtBJ2i4F/vVZo3wrvMmniSlDt4hkrdZZ1MCwaVbiv&#10;uUrW12y+L7LDGiqmbyiv3ZcHTjo5JLrHyLmnkS+6zjoJr5AhpgijrZmCpNQbThsBX96ZlTrnzgct&#10;SuRYjbT/T8NmTEOvms7ptD60DMsMOT9C3Uy4QWc5he2yOoYZu+xutSfIbWIROGTibdhvp5gAx247&#10;YBNKZxlrJdxS27ikaiWrGaVWyyjmi6ZpoIQS31wyuXBbK8qzJXmJ051nE3NDo7o9jtvfQ25s9ZVc&#10;Bbfc3pebA2ZhN4pwCKubzMBb2O6SP7jQIVfGFRBvEZv4KMDjumKRHwzBNdP+fQwrG6DoD+pujyns&#10;htvjrdLXrmvitIXNEi+Fwp6J2wMox9E1UdZmwIRRg2p8cEUltTG7p9NsxvaNcLGOy+eHH1hyKrHc&#10;zhDSnaQvIZj5V9Y2/hn1NFj1xyEncO6P9Ot54epo2Al2QMN2H9vi8fOmew7bBRQ2LcSwKGnj08eu&#10;1oXBYYCBZlwlP3wF1Fkx7GwTIbDK6L2Mp4/k487Lfv0ne8jPr1v4TS4ScqNhwBVIQyCypHbLgGui&#10;ukC8V2biza5Ry6jkuEpf+tOu2+LSYTRNYmnsuo1CNfkWr6OpIrlJcmGiw5kDfu4SAdbgvyf97hnG&#10;+wB3SYWl36wRjwF7/u0E9TCHOBg2E6cUyuv2ApDkZwrlG32tGYEm3mCMvmsxP4+3KVciZskxaH41&#10;Eej8+Ab3HW31PpKnLsiyT7WSFnPBC7eQD1EQzEBvjcm92Kh0rKQNUruN+bHrP1k2c215fMbCFbB7&#10;2/E7cW5Ju+t8ILLEzdYeUJS75eUVsOH86iP8bBOdTftL95sCvw6pSctA2l/Lg9swh4Blhh2Ui6uj&#10;YZPEWxj0q5d8Wh4nMyQq2xfDjtH34Sxusbw+qtI/6mFX8xDJS5W+vxcDSeNSsyCzmHD25NLyXzu3&#10;27bxJLz+3gcqnCGrAxawuXg1k7JCZGQCdFhWl9/QOF5rntgz9+9huPAlgjvRGqMkw+12HR9r5dO6&#10;UKgGPn9sY8iy694tJdvgVTPPXRm/ZUKrbEM/0H2fSdjCUlU5TdHR2gdPD0ucTLbYVCto9Ks+tFKI&#10;JdYwLLokiWr5bti/7qC0v7AKtpJ+80at9aqO+NE3ZfEOGr6E7f7I3k/+3h+d2G467WpUWJJsa9oF&#10;aYmzHeyq6+0BO+2A+l/sGlVmX3BMEdM4eA9GAF+ckThu3srimFBl/SqRh5Ur5lYRSa3IWJYe/hN0&#10;1R9SNq3tV5yFm1Tu7ru54MHWh4QAJLlbKA3TSv3kOCntzHP9hse9qsrbXCBjZSQOyVgQHbfhGDhv&#10;iQyQGD3OYw2Tp27C/jm3d3gHzZ8xbX8wCMwJfcI3KJiSjKZUSxpsIbGl5gXJm9/mDtdCU1NQHQM2&#10;acgdzVFzfnc1YTn2avpYtGOE2PUhfqxDLDUTeIqMt4qzN2VRutl1Beza35gBfE37MiQw3GgevraA&#10;lfJ6ve/0W8NHPbpFwMGwMXgKlQqnHgG+3PiSaL7v7+ic3XE+5z52fZfKYFP4RihiVMxZ+OX6Xeb3&#10;1MSYucNsjnsnQ3UJLnpeuGsRqFWe3xp2+83EXcMAWzgqRUoWxL9vvvyitK73LwFbXWSgTDzd5/3C&#10;je7gd95xsKv+kT7PuaGiyWMUOnd63zXrTY91axdIJhkesmc72mK8SEZUTC8jBPL+iXN8WN9Mv1k2&#10;HVEJ4zjC5vxxHtQ9uphdi4G4cmF+nMjPThviSlFEuHTOGJHAsKYbp3N+NQrjx5iSh6Ea1jb5xWPf&#10;mtusXZp9bVkuDoTfxzU73naxvyg7JRvk+ur7yJLHXB3GqIgke8CuGILrEp8fbksGCH5vlTuSQqza&#10;tV+JoWWD+Ymwj1YN7HadXaUIX/K1hKPhRH1GNKfKh2spubZ75RxyG3D2aFbdwRQYaYA9YFP4vM1s&#10;a7QFO6NXWZGwqoKYUd3bT6K1qtEsEy3gJJvTfRpA3tCj4C9KAEM1rPxv99HOxE3TvuamxtwaE2M8&#10;bD+81ZSKspsYgC2EFwTr1fQ45/k40Y/x9viuIwHijORzm4JS1K5PbmLvpJZBMYZ9mwk3g2WrG/ST&#10;hAUdE5Ba5BD+YdjG4eYnyRy5NzzQO6CzI9w9SrqtW4S+DiqHud8hYEMDvMPkpNmBzXsQ3HzC9ECp&#10;I74OnmVFjOLgVPOgyS1h/O163UYxrKufv8ewUe2n96Q6Z906/LoI6xlsmxC3kFnjzK69psMjJOpm&#10;3t93y8+gGd1uythGYJNARi1UrnI0fV702bH3YNfT+5onR7lxly1OHiL5XBEvHOy6P5a9GTai1S23&#10;RAw5DueREQB5Fzpb2uBgwMOON+Vbp0PApvG8vRnYnQrYEUE5tunz+k689POskqp559WVSz8cazy7&#10;aZYosPNZM1Kri/ZVoPITza/fKM5tFnksBOK7VwkwFtb2bKTybHiAzkkC5/6+cN1hBWxbxcoB7BNG&#10;bn73iheZOPbrU/9Hu/bhZpOnCgjT4e9TmfOjbvTZMtXYVWIHfjfltmvYXzNiK5baAl4iWvQz0aXF&#10;IdObKjfYy6U7hcH2tJFH1KkANpexQ+zRL7QVGfTbcVt9rvtkyjxBlZcxOwzHsIKuoFT55bqTIezd&#10;09tGTC/alviuJWGtzg7K7hB1hH1ElGM56xW0mjIvqkeoiJoH1uG1AyxqspQUEB15t8YsbjtLGMjD&#10;I54bQhH8vnMbRRrfD8SdQu6LcyzDVrQYNl3Uo+XHtqKY83UPefNRwDgKKmEvPwTs7BpuWgy1BVuG&#10;XJ4KZ3LCl6KYCleMmMKTpLTwlD5fUpBpwSbyFTxq9Tx+lJwZHWwamavxEj94ekkBs74NJBPYcIcN&#10;jVOXTEUbsHFeHMw2vRD4nMCkNuZB6GSb6x8h2ntf6wCXB5xZnSTrEdAVIIo7P4of66xBItkl5Pbt&#10;L2EMO+0M0+TkJmIgOAsvzmPmvOiOiTgWTBfgUH4I2BrvceLuHyG+zB2JZBFNdOqWGs7WsqqG9WA3&#10;VB+s+oy7LfU4DQii6AdIgM+8hD+vxovzfvt1rliy3jHr24H/WcLO5akAWpb4eLDUJ91V03e5q9EA&#10;VQ4DJk2+RQ15BGHy28NSLpBVaATBR1rcBU7fMfS4ZeJQDW+df2wwhh1lmO5FM5wBIVnQRCuNzq3x&#10;h9rYun2OvRJUUxrjnQ2t/GyNep6K3RVi1zpAh8OX9ea+JKJcqZaSaomn1cSfiYrO+pdhsX8vgIwO&#10;6o1JoXnNHvWR+96LekKefJvHAr6o6RkXGT4HtuEkWEO8uzBReB+YTyIFXb4xS2pUR8jEiTSzXFgF&#10;nuWBtWt959vYlZ5Zm0fw7f1N3YaQuW0fZQDUlooZoFkOWypsYVIT1d/H9w8DOCCT0+mQoKPrKa7U&#10;spsfzNqyArAUBaNM/XORAV4ydcvS8q4Gucori6EULo3cyUl5BejcAL0Mi6ZkJD/sGYjqI0B+39vu&#10;MawyYtr+dF53eY4eW2mH0YFdcoxYl8syIcOo2h7n9lD69/N6Ju2w953wSH9CbxuNkvmrkvo1PeEh&#10;aUY0DLvNMc0u8hbfOEJMuKy9BnixVIBDKj6GQyYpBw8T9tXOYV6RAJxi6Expf3lIxU7FCvG571cu&#10;c+lDRIoAQ6pn/bLRDPVBsHteM/NuWJply2k9exe797Lt9v5E285+ZHWTxzG/zEK+jiaFlV9ijyTy&#10;7tg13SXmk2nX47O4i+e9cLaCfVklyUGVL/W0ovafq1gWJVzycuK5KLl5xpfEOoC59rSDYUMV+hXg&#10;IMHM+YqhKuy0ZdQGtelznC9+HZyWyu+zJWxmXBVFAvs5FXHCcQXbXWlBViX+PbbT9sfZW3W7uQ+t&#10;N08STClrvJJFhTgYNlHrz7YfLs4GiI9wdYDNm7BHMmZTYi//SSfxwQSJwwRsfwEkalujc7swmMuL&#10;MbqsMwaP7OesfOpbYVPWmBXGbfY15/KVr89GFLMY7vt7IweN72kj1GYbo5PE5u/3pfx1j3DtWuMe&#10;Ql9YGrxcgTeVa5MD9nO+zL4l6N7jRVGQP47rmMsXdWCJuXgGW11vQKbHD6IuJVKX+xWE0wWr2m4z&#10;7nAcMQa2nKlxor1qpzmZ9ocfKIiWnvLZPDfUGuKTHRrkI0uOv+bWeESNCTBeh4FOnKCxc9wXRAlz&#10;W9K5L8aPxg7W2HNS3H1Ng31+ewz4vn5xZq12WpyX65WhICqMS96/5WYuBUjxpqcJ2KR4CG4d7pLt&#10;TKUddeeeAUgeX4CXCKD7MizKPo4VUcOMLHmtllNoz7vOLXzMNuMBxqMPcEymB7tUdLUXo8TYlaU/&#10;JTNTgKp0vV+55nKYG82NXeekEJdd9/6cXv7qLH6F/G7x+XG9wGNt112D+f1dWxc2j9/8Kx5Bi0HX&#10;O/OFceyxa2X/R8A23BVD3XfnG9hlgNMUaGhpTFa9ysWQ7ND8ZcfL6XB45h5IiIeF+gmGnnuaCzrZ&#10;tM8vlibXa9jtBbpU+BOxczzgYPJFiMMuKjxudlkawZyRPb8sMbfw5jdJJ8OWhQ1rNF7/L7ex8ddB&#10;s5G5DSuPzfODb9taAJ5bE/i5OLMoGToJQ5r7ZHk3dthy17NZjrBa3tv8HSPpwAmNPdkWalhcQCYd&#10;Ei3c7bqCfibFcwSaIIv2MhvaJMmrEc6znEmACEmOwXbMxAnoCdh9t0IEY9hI1uenc15IpkrhBmsI&#10;VsxIH0wTBQ+3P5JRs64ZXu7DUCc66TwRDsR+M/TleFR29FjDA1i8zw+uDL5uN3dOdX909EQgnG2T&#10;kC2jofLN/kN6Qkh3ixRO0ZdZMuHa7BqN/XOZMBxhAVWZ2djRrivoQ6RGTvBdRXvR8L4fmNdH54n7&#10;u+wu1q1LphjBtqOuvx7V1cWPLWbDR03kl9uFlADHmXthe47AJBZbJFFOFHy+dSZabo+BF7+cZdRy&#10;+Intit38HX8+XHygaCJzhHn5qxb2OhYQhOf3hOXPr3OKcralo3E/sa9g3IKrqx/PgsGDFdRpstl1&#10;977pFyhvllqdVLg7BoD7pJ21kbYcxHyJgJ3Nq+2xqs+/ilY7pffyn5uNt4CKXU4vxOu6xxmkL96t&#10;Am9B8XquaSeCD7BWhhEjtsgQQBdRXb3uEWnrXbqodUbDNUL1dGK7TjcqOM6cEt27Uz5m5j3Kbeh9&#10;5g1sSnhQJpDcu2SuAkV+wL4tWrqUWo6HK20uKZJOw7RrufDoCBETR+8Vh2SBJfmTxlhqVd7ULuRY&#10;KWbYS+6WT5tgYkg1l94r419/8V+V+SVgX8SXjFDD5nfEQBIMlmDa+S2nHTZfj+m2STC9ZqoSkrP2&#10;ATYOYteVAUed7RIDcZJAH5WtFZGwRuOR/C4bdzDgjKMW+rvmQGPjycnL6EzOloI7c5OnA/bukAnB&#10;cDd2DcmVMzgp37I2k2kNf4SIaX1MoUQjKmqS/mxxpFZN7J61JoBLPNgcT2Sk6SiiJwy5av/umAxS&#10;bZf1fuu219Tnj/CVm13XOF2DrGs/G2wL/swlg78D4JpKRu5Pi9o+nAEhtt4bkinKQmYioeVojOkj&#10;J8fMsmJq0lDuAxG0WnT/Mm/lcmRrv/lhu3rc2PowwA4mIIUpq6ou29EEvkUcbXa7Lkf9coF2JRtv&#10;Zo3P6POlgV0bOiUTnAi8v0DFYSYo1rwas3fJY6IYcTiaRuXvbpu8CmTq0P/yGxKZi1110LpkCbFJ&#10;WjL3wbbDeFX7VkEzALYq7w3FoRYfW3yH1qTQ2nLWvFUXLUeuDreHIUQlBdfmIwOsZbPmMTxUvKzP&#10;guhbVDOZZEyRCUUQHbxmOU0zFPzn047LWKq1lzLigIsxaLVfoA7G0Da9qB3fgXufk5Y3G0aGeTK4&#10;sIk3CUL5o0pnECNyBpS2KpvjfwUv4am8vuRcSHvnYi9/WfFiekj4SaaM/eOFB6OjUX8VNJztuWUb&#10;XoGlnOh4622sza0OV/kRaGB5gGbafzfrIPi2tzNw9Rry8avY0TlyF0Q3qRm7jiTxpWLatbLfcrZl&#10;ImB0sOhN3otd11DSvLJBm2aS1WnvpJ8OVxwsQqn9vpITEKyBnc8QSYSNB2as2hHgpBMFAUI8yu/r&#10;P4UY1pOXUMr9qrNtuubVXrC92IbZzTJ1wCgohjiGmGNGm4NlGIiO15DVdF8z35u9hKXsKOdAaEtU&#10;hxtSClc5z2XKEM/mZTWRmzWbJJjsxOurmyDaXXCf8R+Y20aj0eq8UrKOsU0wNo8QZtsg3q4S7+et&#10;KXXxXEab9q3dzXJYcvQ2Cxum2poVFpmetGFvfvm5O75u+JenRPgXw5qKb+KTd66GV9QPrzEsXuLX&#10;rm4z2Lz0JimZ5pvDO7ymtTDmdt5XX8+tLaERtS1599VHFk5LoIZjMB3vLNufRjtnJZtnW3p9Y6sB&#10;YsuJpmFTOGT5cJLCpRJh0vPmSMFZu6avf9stnMJKu7GSktTnVjgqKfTTVP/Ndb2Bg2GrQgaMDljW&#10;LAco8TSM+c/H94+gAil4deWLYd0AeQnD+Yn6OseWQ/Pja7HBMYPRcYaLEXDPLQ/bLBNYwwY6n3mS&#10;MmUsTIel7v0B+ySgbWaRCWMwgWsFEJpfKs9LXUf+ZIGjfcawGciXAwHHnLvp+1iYiRPwxUmi2uo+&#10;Py7dmUBh44yeX0K/nWJ2eEnTPVYLB8PGBqS2FQzbrO90+q+IBoPY7rfJSlJs2qnLL4Z1b+NKXs9/&#10;K0n0A47mcpoQKpbPo9OBK3Nzgrzvltn5zUU56RdKSLt2bdubiZG/S/A1c1nTT0D2Nq6Pdj1MnXIv&#10;m9D02qlGHXLzLyHxUpM9bC9x3wbJwNL3wRqdOAGLiiCng/6cH4dB7WkkbA7vTPmwjm6nxtj8As8/&#10;VtlHwzaSmICPnNRsXKmH1VBV94HuAtletjIv+GpYEOUmzFzc6o1c4Jg2unQyR19RkrI88pOQWyPg&#10;ytH7bDjQ5KKmIvvVRzu99vJtpkU2Pz4fgggb0zpEEQnbZcL1Q3h9afbk7V7j32yR5w5N0/UZ+Bws&#10;RxMCY9hDoK/J4zFBjQd2vHiP5g3OgW3IZoKEzJv/bW5ryTCw1w5shq0Dnt9+LN/sPf6na3s0MbWh&#10;bB1++ALtRjMZk74Y9nY9fBnrSigwCjCCQnK9vo/DO75qIkxj2Yj2ZXQFaiLtGo18vibj0inZsVfc&#10;aZbeuSYhR/tLzTNoFhOwRdpTb+Kba0OAFTHH7uI38RwNXzVtLrKP5X1DEEFN6TER26lNdxcYE01m&#10;UI/b1ZvjkG0C2ZYBm11Tsq12tsaUydsy7CSt82sYVD+9FTwrlUmjtmvE5rmuws8uidTyPw27ssOV&#10;Fp7stiUEDBvODxuLXojPwq537yNa2t5P9G5Qu+oZ0S4HKbgs+Wwb0aGT46vceIgEu5ocFg8YF899&#10;6rfzzfTPABcnGYsj11+yL4Vx/zVs1jZp1ffJxDNXK2Ezx2F8mLKoGJXFHjDXZnGKcx6GSFSupJFx&#10;IGDJmkQf03t+a3QMu+YoHTxzEbW/R/Z35D4Y9sgsgFYzc2qyXkpS6cdVCDDD9LFJfIjv4C28ecEW&#10;u+Y4/TuxP0InRGigq3u0M3ZtWk52Wdb/fG3eu9luuhtWB9eu5qeJ3LBuRRgddwyuhPpEyRRsa6ZQ&#10;6S3OH5MhqSjtwOYBWGyKll3r36A+lMGX7JyfVG7nU5MSOm8KGOFrrrUnDFDEfGm2GAUVf31W/UXM&#10;N/1t6GAruq+GRca/lEO+gSVJ9bHPNmnYlLa5ugqMSr88u9KxNna97b5t9ztTNVAfJGrieObdCDX3&#10;l3bbdm28Ph8frx1Ys/PC8uindb1QH7Yi6k4ewhStE3cMuy0X5yJaLZjf5EKeBLUZsgknICKxCsu1&#10;x2MzX1BMxdgG4kbFeyqjzVHtHvhdUxDoHh7mTphiM+xhgABgatFm5IyAGUCLsAPjAsyTeW8DdtsB&#10;avsj1jXEbmPBc/ObTxQE78DrRe2aV1ZSvfS8wVjivXHrGFe79obDjghrN3YF8xHWPklhDbDbex9W&#10;KgyfYudsPDRnvR8350AduHb9HP/aNvq2wftgL2AVJ+UveRAzNlyBvZw1htBJdrsGiZAYwU093rJA&#10;NLAZNr3mFb+huAwLQ5FwBBC+Tr++dXaY/AWsGC3Tw0xgtjjieFd64/ysVAa8IC5Amc9t+Qmili+Y&#10;ie5Nh075CpU+JrcSx9iVPHO4u6dQFxxkWx7ef+dgHCmBvhZFDdjYdZ8eC+PP4eAzIa84aox5bAeK&#10;52W3jeboFlY9q+eZES3fpk5F2QesxDkR80UdidJJeJuqw+UybAbv5+XcmmAZFuoxbBQWDF+mX77U&#10;JfzIOA22UTXnW84Btkysu/aXbns/ly5RxIUw0Sf1gHdwTkVgJYFz3kaQ6e/YNfpb3rPZ9QuzgYmT&#10;wrLrDvHgqdgG0BAdj1gyfdqiaahGyKQ7jcxEV29dM0fUw8YxqCdg+za9FZmz24ANUxqU2ChRhFRj&#10;mq8Ps3csz+G2l1Uux7AZCvCO6KbJbLFPs1zVOBq2NQXMIsqE3WJO6ATmYNgV0un9GMPWybRFEQeq&#10;6g8SsnD8GRKhQbAgzjlaTUUHgEO8bvJuMIYrfLHrszHaEbrpcRsFymg9cKm4PwMVguWgI0HcRrHn&#10;DqOXztlcJIQiUGzLhO1sdTQDzxTW2ooXDXaRLiS9bqDXzqsOB2kn8U0KN31DnYNAtNB125gkHqn0&#10;Xb4Ex5dcNI9YqEPr1xCeB6q/GHZaRC/3mal2KbxFxUBC7OaNFTSm7Xv8Ntg3jgJ5q3FXCvk1sm2d&#10;sts1CjpCBBp0X+x60ws6XQEn8Wyz8VFaGZ2BqONIdFXTZLo5bnOgOk/47d67sdTBMkleCzYtiHC1&#10;McDC4c2+zSL+4hH21c5mV4WmJoZN53hn+nuwmSTmsP5g2IO1TLDqoPMRqtf4a+rhdG/qhT0hbrDu&#10;JRD6TP0O6fJe3Vx8vXVmrmsMdBeids1rnNdwcLDrkdXABGThYFe3NsSUvHIY9mw2vJqUOOu7Gz77&#10;mxs2H7ume5Ld4arFutvC/CiqPeCXCZMZUrumTqtNcGXHou/izTbLlyF2XdvZnWUzvNzciybeuYlD&#10;XaXxze+zbPagnXajKFkSSIc26pZhXVxxvis2rgxM3l6T50Es2oEw8TGR/+WSbay3Qe/myV5z012X&#10;ReDa7brvAQ/U9oPvYNfrt9sfctZsVe6QKc2WuCDkbFN68hbosib7/Osvt2Dafd+h7D2BwFoUHS5J&#10;dOoUSl3ARFeOuyURF9td5OqbA/fuIAGThhG3adMBMzVbVhV3qjP2UlNxag7717DptLkHcJfKToys&#10;W3MVm3O6G3aiKTITartzHAZvITOL+RUTbPX6MuXbcnOg/pfJwX0mbDdj133e9D9XWTevLcLNrnGJ&#10;cJQhs7KjWFtt0/xOf/bBz3LsNXZt5HXHaw1Hp/Pd4jlC0v0gRKZOCfPqquFj+EWcmmiz2NX3mGdz&#10;kEC64H9bq30kX3YQzeh6fKKeVStvhk2fqQqcXxMUi+/dU8awm/3MYxTEA7f8FaguNwi+u/GIp+Br&#10;ebSVmajfjazuucV8U3KI19lRPEJHwMIhXpUydLvdv/b3bLmvRDNKjpkxYCSZH8snv6uT9dKg5fjn&#10;3EIY6Mh9nPppwvKAW8lP1vTGVzo1pW4Zx/SkvTtSLIgH9XH/gMl7quaFEZZM/lhDXlqPdHI/lgJK&#10;ufAZyTrDTnVcEGjzXXnKTLUyp/Vu2GNyBNQqLUL+ui7rXnKv2byPzjJJojB2jfDbj6y1LEPRP3+x&#10;ot41tA52jbYyW4octWt1tO8cmZTWAOk408S57BoX6ni0TXT6TGo23SejHZfUmHrcZKZoimYqj3Y7&#10;DGzZQunCcEjIfiDj3n4nS9YIx6pOq4foBHvwr8WyQhwMu6vk9JilUDTT2pV727wTDWCwJkHEGTfD&#10;7lm8oHzzCyjqTzaYGnfxM08sPU+Xg21mBIdi9KizXKy3UW9wJHWInZgzfEdtcc3R0e5+TUrj0lCL&#10;/3T7GbtGeU1bu5rn7kwL1MbXLbCETLqpPBiaqVPwJt/IpPVApPOkgm2Q+lhQiBxTU8NasrnmMoHH&#10;zQebYdPji2E/o5BtNgosVcSwHS2EelrOO7XfVBaZ0zWQO8266Sva8HeZ/HFxeo8D/399nYtSHEez&#10;hEHSYn4I5AULHGAJzvs/5an8Mqu6Z5GdEQqxM32trFv33Oqwi268yoPRCsshbxfZiUY0YPMN+7JJ&#10;hJhNTZ1szGNciU6h2hy3XA3p1Jkt/+LV2wDcINVirGHSxw0aJEFuqlSo5sxlOVlGhGa5jv1NCTr9&#10;e12EpI8riMmQgPxRTiSWl1dAUU6yPgvaupkO2hXzd5TBeKfc7uE6vkDs7GTEADBgtHHl5ys8A29f&#10;OKeoKKQa529WTb+j8a9eAa3o1555y2yaV794xOhSF4xpq9rTlz7Aq98046u33hCUXQ0zpQDQAIoY&#10;woS8aH/1QLi3Of6hqUhF+TnZFLNmFNI2DV0n/CIs0n0NM2M3r5a0qumUMUIEMp6cSI6WN5Ke576k&#10;9qjVKeU0gkVsOwjNFp0hM8jZFhnEdoiIwSJrBy/C34OEeMydbKoWaVVi6Lc/+Y/HBkqXXPDqxxiA&#10;HUYdsqSsuI7195uZLF6PtlPW5OmrGTs3SdZG/OU50n2KkxTKYRLxhbLXqd1XhwS/tKMmK6M4fecW&#10;3CocT0FQ4O92in25t2VVs0nqp3F3gTUHYa2FQLPVgqjiPxCk35Kl6XWVdnpHYkdbk+NgsDnXUYji&#10;SxTKFOJ+6d7tcyMnbnNgU7Wf1hkNrOau/7QJ9csZcmHyxTjegtVUttDvuLjf3ji0ZLK7YbOIoakA&#10;lPu2GFo4vbO61Rxxsn4A/mmFmOIVGVRC/J3uX/9Ba/xdfrUtTf3whapH38rJX+lg8tg2vvUh+ybH&#10;P2ln33AuLLchkN2B5tVPX1QLMj9ra7rJjcvtBfixuJPmap6tYpxUU2JNxS1dwWxKNOXSmgKQHarA&#10;bXNjCWd40O/Jn518zp1vFFzRBcerFmyHirY9xMc8hyMMr5NpBlWB2WoWaKIdALKpJVTWCjbc07vF&#10;OxMTr4j3PteO7+/+0X/na40AkjQqNPj0zyw4JeThlVG18Sn91e9OIDQY/9bUUdrBIgJMiF1hDtTM&#10;1S3PUsXZtg4wuErjqLacRp1WE6iCT1VRSNW/ODiDK64qXEZ+HFGVW7UPOlha7YTBEU2hENt40c2q&#10;PQYvc1QV5+60I57ioxW3MLwe3TC9IGLdEY502YJzLKhzmcODt7a++XLIOGLxyqE8e3n7LXdM/k3X&#10;WuJNQqLI2QZbSrR4ZViZuPrWz15moWQcUHmEt7C8N5AX0GHz+hh2mY4cDFE9gtf2ssqarfQwTqNa&#10;+mSwVqwQu1hinxrnqd7HUwg9HHAIGtJV/JgrlELSnT5RocsDxswGW5BXHta3u+2YHeWObpjG8f4S&#10;sdMtFbVY9dfYZqGokf2e5w1pKBXqeg2vlRf7iSfe3W7BtPTvlTPHYF+/Z79qeLXEeUhfP2eYzpsK&#10;Tk/6NNgM81Fyq+FynE78Uv+CJoFY9Ucz0vtXsNUWO8Ivg8Ux7QZLYsX7gar4Eiz+VuKgMEJoZMVm&#10;ZOKAZ+Y03/VpTlV04vhXblbtT+s5IMkoZom1PkO+eN0SaaPyW8wP0+OkcjnESugeeyuIBhVJBhDi&#10;MFjfEXN/9919v/4NbTodWTpyUrbwdfYhhRqX9zT0wXtmM5SNd3XoyQskjcWr3yje7pXRVcBzDNHM&#10;nbjUdIa6JhZLyTp6ecu8P1vT03GDQ0LelGZogchPRUDYu+lhYWPBSogK6g+5fqVqOSVOY7BfPlS8&#10;hk21qggnjHAlbIPm9eKaX6HIc0pbo7B/Fa+jJId78eQbmEPv65POL7d0/rs8rTvgnb9uwI/s3UiQ&#10;Y/4fP4+8bq8QYzaTgczNFE6HSor+Jey8ItKksPQhHaQReJ073lQFw1D8UyNNrP5eSu/7LZr8YJKa&#10;r5aPoYbUkRKdeIqMa2YjzFiFFmQJXeKtgWGwFrWIfZ4M2VuH2P4n7qpKeL2MroiE6ej6H7zqaR1P&#10;UCF3d3Y2T03p5GaIfoVuVIoXgwT4pjgn6i6Dfd95rTwi6lwTZjZLNZfNfDahiRHyLJItMTS3sTav&#10;DlQMu+jznlN+0JIV1Y0ub+k7CNrLBa3Afi99ozrFM5TsW6MysInchUOEZYWk1h6cg/prrl9eLMhy&#10;wStDZkhFTk1hs7BGeL2bl5svPMdeq4R5rT9sYkp7Djds0cjmmHHUhaxy9fuwM33Wrba9DUVrs9R4&#10;tKMOr7OnUZrAbLpF2yCHknfuNnDglXHVCFN5eE2cY5LlK3XsxCVtEa4zsOXv5G103caQXCboDven&#10;+dSB3WieGFDPKWidMkYpeBxEGaDa8IdBq4q6y/PyMhcEott9kNfp21Wx89kNt+Z9Nlf17eWN6NTw&#10;1CqSiTUuEWdxuYjuS0lej/Hby52GuGwJyNGrqGk+cUtF87o8jPOkzUlwDRDBWOXjMsGMhMUeIVYL&#10;D0RVh9qZ17CrMJzltlM/jqvRqRkOwf4nk0AZVSboydwe4qVX9PJWOspgMjTrFJi22epHY+QV2dI7&#10;fbNK3LhMJWNcKNENUU9Ko/7SrtRv3LB5PfjUQeUIY6bwWoJEb/KYHS4BJFvN0qcgVwYy6PptjWvU&#10;tP6Z6vbKzTNr2vDq3IAdZwmlutjMYfO8ELDe67BKIUpmJ/NmxIrt3VWNu4qr9slv27n11RXpqRqi&#10;XZu6/tpAxO7uC5MJ+9VRjWdYqZGKJCtwiHXXYFSBq12SHToOW89WCT9sUnJpD1DVakg8GLLv0y7A&#10;q+W3gCRzL8uYafk0v0HqJUIf809asi5VJWbWsaSzd37a6aUnfX33/X/6//ardEEZxix1QHjFJ595&#10;GgMLufIOoCHNRi7RqOWY/b5BwYv4DsD8r23uVmM3Ac0fzlD89k85ddqiZ5n1J18nuXX3wkQhVlYD&#10;0sRKs2ATscSZ7FcrQnURr3nIR6+XTuVyab8LMO+0YccTYZZaXL7JDzC+S0vmYv3p7eh+SyB212Ft&#10;TxKFzaMotTfaMtg/XBvT13e+icd3l+iq/O7XpVM68o1KL753CuVZPqJgNwqQjHdl9WtaMtd0Ul4B&#10;chRyW5DWKHPyi8ypch1xScKr1iBWdtYa2XDNDROCM8UN0hZ14ZsUQuPWwBj7+U+NUPOi30JNAJP3&#10;hzDVFGeIz23ns2WxQ7xu5ur9I26kOX9tMzXv5cA44FSrkChVR/B2NcDeapi0wOlsu8WTvwdXuP5O&#10;l9UkawTS1XFHBfOKLBW8NTXp1yJE2JIPmFElfnR/hRprHYGyX8kXaj6IipW1VNKO5vynfism4LbV&#10;v6o2sfgukD80nO4e7HoJ1nzubQQJOCFWk07VafxB3REeMtP6O5434jmRulrvRhr/95lakbR5wBdv&#10;zCOZe+gUrwi4SLCg6wBYKox91vj60EgY9gi/GsPr2913TPDL9df+pBi6qr2PO1NtwOta32KwRUEe&#10;aPly5r7G5XiTEudT7csNHzztwxvNjP/x435yPj7vTRX9llZLaWgOSc9XJAsfniR7K/TX2AOJcL6f&#10;t1TnbeyxiJDmVFBYJsJbWcidIsoajx1xf7WLEij52o/mMm3+Dqqrlpbw6Lk7KfXeb8mcbm++W/LE&#10;LGHUBWEwxiiVk5ze7BDrOlkpeQ/XV1zZnkAapJebmRFf+W0tUlelul3ixH1S5CE0nI5tAceoQliO&#10;wQ6veEV/v0neOxfquBUemTbhtB5iV2rpvdC9d2OfALifDYtyxBoUyqJaFl21kKqrcR68xX85qJX4&#10;cRk1nDCNRVBibfzkzvL8EmqVmvJC+Vh+vSjcn2mhhN9h1e7Ce0k1pOV4OsC2Q8mcnWzAnvsteB1L&#10;y34tCYyg/EkNBPEaH05MgoGba44Ucte6OQMM22vYY37oa3gI6cHxpjS5HbJioscKA2oeS6C7+sNt&#10;S3p5h7aRu3k0MJcItptmwO1c4Hp0kxO2TWxfZWipLJBw2EP8clXp2+bQ4tKnw3kUJL9rlntcKA7o&#10;cbsyUJoBW0U5gvditbDxipJLfJkHITirJ/2dPoXxHSE8einhrpWPePWG8qtOFMZRgVt/Lht1Sruk&#10;LSXqTsEH9nbwZi9R4/EgZLj1n6+IjnJDl0hcTzdC7JaK+2OlkzQvwMBCBYaY8KtfOoUOuZLF3L8u&#10;021voDPKki1jq9H2O7kFPJyzE5AXbAj8vuEzxI2aFGzxwC+Q/rKnkJdXrD2H7c5Ea8+WsciJRcAf&#10;x9uPVjC3ucaZqEKcuFC8ssaxNyyM2MHtGxf2ulvaVdc60BlHYzNYX+8oiZhXKZ8K8xW90TdiyEqK&#10;aVylbrfweYuQdrUKLq4Q1ujT7BPfxmlfp6IMswpQr/X2vsnAGKwm+ZqSPO/43WZ+8xDjXqqeqD2o&#10;WPWDJZzywIVpRKivb152tKR3Xh3Gm8lCTTkMXpjrtgUSc/XaRW+22xKnjzfTOve2b0ItVJ6FmKy0&#10;bpjJ/6oYvoreEmkd3nfNztKb2pobBE0B0T33wqR1SNg440Wmv/HETp8HldnFhPO9TWqkEjOo+VEv&#10;Unlsk7Q24oQ+fpKz7btVhZj+OrBFazmfcci8e7ya8ybT8Fo0xk6/Y7ahcHo1JIuklUD5rKMZ5p3u&#10;wIzEpMRS5PTueNwTnD6Y3ytxRuhciMAsXhGgswc37xBa/c4gqm/9jRFvjzoUz46vDJpq6GornFhO&#10;vNBxGp99woYz3XW+sfVekPAjpVuklwFTCRvVgPUjAXZ9R9dNM8uvVlWGu/wWY47asH+8onUiJNSe&#10;3hF4b/bfWoCko7aje9/5wJJEOAQF28S6Q03KBRW64999NZrXmGvmx1NjcUaDRet4oJu+PRn1a5On&#10;YdYBNf7VSr6UbBHNZljZDC4ivDJfdCw+zXqQe0DrMI0f+RrYtnccL8+o692EvS5PHXqu0ejvyLLO&#10;d+qpqbm1ytk0XvRtychBKETfq5P5KqtbUztXtUxEX2/v/Iylc+GSYw3ES7e/bX/ZRCzsvMq/7Hdn&#10;FdH+tW50CCYEW6p1xIYizbiQ3UZrJ3ev1j7xKY/SzsMtS0wff2ybLOUG1SQSWMlqjXU20lRVYZ2/&#10;I9EoKbai5+xo/DePNoEhfrAcfgF2JvLU+CO9rWjJof4MX7KHTNXR26SQ4sfz9jRisI7oft54xQ3Y&#10;ZvnwfMWG7cs74z+9mlcesAmvDqe9yqkGNl4ZhH2lrxU+vHl4BBS6CnonsR9QKKDQauHI62u/N0fw&#10;BmKZGLzKaVB4y0N6b6I7KJT2k4uhdfNUX/UEg80r4oUA637vONBDicqNX6ZEjc/EbjRG+EvfY2Rd&#10;hQ59d6uzAlbrNnAN7ypumY/kRd8m5/aiyY1XYf0/0qbQjSqf39/lkLMzz0s6C8w9vDq8LmHv14eI&#10;pwj0lm+cVKMsU7IoUldBV4pRCEhMm0cHiRxojcgfs4EuXjlinU1L5pDczU8oaVQiJ+va1qiYhHc8&#10;VFGCVKBLbLNhVAW1VOOk8Qu+Fi4d0nEVy4O1JkqIzXUFD6mOlXLRN2QmVEkivTvBPeU48ZpmJJgE&#10;xY3fONKi52qZJopSTV4icBr18Zakkkty5tVfR+2IVrXTJdAelOfdL+EzvDfFHIxxwyXdHPLsJOU9&#10;6b21RgQ2/irjK0rilZHz+twC7dDz6Vnz88vlJAimbYNN83XUvGpuVIQyObEMDm2pw+h7NidD82/w&#10;idiDZautrWbPKkXtOGqY3boDtsdBkhWvLDieLE9v4j3oUl211SqZu/n+kJD6C+lXXx6eOrshmzWv&#10;fBrzX8KrBGdzrQrNnGCVYgrGxGDJPMdsUzXjdCrYTTf8yReV8e004gnCcj0vLXHoBK88064+knmo&#10;SNbHdRS3xsLBFduJxRRwZzqFWGagk3kdcfmGgZUaCux6LFV3VrHKYyxbGWtgPLdyzvYyBZynarb9&#10;u7CnVfqjww7gVSZZpDQ2G9qFuVGLuOkfvimuHV/V3dywvBWKpRxz91dMgwkEw3orn8A4q4klj8m6&#10;hdkZVHjtXhwjOw9xS8suTjyAIF7tryWRXjrXUVIFux4q+n7hGoFHRz2dQdiSgQvtGrsBWigRbAHV&#10;qr0cUeSXgk2KWvDko0V3vsuvEsddSTp2zUCqtfo5Wqqper8iQ6/WVNTPE7hJO+T7KtDWIvglFsY+&#10;y6ZTvm3XVhGgkQzGrTiSGFh+eZVVMzcpCjWCufkqLyCDdWxr+HdDo1K+3Ag/8I9LayHm2aEVXwt5&#10;gMIGiyVzBk2R2YAY/CectobAXlDpzSaSiYCBT1UQiLeMWGym8tBbW7ZPnW0FJvpbjaQ/MkBrTqJB&#10;nY+FxoUV7q++vHJvyWaAy44Ot0Sd/oxRK55uEQHPwUiC7dLRRjm6VaFh1cTOu8Da8H30lhd+kteY&#10;d35JuS2y+c0p5kcDs3ewKmpQ+kM6mnoFotM3e8OJUoll8zRBp9Q71OVaYATtKYUSeDgDEslWNn72&#10;pYOwaOE4LGxBvyBbpNK6YIsa8EtKTCVMr4Qq662wuxx56vB268K2IFyrnM3yCiVAr4LkKTY1OJhE&#10;YW+qJyAghvtV85A2bg3eOCdn5CgSN68VKNiaW3hhi8S84gRRlIij/sZK9hF4DA8/nJO4NFDnSlD4&#10;sXZO62D+Jp7bHyzsq92q7awg0NxSTIgKPCbzIBnScbuOanhd62E+VBpbk6SyDaGTun+GrTs1oIGV&#10;CexXC4Degvz21xUPTBkvShGCjT7pCpJCzJt/9tUYBiLsNzKssFVgYI6JwAEup7cw8MDc4zTG+wgu&#10;OsHokWvrZLz2rfrueafwpXwQvI8gVHgHYGccMyrp+Mfmo3hffeGMy7+wwmVQhXwYvIHSplihVSBv&#10;pVy+wipWExwd2WrOQblqN8900M6ohhhSFXbONshguSmq95BtfuD43Ed5EUalVGQ/sSlY4fgJ3DGC&#10;wmHehY4RghXIG9beBcMNh9d2IHvZwjW+m/HaiC0uJ9FlA7yP4Tg6U3GNq90Zp0o/QAnrwVPSTBaA&#10;k4cGWXCDsqRdoW1ZKVfYVaDA3Dlhj/jnFp03PzJhVyza1IkrKpyNFbyyptILo0Z10RKH2ms3CQ6j&#10;uc8nhyXxw/JndiyFPYH+T14noReyflovq8q+riV32HBaiaKfWU543zZrGLW8wXCdmgVnkCjEOEMd&#10;VtGObPsK+zEbEH5roZWNGmBPnW7+2FguHBPoI+l739bofG9SUCc+Nf6bCm5ezXrtG73UxDXJw8Kr&#10;0Jmj8NfV1f8ScIXDHkLp0cX6wwgDXYVhnp6i8//B62EF4o6u1+TM+nHDyWVndXx+psXwiojdnR1+&#10;uWdaxYmnasE3yzBKRfAcdTJWM9Hf+30NeZNLSUlrxYyKGmCX5RM/PvBkauGYZ2XVHNizcMJiud1u&#10;aKlOOCMMA34DUQHa0UM/fkJ9qSTBZH0Ft6RmcWr8x69zHW42Ob37J4Fvs0oHwtSIXn70vSGympy5&#10;5JXwmlPZnXxb6XcmbmqOZtIx4JxvqkuvqmOMk32jOYy27+pfQFNOOIaVeRbEtG3hsBdTQmbxX9qr&#10;ma17XIx9TrdeMBOJHyUqGdSU3a+XFORZcs42cr9MRXsgPlUYO+/3hdgB4Uash8yydMFy8StmhMoP&#10;UUm/J9+tGQefevsjblhut0Nc4ULoDP+xF2Q7eb/j1eeiJjXXmXy0xbwqEaUgaPJL0ZpAnUWTyIUc&#10;IKsS89qHIDCyFxUhAczRSZ3qwCGrqBajW0Sy42z3NL7OoVr3Kuabv1cUbcFYKgVHDMNMPK1ed0tn&#10;jmQc5OQFqwujwbKZbnkqq6M/kQCemX/5GIh1g0qT15JSeGQfMm53Uz5+zxgt9PJ9NtgDr1ulwsar&#10;O3p43y6r+h7+sLVnOFU683t4c73wCl/s5JiI+pOZeh3kqkBUnOHjoC+ofTEdk26UwPxM/k8M137k&#10;olbgJx1vkMAt5ofbdkE7srGm3YtYPb3LYmhgXY9Gf1EksCuTY6/RVBFm3l53+8iI7yTRVRkTS9k6&#10;NBkyHT5v20DbqqTTZwYRoROGEO7O60XqsHiNuy9lWLy2XfyG176w//ETz+SYV82rrn6kUs0ZgV0u&#10;r22ZfAzukLNS3wHaOmnIqBlfRWNNQCW25g7b/w6rtrtrRWk6cOFkCvFjmh+Hgfek2x4Fe1ghHmHu&#10;0izEv0tzuJqAcp3fW98XuEDEOjDEls5bsUTtiT3H07tNEYHDmdcj2QzKKOy6ESUsIoWcurilenjt&#10;S7rV0HLVXrJWtqdzKuomhI4OL644vMEG8nKoylV/eHfNgIL0tDvK2ZNbHgFUGWRx/mZPTJ2ptEbc&#10;8Hsra02kWksLzE9vTBxdxYXGCzWpnIxH6FkXWpOlOXZQeOJ9D2mDI5rmDLGTv1198MjPxw/Xk9fL&#10;TU12HAc/nDPVVO7Y3HKHn+P5cQDDq72p6NmklCzWYjjwOiHt0X+Nn21HXH/RYnUteRE4XDWgFy7e&#10;3rIFk8POqKq1I1lFjUX7arU/euI9IgU8zyb+dYr5UxhtykcZfJwGAApzgBI0n4tHOHNp0iD+1mnI&#10;Urrj3aZPjQCPgMnxZ4uvIKu994YD1mHd+dtE22N6EDFkkdLpXbXFqatcii+c5vqazi0v/JnX9MS5&#10;xvjqX1Zz2tGJdsQhThQx5ENtEBMooJQ56iWQDN76kNeeV8zNXMpSdeLgiePXduTmovMbcXnM+794&#10;PYRpAw50qmXysL09tHeHJToEPPVxvQcgyZqT7ExcHRZcz1df/eJySdGSffWTeH0RnuF5x5/ruUxD&#10;Bej37ulxdXiL6vXFe3aDfSn2ktftbkeaB/NgzrPHsXIMuhxelLVw5OBsQXbfCzz8lqMWEwbrlkLZ&#10;w8+8PqFsiAEeGqTob+EXfHlzuwpiBR9vMZfRRsMh/IDOmOfU4+qqVYuJ/Ko/xm1s7883HKZUVkKX&#10;Hm9dnZ7qOGmU8mTb6X3fCoy3ZwheW3MJxaIVd/r/iHv6dmBOFvRQC0/1fcGrZ3J0pB1Gevm64h2O&#10;uKbcrvrR144uTKOw+aJ9qWOtlzwx0I8W0X27iBoIyUri26rzW5TD1kl/gzIc/BuvHvsRIqTOzGBP&#10;20qoZc5AFcE6fzvNt8QDjIyGkkDvG47nd0fHq/PXGiCUSQ+cCHmXT4OzoFmi2Apl93Xc9Nw8OYyc&#10;n7jyYUWyhSsGqoG1IwCvztQYmc6CNc13lxYPPh1HXAriS20Pfv+fRMj5heWLDvkL/CkTyQIpBnvm&#10;RXMFtaQ5k4qkzucsdFAKpYqJhnbuvtVSjXNw4XB1kK8UsAdSZ4YocniD4Kdqao7cKWIp4jzYfspv&#10;qT3XGLT1Ym8G7nPZ+/X96uoHeZTYM49r95bfxVHFWUpzQxtNGn6a5OEN94rWewvg3Nyse5Ph1dG6&#10;yrk6mD2wWr5SerNmZEYMcTtP8INjSIlgZTtaieRgAREqeHmAnc6MB5QqquoEv10VP6NGroYsWmdf&#10;v7qpaPJgDangd5/F0RyXUkZzbm1RqOvYUqPnL77EFQq6K3FfSrBlabm8Jn9c0J+6PGBeCXBUbV7/&#10;hVbbZh11vTqbLIIbJ6pAHIAgtuwHe4cimCeNXpLOqGTOIzNlxHGcj7z4Vb7H5xeWdWxqkQnIKtH+&#10;6xlPX1nVVLnpYnXquRygewFAxQRck2WL5HmwVVCIpIHGIZ+5prCU+7c9pElV46w+ARazrjrI5eyH&#10;KXxPCh1UWTVac+hQ1njod7wWtXojWHb0hljEWbzaJ+iDp1O+4MRLttnl4jLG0XayWCer7g/KW+Fo&#10;QFifnbnOzVarF/crDxfPn4/vH6gzlsp2emJQr/QA3uf2hgH7DBLg2tH4TcaTFzEVqmc2qVQ6q668&#10;ueyy40JbsvDoQM7F89/0sDlih83qIHqhE3tmtPNq7iuliA4El/Y3L7PgoZE6YzPJRtZl6ZCml+XZ&#10;w1/feUnG0wKUXJqp4GvtOGazy6KrBKPbunENMhKb8pevKM4nCXZR4XgSr1p6ipAefmwOxGA0W9Dc&#10;Wxp8jFx1ZUFNsMi8lOaoRrDfklzWrNLOexlE37gUjCNeIdbV5bz3jnKZ1sDZq9G9hCSY8w14/VU9&#10;lpbUzy0in/Ux8b145v9RKhh27v9kJJtBrhykjM6xNreicrqwStz+yFIKnQbuHl6zde/XmkqFXWJh&#10;gtbxpFOvN39XqBz4bkMCZKB+GIxqHtkS8rU6oQMypfttc4HcnHsN5v0wdE3fBHJ6uIkD723kJTU6&#10;qMYsfE3/kFyjgRQs9J7aZtIn9sSPuLr6f0otueJTd0ZkAAAAAElFTkSuQmCCUEsDBAoAAAAAAAAA&#10;IQC88JgnNO8AADTvAAAUAAAAZHJzL21lZGlhL2ltYWdlMy5wbmeJUE5HDQoaCgAAAA1JSERSAAAB&#10;2gAAAWkIAwAAAXtjKdAAAAABc1JHQgCuzhzpAAAABGdBTUEAALGPC/xhBQAAAS9QTFRF////+bi6&#10;8lVb7Rwk7zlA+Kqt/vHx9HJ37hwk+9TW/erq8U5U95uf9oeL7iMr/vj49Gpw8UdN+83P8lxi82Np&#10;/Nvd9pSY96Km+sbI8EBG7ioy+LGz9YCE7zE59o2R+r/B7h8m/ePk9Xl97Bwk7SUs7iYu7SIq7z5F&#10;7iIq7icu7R0l7Scw82No7y00+cHD7SEo9ouP819k7zM58ElQ8ExS96yu8ENJ8EJJ7zc97iMs8D9F&#10;8DxD7zI5+bW37iEp96Ck/N3d8EFJ81th8llf7ikw7iAo7iIp+Kuv7ikx8EVM8UtR7zg/81lf7y83&#10;83F27y027zE39YWK82ds96Ol7igv8FBX8l5j8URK9G1y8VRb7zU98D5E7iMq7zU87SUt7h8n7h4m&#10;7R4n82909paaAAAAhAvUyAAAAGV0Uk5T////////////////////////////////////////////&#10;////////////////////////////////////////////////////////////////////////////&#10;/////////////wAZaNKDAAAACXBIWXMAAA7DAAAOwwHHb6hkAADtHUlEQVR4XrT9y24bzbKuC0sb&#10;GFZZwIQFqSXYEOjJxteg4A6htoXdXAQGqIaw+lP3fw/7ed6IrANlj7XwA3/QFquy8hDniMzKKl4F&#10;pulf9fXlNF3d8/2/rqZHvq5ep6vp6up/7568eJ6epn/tLFjBtPfcalS3wf400erGc65Mu/zd7/bT&#10;43U6C/j9dNhPe6/tPz72HFztgWn/fH91e3V1fuP8eLW/2n+l0n6/291Sx1pXJ7/e9ldPaXC1v3ux&#10;wsv1tL+92r9cnb5y2QtXr/v9Pd9nLp/3+99XVy+ji/3T1TeP9/sD/aWX/dX3dGNbh2XIq4lmV6BO&#10;m49p/8o4knn7xsX9/vHj7Wo/3Vr5eJNO+Seu1/vpfn847qff9sIF6l850LOVqPL2Ckoc7T5uKPbi&#10;JLXvuezpr/NXDncwidMTCIqQV+GVPVYt23J85r81Xvdvz/tDLj1bKZf2VyDxe0/3ymlpur96+Xm1&#10;v9lfvR0YBdYe9r+mdzq52n9UrTv+XO3fKIPmJ5pzfmPDW3u93n9Qqz+QykXxcFiZjIjuOaU3er+2&#10;6ZOsbRTqg5D3b2AlRpy+euXFJtJAi+PVjt5C0PHq4+rjh6Xv5ysYmfZ2erv/eOXUYVWPq9dm1R7+&#10;XX0B6fvXX+Cyf+DPdHW8ur7a//T6h8Me7fDgsK9gyzBoSOlcevyJiDl6f6WKGsYxzTl4RVthErrx&#10;/epKBYMWCUMd8lFJftAXLAnBqAh/H21K2dsvNYFhHFG0H7yKhKxlAe2v4EJVlzrUmPHEdI8tgTd8&#10;icFYQ5TzjZ5EHziFCfAaIXynJWRwege9V0/7CUWtYe+qPf+OoAafH2wsui/I62S1H5gWfYVYW6mO&#10;XNOY0jbWTA/HK3SFgacgUGWIEouBtv2NTaMbXDkfvg2MZUAd2RbbwFZzriGcro7fvubafvrw7/7q&#10;/hRRRSFKp2glJljVJAVpapPpoIbCsGM6UAB7lEGe7d/h3f54K6FRwJkI/0cXafquoCk44IlSAImw&#10;H7lxfEYkMNixv3ZTsHh/kMH72yd16/rd49frnUZiywl5lJVcvUvl1VWZZNyYY2Bl+8eX23e9Cf/e&#10;vlGMDP4HJ/BGLQvjmOgP8+KiI4NJyPM/2pWm9y+3+G2H8FJ9879R3l/dSQQ0U/mgX+Qg7u9ROb0c&#10;MLNUQ4cY4Zk2WpuS04tcXVGJw/JZMBAlOqialKqdYKw9ECuuDrZVi65+wPhG4jVoS+v+B/UP0wnN&#10;sicv8v+epvakkloxhemW3k5w4EXpH7DT/ct0dYuf186tpaflKJhcfeWgVPaawYkJV7+vQ7PX7fDq&#10;ZTpg0Y9Xtzgpu6SW+KvGiB6+/qBVerBPBE4s00Mjnqf9ezsDkatK56vnD02WQ5QRDpztV3+XWoI1&#10;D6cb0B5N341WsijR64qW1i53sp8wnJcSlWe5hO5U02uiCzJQMuilrW9rcI3zltj7ZE1kC7/3v/Cp&#10;jKKT4er7EwqHq9HYRenkCThzrEVkbP6crm7oPbgm2NYFjiDJrw9NUbdGrsDft59XD6gml2AS6qB5&#10;iUCaRoHy9ci16utRN/9ohT1RyBLsyj8PFKHosOoaocdAMYFSQv5fX93+VnFAen8KzaVbft7L+8We&#10;oYgqpabxFS84eGh+S9SDy4xtwGFoheA3X8cPuQ3JZ9ELRqd4Lwrfr4h9CQCRiKkF/drUFulEwJa8&#10;LPm0i1zeVCVrmQXYVMcah3nWB+DpypPqP+gxKOx/G3lSv1rRgPNXEERNKCDqpTij779cvRweDued&#10;IvEqf9TWwpXP7aN85fOGStyKehCwaQ8YyJd267WIw0+0vSRxg6eqRhTB30mvOje6+mEbXK8xK56i&#10;6/H5gOH3uH60T7U5PBcZQH1p4/urfzymupIxOBOuX38huRu9ixco+2FQnu7KTQFP9w/RGg7fy2v/&#10;JtXwKsg+vd788iT/oruY29X3XzbUppVTVEYBfHm2gCKcxT1fZK7/qy6SDk//0rkNmKYPTpUZh/Bg&#10;mvBKb1e7L3iB9HBA/yYEbOj+bTocgD9I+e6dUCCmZxwY4k1SlX+iiRX7984CNBZ/gCjtk/MXfCcZ&#10;E/2aXZk9P6QN/Slvati+/zzvSbcBr/L1TkzCkvanD8yCNB0xGIlkmfWvnl93NrxN0lmeNz1JEQHf&#10;JIoTmpqC0I/XQOJxf2tS5KlsvzHL8RwfFfeRcAV7Umgbwj724iCefhDfzK9zCeVEO4zdXkWfLH4x&#10;z8xlUeCfeYOJYTV6DX5RD8+loT+moVV4uwNfjrUhQrYX0S6DvRXoSqfrh2rkPDZKSxIqjvSOfMyD&#10;sfpdoshHOS+uPOoS7O3qbn9v6mZz2Gtlj9+IZclG+BzvnrFwomMGNbP4enXG1Q7NpJfJEf3XfyBQ&#10;D0vqUFzUNPxD37v9+Rohm65mXHHwL9yMevHvEH/whG8+V2DJoFenTpJ3Ok8KVdW0PMDHJHiJdFJ1&#10;/23/y0uUnRg08woaGT4odlj+P+zvpzu9HAGVQv3unVlaIgqiKknwidLy/fYj7otCqjJhS7ck2i/G&#10;KiM8hvKevLjGKO0nN8Cpc0kV2t9+JL5Gs1719EhmernRnxe+3aqzj5Toav0os56CeUbRI3Gd7ymz&#10;Go6uXjQahqPFnKj6xZ8nlITTHShqnwfZfc2X7rdS2FSFeeaaxtj7g2jb8vYFiz9Q0VqOaM1gEsHG&#10;2vg67hz0Xr9qZ9GgFyckVr99lF9che0WPMiZCmNXh/Okn+JyOuI/yYDWmquEf2Z8XsWLnF7undii&#10;L6oPLuX5I/hSRJpONUMf5UmYOTT945pK6D//x8IZPBNkhYmA6zAWWeQz76uW2ubH8eUp7lrMuRTE&#10;0gYeWo/v948ON+d7k9YotO1JrWtErv7jdSfdnCY0Jh5UP2rzrc5ELwqnp32xMX8qRPvtiXkF7rYv&#10;HYgsHEzkGxQ8miOQX946eLW42rtoEN76le4obLO/Sjabf7l2ID6ekJKXUxCHYMTvOfarmnwq/YSw&#10;r50g2MP+6YvHNnQJ4v3+sZh49Y96Ugm4/6mJW/w2nej0o9YbUNpu6SyEIyMxGMdJWcFrViiV8Ux3&#10;jzI9XxEYPe8w78c/IsuIVVmmctyBv9UJPj5kKqNBVIpCEn825YJKtHd/gxu9+gVTgj9pNCwmA65x&#10;qmVcA//k962+12+aWjj/Men/cU1WW3VxbHUhZ/fowiFhQtoogiu/sOJnVCTVyHrOceQHuH7rEpA5&#10;8839TYIYvv+g1iSHpb1HOHh7Bms17HD1+6lZcTQQ83lBip6nMv9ukQM6G6GejBqkApRXGl1/4mrg&#10;uoy2ZRTDizlzMIQYE7hN8qXC8KEbrzgP9Fr+p6OHOFiOXr5l5vSIBG5jHDBdbLlcIvUY6xgt3273&#10;H8k2OP6A0Nt4P1vo9D1+/i3pNPnHPIUDpPIWBQCtio+SHx9iWeh0GWWnd66xkmIkSbslf9GCaXWA&#10;GtcRPkiROYcXsXETe6eqJrwioHHKvuf9DTJ8NDrlU2Lnf6QZafEFEvpSQMZSkBAAyuhAtavFq+Nk&#10;6NDdvUqxWUylPLZx+mEZ/23JSPtvCdDn9GInmiRfOv6MbYZGtpKG/H1Gnhk5tb8N/xedtPvzc7t5&#10;JCY7TqpWWjJk2zlplbU58tSZ+lNQoUx3rkpE/xrMUc3cGo7TdH91ouzxaodtXk03VrDWFfPYWtPl&#10;aLr6njZo7PR4fnPSWHWmd76OHPwLiU8/ovszdDZ7PTEAnEir3X56q+nQfv8ATWqfmRIZsGmWV6ar&#10;o5n7ze9aMLab/TG2hAadz6fpN9nPhCrvwoLJXG6BrILwB6szoJwywX3RgdSguIVD8gLgiQvvsIcm&#10;5Q0r3NoNOO4PTJ21EwL0RAcM9/CAIpPHn94JNscodSDZdZBnRsDBE9qmM7PEkfHR5sCGqMN7sq79&#10;9IOsigPNaj0o7V4TD6cb4+D5PmKckpPuXyBKXbMrM34OqZNzvj4eDIExJr9ejWleOJMmnHDaD1k6&#10;4B8zYHjS6DvzqI5oZXvnWP7dTaqt6J+iwKkKpamYsCwqeEC8IyknQSmNDQKhZI4j6freCHCoMoDL&#10;dhHj17fe9qD3apM9U1KDPk0glQk3BaR6tSwmgAS+mIFJc7QTO5+nEIYP/CeiBhdcCiClE6T/41AO&#10;QJbO0RtasIsiDp5ytAMD/QkqpmG4gusVNF3aoeWJOVVqFpychPR8snpAoev7Nx6R5APiAPM3ghI1&#10;YZwsoRRVNqEA3fBQEpl7hwmUkV3cukL9mgDBFN4mJ3hy0GG+oU+OowePGnYFB1M4doJqS5cjMsn1&#10;pgdk0VW8EeysQeMiux2CZdB4r5f9I4Zul9A3GbURy+6o+yQo5AJeLG7qg0BNsV7Zb0QDvODu5EyG&#10;QkLxAvr01DHqyfVfYkUh0fC+PDNRJtx4IkHbP3zTKdLa4cw9cvTNgzFrEPlcfkBdfx1U1GvRCuUy&#10;J1l46thqjyVzkJOKqsm+kLBKBSAAnaeKbLNv3ZZ/UXCkyInRL7OPHYN9pcI9H5gC08Hc7kJ9BvWm&#10;UeZWVuiucoE/KAhqe9jdkG3bKj3Jj2iRGm92LS1SgUlmjVfNwRdS7feQUMxSpfXEQ/gXVBmdE6NZ&#10;shDU8XFXbpyqyXpEff/2DPmPhmBqmdQa0BGK2c5068g600gi5ql3SOZje05q/OSahkfPrPqN8eJ0&#10;dwl+zxBTeWFG4V94AnZntM1yCtXBEq2jZ2TUd0dsu0sQzkivrn+EN1wlE1CIknOEmFd9Uy5E5W3g&#10;LSwLnCGEidJgz6YP/+zPb5rkjQve0/TtFb9ye5pK7ZzWWtH26kTHJrzIRzy7s2HsBQRqUBmTCvyD&#10;cv3GxCzbMfHK3suJpCm5Cf5Uf/S+lYsvpgL7SfXhJKcc0i0225Tyz0HTO0z6IkvqSiixOGdVxh9E&#10;JC/Nv1NLRP3OnVEdqd7FQ803YswAdHt6mMyhuMjUtZTzHkq9hep9AQBLi2zN2uOELQQQoA7RJZzq&#10;1X7AQt09TAYSF8+qmCG5UlWDUZwTnnP/FNdxdfjHzNIrchrwmL8lQfgVfpiukKI93Ub7Ek4tzRd+&#10;8gMX2JPyKr1FfUIEx+DqkYJzjcZ2pvyeGr49r440aY3+uJ9iOEzITo/ms4YQqEg3VRX/TGWTBVXV&#10;JBs2JhIwXeTa6Zxwzpj3tC52MpQ+6xsKVudcpRAjlCWQP0rppUJM/KwHfCVL3+92qktKIsTdrTME&#10;TZ1/DENvOG9IJpduGtKOWYyBJwXtrDIoZ5XZ4Z0PNV2cbiI4pc/ZLw0UcZUsj7BNFfoRk5AAtAun&#10;9H3/+sysmUHL2daaPozPPScL0lk8ZIQ6ipHp93ECxEgovjkb01RK9OeLDuOJM8KGBU/yW631LxEr&#10;btuqmSpKRCFB9VJwF3tl76i3P3jz10MTRuMC1pNk2/t0kaVFpmhv05vB+DASALQx4eVY7pyjMMG2&#10;fQ7C+RYHbaPLSVi5lkuKZPp+NTH2/hlZkHWkXdzhieTYmagLaLmnmZWxrB4xaBEGqkZQ/xiesSZ7&#10;BzIWUWFXjpuCJETlG/T0XMV0wesh6yoQeqS3XzPVb+rN9WC0ndRfIA59/0rru65dKlSDwt0v++mn&#10;h/F/3QxdjlXvz9ALK9MuMWholA7np2m9zLnefxx0hJ02ceDyQWdTFhtJpCades7/jnG5TiSzHB5U&#10;ILfal6qnalWrdyRGJzhGxr5+gpr4mLrqwavcrbp6kheMQJIL43/UjKSy2oAqdy4tu3uNpT++iyQF&#10;nVEWRj+qe1XyvH/R85WIKmu6uvo3jOgx/zExBL/2X/CYfvdvMMFzsxeVplTpgPITUJHyIesMgjf4&#10;hf2jMkqujNW+JPy2VhpKPAtwQLB96agfXjAo/96wTuYVqBhfuLSRbf9zMCjRlWOn/YBrQ2q62f9G&#10;0lmt5Js/0SjhuP9Nsyh8O0D5SqDT/lTydMDosWr1I2TjGT5wtqHB1L4MAR/+7HT1EbkbbD0NF9Q0&#10;CY+CYntlo/Hu5YzHHPtHKWtCvVRjk9R9SFZirff9zZTAC7gi6+EHZkJAcxqIKjjviPWlxccSxf6p&#10;TgxYDu9fsN7fonUIXXKtuX+IXxZFPPQJZUZvcwvFPvav5bWRC7GgYheO1q/QqSc0pOXb+uYZj78r&#10;WGAUdDawj+fNjSaEkBvsdpHhKWL6UJeYrvGVgWDULRkWPET0FrSAcsSktA8YgVReKb9I6wv+2Qtc&#10;KbsgnKSkknU96P6G2id1CgK9ZALAJY5a6vz9VoK/N49NR9ehyvCf60S9NIrSd25CP369JMJ5JW1S&#10;36xbGWcqZT6jTHb4RNU7ne7k44u3Y2xhP/2tUlAZodmGSnXRxKpKPDdG8c2/Zz3S6/5FzX2M1Znt&#10;TJLmQtBXvnVrqiLSAVO6j2SpY9yfIqnzyDcc4WWaRFE0DohFEgophvGLf1RVsVExNMnsXuYe47Xl&#10;NojhAJNKObFJz+EvejERDupCIjZHhoIfkrfPPUNU4Fw7o/BsmSDC2Jjmc3h6huM3Emo7xzoZd6yf&#10;/XIAQYxBlYXlryB2eJxIfonDV9M93YItjVFzAPuiym2peY7qUHfyA5KzucRhQgV/7Jw/Z4axIPdE&#10;DAlY9Gu5gNQ+kKYYXWA5+aLF9Gz0eEuM9aws3Mop8eDDvDMn8X4emhJQWbI0iFKY1NHcxKcGvSWc&#10;UuoFa7ztnt20soEkzQX0mOMPO4UZ6SNjQuw3IyKIOEXWGsqc9z/pzoGVUxa/ODMvQF6JAnKVqdH9&#10;vqaEAfzPGJMhY1px1JwMTPmDFwBbCII3ZKjSGELenReZKVsNO0v0NQ8x6YyHNPON/41tO649lyeO&#10;dYw2+VMhpb0Z/cnQ3Iqr4MWZ2+hQp2vVGgVxgpisxyYEIrd+gqYLXCnlVEcbhAP/DwEiCx0F/z1N&#10;/w8x47+m/6pEZvKe//R65ni6v/rvgzONq+nHdPUl99EonyZ3Qlnqdprpf1d/0/+74yTlf4ADVbpV&#10;wBb+8S+nrx5OO74yc51eH6D7dboZXU73ts7hbnp+O1L53hZ37jWgSrR3htQDGLScIvBErR8aAvPc&#10;iW71vdM7V/e05z+0MYAbF96m6zDiiknbhPfz+Ho67F4UAZNk2uCVvthoDCR86xOwmoVFJWohLSW+&#10;/+IWNq0NMC+IrF0athUhv7zO9LhjEhX9ZAhnDJr+Nd8o9KPLs4vqUkUDBk+oClgGkqfk55xDQ7r1&#10;2k0WbhJL9252yPxu+Ibv+0fyBQ7p6Id7eMEOPy0u+Di8Xi1mByrbAw/vzaPVlkMy6TmKhjO+idUn&#10;CgGkN1Qz5BHksNr9PVXKIQB0xRX6gM5M3Pm3KzeRnttJpzZ/3O8him7e0HhuXTPN9EfriiWp+aYk&#10;tCaGXZ0I6pYOUhNHzvoEG1Vg/LU/ceBE43U/kU9Uqklda6MZMIAzTTETeRuKDX9O+4/KxmUrsjnS&#10;T+5TEndyL1Bv4fVu8YsRZNqtS97+k5ar93DKOxSASZaF5SwBk1BM3mYUiH/lKHR3ZmKtocNQavFP&#10;p7d/7fykVI0Cx7c5vdyitBy5nyC6kAp21RNC3JFOi55IsnEnAFSov5Aa1aMVXZiuUx8Px5Acu4e4&#10;A1qmwi691/iSeti/vIdsG72DcZZ3ONZY7vGV++mH5zJgPz0l97+/ljmviIhCETgy6KuRIASVBEng&#10;ooxcR2spgO8Y+DsYOtWDhKlyCemrfDFYKTTod36UFGs6wHS9xROMgi2GtLTCDPANtPkNnfLd/Oh2&#10;qtDE5YP7x7LmhOGrwAdvn+ynYzlw92DU/l43HqOOlNUM0OsplwW0fdQ6LTRRQYBB0PuLV4dno7sr&#10;VCE1WHnV3QiSSKbMEaEW1KGH0fGjjoEBwmotz9v9sBybeSr3IbHJWJI8pSDnTudbO/QQMaaRS1e8&#10;T2r8rmqYBjuq4vA6LYtUT6QfcriEaOimd0IAv/avPROrc5WBOgggJTCWs1L9d3UJdTTGAUZQ/tD6&#10;bYfipzpaG04eD0jNVJ1c1rTHKbODQJFNEaukWlP+ClxDe9Rjpgjpi1yO7697JubWNMtggB2aoS/R&#10;lcbWQY8iDqjCMcPauEar/8WpvXtGEKpzszEoMjtMzhOrbjGHb8+SfKDVVMMVM+T7RGvEGQvIClBk&#10;9zp9VXg2diHZ2Uu1r6mPWUYuZ687QJfoALjDqKxccvlLtP5u/1sEKHAxRO+hZTiQdFVKVRU4goTe&#10;DAQucFU13l/nr0nBB4haU1a5ENDuqLrPihOKlExFUVgMsujBF1MUe85QSZR+7dH4RAiSF6qq9mnE&#10;vA63RL8GGAzTFNBnYWLTDHoPgxJ7KiTQzMcN0mfxiPie7+PVVBvIcO0ErodaZKkmHN270Ii+0hIM&#10;NR6DJWLQoXda6dhxFS+oEIW7I06HMjjk8raeKGlhdAkphWQ0FNN8uZvg0ovWkmiQHoeOp++yBv4d&#10;dt560fEI5bulXGRqFK7fyQki/o3TG+rGy8Yt8R2L/j39RkQPkBJdWkk18opUbneP+/Oubplyla7G&#10;qhkuogD5aVu68rgZB3UQm8MupMCBGxaMQihI7rTAaWc0WCWQCKeWpmGmYy8KsHBO0IxrTQxSy1WJ&#10;Y8+X94+ZjTPoRMwRz7LbrOHxbcA1Pc+o5t+5WtbGkdt8gwBd4rpOTqnTzKdHPCS1gmdS90CrqI2j&#10;usLhBO+6qqlJIbX4i56KpcRa9b4oAfdk3Bqe5Xbu4gFHbkx6AmcO4+WIjU5OJjPtcjBObHa4OW+j&#10;uFzOv9BCVzS7VqBx82/S9rj/xV9yPNcyYirU+0lRSKVq0V8jFak5BzG+ODiRBfeRcyNV4/Yj0/Mb&#10;8WIgTO/dnujQuxf2beRohy3YPCs4dehXrW74H0esekdBppOS3V2dZwUEGDQOVepuob3KVT8GtXz/&#10;8mLAuZ2SAFNgfDSX5NC0JbeCXTePbAw9r/vXCvHVVXVp5uhBwqH/TOCh7lDDpCb2UWcRERojO8yN&#10;M8VHHNYz6iHhaoIqRqkid786eiBtvsrhBszLbis5AgHVJar+rF+8PsDSByIqJFKuREsXEDKJv/5J&#10;NUxjDzvGFINRIP+ChQErt9P406oASveml0nRON1pOFp9unZVAVJUq/07RDGhQqHlANdt727OtLat&#10;99c50EVIx08TN86zS9wKSHb2ZSextVAHdG5sKX+IL3RQ/nhLP5ktNgGj+Y4rRnk88Ug9qaM2LI7L&#10;Y9KDdcnv9Y6nODLrWhlWHvcv7s+0nrtFTJYeFRs4oyWoE1OmXLVF0E8YqsyUokNIlSYZ8KVJtT54&#10;WMx1uce01cJcomqlk5aYHcV1YjRY0Nf97cGbVQ6l+naso2Z2OAOv+7tszS8XYQ3/Sqraxpfekiu5&#10;H7W/Hmrmvxr0n+RgpalirWJ/MAqneHhLrS36xjf4YCOLejomqS7QgV5dSXk5Os5s2GbtHoT7FKvt&#10;SVwUnzJ4s4BL2Kv9c/KQbSR13HPmdxDNCpn2RnnNJqI7VipSs8KWhu6bzWKbYjQtia7E6qyAeDP6&#10;ROhvoU466LS1YvTLw/PA5EdkgGcynmXBR2wyqcDae1QggyK9ZlVdSGWZxMA+fIEtUArDFW+o4PiI&#10;q6rKVqwVmjq7fei1KdqZkDBR+cZ0qzt3Nm8IzcZCIC3qO2HnBHo7F0lSHf16PJs8cey08aNu+dhI&#10;WgAI9oLcyHl1hIAO0ERZfJBHdWUZVJThxE/OHibnFk6fwkkM5XC9P+4cSrSbvx7ArlITPApMELuw&#10;josGypdSJTpIIWfZybcM6qwLBbLuGaFe8ykfoIiozSGhTu9wawyS0956TCiyO3revzNPynnZrOKj&#10;v98Iq0qPpBHwbzbUcADrILmGUyeNRiJSO4O+xaoOSQSvvcR5oosd6GuohSzvyk1ztpPrydkkNSuP&#10;oJ5bxaqZnjGDYi5w5zed0WPmlO7Wr0ErQsrTL3RCrKPKrcEmYY+xo/L+yzlHX5KLl8mW7nlkdMjJ&#10;GDTt+GvqSZ+I+UkU1TgXJabv1/uHnyjZiz6bCqbwFfbUKBqfzcqzVqUG/wTjkHryLnJKMyr/UHIH&#10;LYUIEjpgB6VorFB5XyAPaScioiBoDihrR0GXSpbYn9tTU4DvwPhrgsJZjfrdQMKZhRVu0oy/6r8D&#10;jGR82j+aeVH6IIFgo47QdmIi4xwSIHXnEipzneRCjxTtTDwnNyj7gEEuojE387jwqHqu+RoCKPht&#10;AV5+qlVi/xx0g0ZJxz3vjjEL24KKujRNxV9lJfvCCQcd9Q670/AvVRD1RaXjhCiQmVD+kCzEpIDJ&#10;Yi5w/YC2u65ZWAcPgb8598yvGMirdFQ9FZKkOph5ifMwS6P8EqJF92X/WzW5p5njgIeiSpc03R2b&#10;v02qYazO5bbf4auDdjn+zm49JJ5/RbOTNe9vnMtoDGTtXPcxYw+IJG8ihF0l9iZiUmB7B8mgP16b&#10;pHAJSJde8u5lHaLbzeAPhEcBV8BdRaL4awY1LT9M+ze+klJyoXBVJcFz8C3jZNNhgJPq2T9QymzO&#10;IwoIBVMSOK/FfvRMNtDjvxBtYJLsBTW0ARc5vemF42RiByUSD7zFbq7VszgXXvJdabMi8yC5KEyN&#10;7oJpzzRhGWPpULJXM48bNnnuSPaOVc4ZVPGOpX00PLnm/uRSl7UrYZi1NIt0OfyAsEoGjkd7t85E&#10;eIfVbjAo9zA9u4lJnsLvpLzaA9MIlXDoZXiVQTMMte+b1I76bgb1KLZNSDOxiP7FTj2m8Q8a4qHv&#10;5a1BjzQgqyzwhB5fGDypg0WBntIzhiyTL2NpwD+mBLYCZAJcL7pHWDAQTL/QCa5ONq1+f2qkprUu&#10;K/vEM72kWf5qjerLszLc32V9x/AJJMiQ//VrQ2zhcuWYruhoKDo98zXV7Yin/bfQp53rWJDXboe/&#10;Axf4mCyv/a8CoUIMX6pslIZ5ODV5SyUA7V5HOvnhQ3nP3kvIvB5sz24fQKhcRSsZrIKd0wc6qCBu&#10;LikgbIeyK4JGHr+KK4kpa+JXD6U+xthkBHVCrfylgpPmCfdqVp+rdILZWgt6DXau7KZV/qZzBw3d&#10;eHgddq2PiocY3dzmHiMFN9ko3T7rQQ07H+DjXeWtZ294yfS41/cQRe1b7FZWxcnV9ATQZc+DBiMC&#10;PW1VFcRrLpwlgoSL6GeFVFHk7yMWHK7EjusAH9F7GujRf0SHCLC2MteFHjS+Nl5ae5dU+OSmPUo5&#10;x2j+Icp1z+c8mkgdt/lwFGib9tmyzsrxmdRCp8r7jIr/dlbcymU8g6t7n3vRySl+052Q7S5eargQ&#10;YzsOn3elAmAWBzngbJSFDPJDty7rWOZVzixH0589WQTrOYENemtEoJNL5HGRTVz0LVYtvyQLesOx&#10;filQjLaS7NXMb/cHElULE6nD9RzUoLk/n0AFXc5u988SrMjPIdUGpo8xHg5VXZGDEz0RozCb4wQt&#10;HzVgdppN3yG3BhLQjBxjH565XIxA4MOZ7u3yt1KE1HgNcGU0teKNy6fJyLB/wwN954DDg89Le3ti&#10;R8vpVR3/CE/LFSyDIlZE0ParE6QCZ65PybHcTodUqaX2Bx7BB5tVANDlwIjWGmwKs7ubcCvGXP+f&#10;YsfUzhzjVLrv6Pt/GCv+u/x7fNztz1AK2ca1KCqyud8/Hnav0eB7fMkc7m/i0212giMcm7a8PrsF&#10;L4N+ja4hnQg16+lmURkUkcEGRxb9+KL9cwsluHiNT6Ejh1WSCo+J9xCkQ9DDTQ/oJYRl0KcS3rk8&#10;u/NUd+jVoGDHVx1iSX47T/L7kLfByPf9sZ6IoYIKal2+stopf39RqttCtkEpC8bNknNcgLQhUBrZ&#10;3BcbyUevwJ5wMbdXQ2rIo1dd59ujakrj2rNzpEZUBTrj5DzyD/DT1jlBYF6f8zWiNW3EBzOu6lyw&#10;mzvdoAVF+L0LZzcqzK059qSyGSv4qlZadPaU11KwfLulExnuDM/UQoKsT3qBD0m3DJIQhFsQq39U&#10;YhOCwl9em5Hha6zPxTbAt6w7Rv0Vme17VHmTI9OPKAaDZjS/kkrR+W4kK36d8YO3saec68FQGpjw&#10;04WV6c7b0GnP31GJszs1w64pPZUa5VoCNYPq44EXuKvsOAmlxV2+iNQxw/QHvSQgzCBwl95L4z+k&#10;whU00BiVORZZRKUgnjBx7lBgv7nOaGCh0kSdcm0Ew5zuT686X3rOOTnzhApn6XT/6tTTtU0GfXdD&#10;54vzaq+8eJOc4DJbGZCcXm10cYtzGk3vLp8LuTNa++qV4dNvzjWXnNuDhGefmLse+Osqu4GXwyWG&#10;7Z/Dd/6/7X/Hmz3bL3JGwunKWIKcw/lIHX2cTi61fN3/UqdRJheq6YVYjv7+jvgRMOd3shLWgsqp&#10;jBkmvpXyyHHbTHc7nxjNoI6pMjPomKzQR2YGj/uv5vfZ6UlpQokq9yzV4yk323vNxOY19/FTOYgf&#10;yrphqWblK8IEn0Ej4fOQuqe8qSv1hQ9JASExi2CMcYaFa/vw/geFrlCjh+eDtXxAgWtWtkMQ0JjC&#10;YOSGrwfl2m/mfbwaCEKcOTr92p/uYxlmC9JQeQX2W7pmFgAOuLhbb8Obaz9NWfbSopO40abSxHI4&#10;tmJqbTk5QGZ4JdLnmjMQ0CK3NMAgz+CVyE/J/unG25wmuzRExTPhBmtzz5Jebv94cJI6JSep/1D5&#10;IehQ/4MEi7JkA9djqub/TIQ8O+2SDIgX/KrsNPlHBoX2qFcyB+39A1UoWz+QbxYCkGoU40w9BXlv&#10;DsJJb5B9CfcfTN0OQ6fItDvRpTLphNsZPU5iw6Cxf/qKMCqzUA1THc3KS3045l9uPyljJEk8jODh&#10;r1dJvDTVOhNc8AuhhavvuAIKMQZNoU2qOf8Zs6WBkOGf1V2q0ieUjkVOpyy6VtcNfbdZoIo3qxG1&#10;N5qrk8yZfzPodY0nERlU7ZeQfCF2GsTdQMwJ/+QrlnLpVceRO18LNIKB6Em+y0DqJOnYGeRyhRrx&#10;Q8ltcfWw8RZmuPxUMZskiIy8OrH7a/TP6UFOG0bfQh/G3S2UOm3vQTXfj+FxoQSifAwHXhmY34uD&#10;DiqTk2uq8j/cybPPS9UK0IrqG4haAgctG1HbiApZ6a/phMwaHrcjiBoT6319T/ajAlvztZf56P8o&#10;s97LZwUoGyJFfVIt3ZudGB8RJXUxyK+cfjcT01vFbfvXQXeJYvsPA0O5JdrjrA65x+UA2aTHVf4o&#10;K+gpMQK48wzq3l1Y+L0cZSI6gjf7KH8DBB07oQUEZWkfH/OR/JUqouMjlTlBqmVM78MNtWEKksAX&#10;wryLLUaYVS37X16SDWbQEs+T7/VwTb7KkzhaHsWFyW42jxoUZ14m719SM2Jbg7Pdhrw1dQtffBI/&#10;K2tPVPAhfDda3k9ZCACObj8Vdrvp7uqDAxj/u1pc7ab/tmpN5XyKP5m2TVICUN9G7vB88lGCgv9O&#10;j/e2Zczd9F+gEDxEh+r/jTgo+ETKFv6f/p5hULp7a/wG1FMv9A1IVx0BuKTn3toXvN28Gnipzn6n&#10;qvQ9u/Kz8wZs1bw6u84FyrPn8F024H5jq/cZd++/PjN9yy7aw256zhDyGt7cPeaxRkvQtLx69s9A&#10;p30U+HlQHC4RobB5RKPBUWK5efGTdEVDJqZAYF4BSQCJHcWTi933JA02i5Go8HTyqohTE/zlwdUv&#10;qtTUEzhT8OGdQ1gHBrUI/81O7nFZH/uJvxj+d0f4Yuc4pKcErBfxYyY/Vfz8AyC7kodP21+hezuU&#10;MjQEBq1fDlWQRcO6sWZqj5M/KJIZK2JewxELwW5sdghXvKo5XtWLLzXLV/Mv+/E8QItr6NQxXH2p&#10;aVVNZPY/mCnDxJ9Wv9ORHqxMSDdcJls1H5KpIv2NiJ22CyiscjBXj777Yjqh9NQWXuy1aSV4vIH2&#10;GUcB+oZ3QwKHrwm2wzd2KbDTBxfd3Z8cPepYEq+BAwmZyykMmHOBFtBjDgk7niuPyOIdbexnlyju&#10;ZJMCJ7gAI2kSb76qAK8IfMkqzcb8JLXCP+BlCZseJFEO0Lh3PipLdyA/KNNqkd7oTlY6/iyA0De9&#10;+J5TWHwIPtPxLiOTZuV1OeFuHK9Xm3RBoRRQBb5F45QeBYYK9yDLBut5h+tUjOxp4NvOW9gMHoLj&#10;W1ZgWQ1127IHEHVkfd5/FK1g5TuIGtJxlJLxjoaNen9rlWYYV+2OivjDxVlUrrQRKpHWY5kTl6/N&#10;cGFr2goLqRJpYgoUqY+y+egIOEKlcU1H8Sv8sxqR6UDSwBW+/WdhAag7XxF0C4z88WMobAE1bkMr&#10;/d8HK6E03uUE4P4dUpFcYmEqqmH7a6zJNyHCWUmfSLxzUyG57dBg+ZdFnwUpSShwkE5zIRX3I/9x&#10;gbL4PtT/SO4BaMLWO2u5z7EAoVES6KCUVZJz/oAlDlplfKZd0kr/6o/Al16l9JdRlSosKd9mxWsw&#10;2n8Fiw9YTnFq5grXc4sFNqT6I5zQwaxILQMRND+aahfimAtEoSYVx4Ey09iHEBqlUlFwUf1oU2VC&#10;jAgbElrX6UwdCSCMBzyBOPWF57Dr8aB4BqVFKvIuryQiTIvAEC7d1b6geKpsLQdtTnxSqNBQaBT3&#10;8nwAHQFJudrcl2JPiV32EwWmt+IfveGupbcCjCoCTyB1ou+F1OM+D/8Du4VUuyw3JYY5iJo8Xf2k&#10;U6Po5PKc44V8X51smtZVW8mnPY7ZqyLqggfGSS9KKGojFwGKbsPqhVROYahuPhwvq5ZUezurBors&#10;3ohg6D3sH4zzdmT1Voq7d4JrT3YCB99aKfhlQQhHJzo7xZOWV70yG5HTXyTVSsadE9d/HPbvUP2y&#10;b64ubgWUOUz8raJvTSrKot6FVKaL11SkS88CxcMnxomlFWbd6fT2gJpo+tERjfG8P/nydWQsUwGL&#10;wUkbGuoZqWVrG13AIrFQKU4afCaOtsI1cJqzAIrgnZk0+s03Mtk5vZ31N8oqTHuSrrj7GGP5KI2B&#10;GvdQUppDMWRAbc6EwkgDjPoRu+h58O+XNfVR98kqyFtPKARjvbwPxdBd7Y9kVUDYKVDZuwG0cCN6&#10;hubkXq2Kh7UzZGWFGZOKkaH1hFfPQyCS0pj3InoBJpdUWWUUqJpa5EdzJqO/IV+fOTVTxVccF53D&#10;d6sJ3xDyN4nx9jKZw2Q6ps3czBocDE++YGoWdGR4rxwB2oWHDODqbDnhqDPffjnsweR/cZD3VL5J&#10;nKTbWqgBYPsKEpWCJyhB0BDUbEb4LuxFTOq8hAoGaozn6AAIt0uJD5M6XBZFaPIH+MR4qRf5FK+8&#10;K0kfpZwAVz+I6wIpYSqCFR3jFlRnR7U49pzq0f3wC+Wwt6Fbs1Gk7gqoAB0PpIOwvm5xhHfDDSXL&#10;ZOI58AxfHyrpKClpkKPbcm2SespsiNm+LlL2vu7K+qtudmIWFQWmIiPaVjG94IrlISeRuJ7Zxi/K&#10;L7JjCo657r70m690EmOUksnQtnOlK/SZ+0YKqrw/3Bn6bg4ZIxm6ZkOn/9pfF9B57EzRc/BTUnd5&#10;BRoskms6/ZvHmX0WFl01LRY6IEZMZY3infUdFQxSRZFitASSK9KValy53gNO2ZxsXA+0Oezy4NmO&#10;mkgbZ1TCsKwo5CjfLS0KCRlVIPKVmw3qM3SRCk+4kI4qz45t+Mse4MCV1G9S03MXAL5YNoYDtRVf&#10;xPW1qAnd13kSOa2VgCImSL7gWjnC78fUYFVhFSYDPjVJPzU5CUfE0MFjkQ6S+tVAYdRuT8ChYW4w&#10;CP844juk6/rsKPNlGbxLPdUfNeOw7V1W3KZFTyuBllVAKmrs6xLOMzoA/fr1YOd7N+WHWgnWNWmY&#10;ph/RhJAaRgJnQondhAo4w0Ux/FapU6GSA/U07GDYlipKpksMD1JUDjOIa7ww8R4/UcTSPZPoGhfr&#10;7LWNGMV97KqsHagBLAKaq6Dxgbq4QRrj4vJzmQBI0QWHMA83QYPhMq+uS6rhzwFdengy9B4l8sPq&#10;tpdUlDD8lL702VEIgwKTMgHqHIKfF4ISdDBSSLURFR7wYwxJPD4QWSAV5XSL/eyXHOAlXJzdEgOA&#10;YpR+JhWPlHwaLFzeCAU99inZI7jTCASahcK0/+0bixtKuL5gDSEymxxaAReUarLE0FyUqmVcDqkK&#10;s9BT8kEJMfM3pDpiMRRRH+j/kHKXLHZomclEwCofC0OFIjXkz6TSVfJpF2jKBzZRWoVsK1Ip7QYN&#10;yLGUKqDpQPET1PQ6YoKgXEs/4X9TKieRVXwzjM53YZURkAR/Q6pMAOc8jgaz5HzFW0PLCd9Z9hFu&#10;EIfWpFIBXWxSy1YtC6++ks9MyQ+HE7cSrAdVsWGMNgRjuCuTobbQJ875XtmduU3325mHM2p9Jdwq&#10;p3rDvGBoadjQvQ5S8d9+hdSh2QQxJeoDSwpflkI2jSsND09NWebOgHD3glTULFKNXlsVlNJCPJBQ&#10;kwrrOr8Xi/cxhVZ580p2H9Q4QvjotgjLxrYbLseIgRfa0Xszrn2SYPyQRtDwiiQtPk3QNjuDZ+Td&#10;/pEJSIWyKouWjbzEZvRmp8DAidbfKUr2VcT0pkJvMSPfJlVMw4HCWRpzRgS6VW2JACp0+WkgWsXY&#10;ZugvzhKDso88S0FpqXwaqZyX0aHy399SOcqlNdON80a3v+13mC3yAtfqKfi0+5mlAZw5rrYLqdRE&#10;2R6jBsUl71cK1pxJ9aQdnq2/I7V2d8+utp4qXg8ZlVYhNJjoepA5d/EhA9MZPJe5hW1TlLcyUpIl&#10;r9oCWpr8Et2LI3yiwBtj9qwWpEZbi5UGSIRt5X/j3fJ/i8ZVAQIp+TFifh5Nt0TnY7qja/jgvAXi&#10;Jim+GMdbowOso9TAJyMypHyAZNwFf91uB8QDAo4O5lgAJS2kOCz5gVnvJm1TSYdEqmMJFa+0Ai9N&#10;O+Y480K6LwGyLeP2a/yAbIW4jx50yejErNozq0Lx6MjpqvtRy9WOCmQX87yitDzzu8NtBAaEKuiD&#10;L4i8537F02JU3hxDCXWSlOm4VA5YwIXnyNe7/PT84BvTihdU93lv4KkVMACZslvIDqRAus1SbSlE&#10;xJZvZ4K6myiAtVo/xet7lrID42hISAAvX8ojYdYG4jGUBl9VgggHtxQqY4Lyh9r7EscefQZAC79s&#10;4CRVS7T5SgZBaJQXDvIcBdn/evUl6g3UDleEuTDcuh1eXkCDY4dxLeCVco/bslIOV3seAZ4Kx98g&#10;qQLACqrWx5jPlm8EJ6qm/eFLnQQseLPqnUTfJ1Q9c55VFDiNOO7JhP3FB40PlLlQfAKPkE9nXJyp&#10;gsHWyoW50GwGsehDuoSRgzTUQ96K1DZWMbaTVliqyV96lkFhtVOlNyka6luUgrEda4t31i87KVec&#10;RPIRYaA60W49Gfqbe2G0oDfm0vSgMjh6K1UpjQUvzMVnZs9OmSszqbL9e3RlJtWX7gFRK2BW4OF0&#10;29B6JQIkdN1wRTHLy9y708xOpTNNKRV1BwiBvJcLY7wsmQx9s2rjeb7NHvlyuG8KlTo+w+B2pFLf&#10;1nEBluTX9gpKpytlm0nVfUW2uQUVgMbGOsqR9rYZpNbJQJXx6Yw2YWnMjG+QmabbYnpRKi0+IZ/w&#10;t6K00YoaJjCmC8UbTYePemwqXWuB9baM2Ycmwy7wDtYc7apout2BRQ0PiEzp2fAzouPl3NhsEorn&#10;g9Ryeb0yxiVqoBxleV4rPYLPCqxJQvcQptjvfKng7O87sQsksNdQ6kzRkX1MgD8xgIa1HGuIPvF5&#10;AUp2s7vp8h8u0yyRwaKvDFcv8C6om0RRYNhvr4xy8K5wQbF7QyoU1mnUcax8HOfbvMiCWtFndOBR&#10;iRdokwWtfaW+8jqL6L2aMIE3feiW1erW34QPJ3nAG4iMbKHWb3dfMl5lRo01RJ1gxByAYSN/45Yc&#10;mGN4wb96OyjglTFckVrrSpXoiN8MpT6UcxDVhHZ6nlOYbpFb/kKJ0lZghP49DNN1MZmBivCq3cLz&#10;pxrhIN6tqarMcv/2DWn3+zuBeD/A96vMw0P6CAoCYuAvhTOp1Upxp/KLg9oaLrs7ZQlcgCxA5iAf&#10;HisYxDUUpCPFrM81aDwJgxyYWNK/9458fIx8uzrp2mVIP0qGT0yiWpuSFiEib+/MPBzqgz2vHAW9&#10;ghniGm2o9vx9wa/FWvSA0asYBj14Ji5z/4A/DZZ3klWIpeMScSD+QBisjzzKa5DQw7ZbRCaWPujv&#10;EOFyTUhyyFDoG/oCm5uAjuUfRVynq7qAfxQDRKz8F8fKiL+p7AN++180LI0V4kvKWPFrGTUXGTLG&#10;tNi9KN8wu3FZCKBf/g5KHT8wek6/dRlpMrwbtc5wzztFYa10lH201ulTs+Q97Up/24PfdOfFxOi6&#10;yzJ4BI7nqAT6MhatMS1hQDj2Ss/DwIeVuEIHB0CfPkZ51m1XVa1hX1DrFAiV3Q1KqxdgFJSKFx7I&#10;FwX8QCm8zUMnJWu5HwVqv+DW2uklzrAqoInW8V0dLh2UW6zK9lmWWbYnICT++npC4FemT+4AHRgB&#10;CZjKAp1AJQapHBwzNahhC1S4ayOC2+AZp/XstjIdYPRbcirkcE83p2n/ExS8o8hXSZ6D6ru81Yvs&#10;qfejBn+70LzPJp4v8Cp9F6XPOtoy94USGhT+wn10/tvXVTbddkLf6hanM6mMchstHMYH0Fu5EPfg&#10;uXW2iq0VGOOWkOst0LQ5M64vl4mox01gtTOBsmzrURuA9DgohsSwD3lvzTWceHGOKx5Syvm1BDE4&#10;TRsFgEEZv6IWukjNO4lbTdOSHB7FKKubM6kUuCK83Tbloy/wgDr5G0OeHdLiAUpOpVsqSxLA6SMS&#10;adZJaVxep0l5lRto6Qd8XMhVmGEW48V7KXiBGWkDkTSxi4YYYPCillxSZde+JjbvywyLQTOpOP78&#10;cO6acYw13WJNiKcuibZviPRk0fRExz6Hr081fFF6qIX7eJzZD2vVUICLhcGRm6lBC0gtkLy6eG/e&#10;hGq4igfSc6wB4u4GqdrUcxXNAKkqTT3S0244oFii+YuTU2VcRfh4nB4dd7DsCckug7acIj2wyYID&#10;g4fSVpEQqPuVK3ijAx47CzNFuR5YnHOVUgVxH/XpB+105fn1ipUlUom6MRL9oFM5nPxiy0tAbu3L&#10;nYCAd56C5CKu9MeI3shWG2btOOQHjApaGKW+WJObgxgydt9T+BoThiO/sy8RvQbDcEGuO+nXKO9E&#10;O91aXyLUeE07y01ZLChrCIAazGpS0VwE6yRqBZVc1F0IoPJC4USPubZKDtth+/RDNKULEcao9E3t&#10;A886xwoeQ7vvnQEqCQrtMMPvH/HQmuiXdq8KN6qqkhcykHcgVjG9iIBLeK8crvWX03/PpIoABctm&#10;T6DmmEv0XJojBvsFuiAQCl0AP7lHZ5gxYak8XS4fQK00iz7iC3dGjCFpE1tVU+u412rzkwpPRiO6&#10;VFD0squ335cacKBHcDRYrdQllf8r/ZU9FUgKshNhzYrOamaVhji5KlATXdcjdkEg1MdulG/ldcBj&#10;ej0agUR3zDgUixKqt2jOkq4l/CgkqT8tsSsIPd/CI9BFzrX5s/U3/CtxyDEVUFK3+iu7oKJcovxw&#10;irCpEG4v7CnWBEIU2r5aEhCkMC9W8urMNXSxpCFf8JCFIzi/DGbCgfBTyiu3NSmAoNxU4Axb1Saz&#10;lPWu0cKP0t/geFb5PYqgIZVWG6FhiaDQ9NCZRh0NaOiB5wk+Xcy6XK18N2wXBGwBHVLcOhU4pNe6&#10;BrhVXmaBa3WDwcbvqGDloj2FmrLlvEjV5v5oSC1nvbxNtZoWJ5Zu6aoXsemGZmv95SKDtclRCSYe&#10;71Z+Ro7fi/ZAWW71YevCL0S1Dk7iA/foU7kOFTAT4W9cjPCgc4avmRVC8S3a5Bh0dq6Agoa/Iv4P&#10;N79VAtWT0/3OSQl+kgmR+ielEZ9ea2xAAU/O1urJOKAZtnghLuB1nsOVx4voq2BLaqLGKQ9HrbIr&#10;Ufc7V7W2hrL3oVSQBLEquIS9qY+KID5XHsltsKlNdTViUQIoV1SEuaZsi1mLsPowVLpONvoLkYzw&#10;P6nk+wRzdWhwUYrq83fwZ0Vq6cJ1UrXVrJVOirN8g0bKBFryd9wWhiZIfYyXypa73IWwS51FZB9b&#10;olrHObGBcEy6WRuvUx6J8bx8h5Tab4TUjf6ioGAe95epdvjwXBpclHJdVg/6UNpxWK2+6R1XG5xL&#10;rT3AxAmWy3CxcogP5jLEh/3yHvFHzrTM1lDX91+7+9nhG3fd+m9RGIu5HpNR5Fzpf3XIxi6krvW3&#10;VFNSkDxk15SdTlCIJcrYrDGG7a0hzXRGiRiWXkU3qRFcf+wNF4FsFoSK2iMl0u4XRwr+WGaq0dTN&#10;iyBcaSX/R+pC2eFLIdqzNa7qLy3xaftIqV5OKIjzyrsmslMjHBbGNTRCSzP/tlutoZhguGxHAxu9&#10;V4960/92J1yTY49vtcM0AGLpS2xA+uED5Um4JTAZIMrLJQ/MgcO2t3diDHIReklZVkBo9lHllx2k&#10;FPrCR0D8+7AAU/2ftlRg1rXkgn0rBrC7dsoMX6jT6B/Pso3sR/3WY4Cyj2xtL2SWMCU+38I2VCY+&#10;IhopQr1pGbslOrq9urKMBSH0lFlN9KgUNPrptI+KM6X0M8cOcF/dGQWMIpXjAjNOmjqo85VIl8Sn&#10;nTKY5ptGcJd6MVmm6ENxaOSvclHeBrAwAfRyo1H5UM3faXG2R+QHr7GerDnE86zW6tUHxK7xtnKV&#10;Ht6IP2hjwaEUigdz5HMfFsDb47D+mdKSRsW7SBDsULHqpEjVfaDHstbqD+pjsaIa0W9m0rGkOeZC&#10;Xt6apg9DQIjHwGJDcGyzEBTpJgHj8qN/ZhxDKf1698oVp1LqlR9x8Pk4IFPgVP4OSpGXmxmz/hzy&#10;wPtuVrEilTpekksKDzsddo486Yj2H+VCsNVZp+jonisM55xDL2qdiTQZnm0R2wBj1u3lYbmhujjE&#10;aBBRBposs0BVL4QbGNshQ2oPZZd0eN6fnt16J6igkBLhFOPQJ5keYtw7zHErdl2Xqe9aAYXun2ug&#10;/jUV3jBsOBK0HRqJGDIWFw5cL8HLPZZtCyV5CYwbs9WLWVYROMYGwovmS4EF/26FrQuQZSflAErz&#10;QPnObqIjERrqExsOAt2iSQX1JsF5GvCFyoMIOtEVPfhrDAMrqjDFsObsggTVrbRBrKWJJrHTslKU&#10;nwvTm8iPOT+1WqihdCNU32Zz3eExuCuIChpW7roc5Qa+cgzjGCyXSGr9TYbKQ4tUrlerIHTYES3p&#10;afCaq7mH5m3xYZvg9zWBYYMa6vaw2//e+aCr10KpGl9ZDajY5JxcKcMD0NGBJpSOVCKg+v6MDgM6&#10;FfQyFANgXuHLdjhtdE9S6e6l5o+lvhk5/qhIpXIJh65go4rh0Zi0IhjI9f8sao5e6al/UnCAgeG4&#10;P/hq84OZ4+4anrZxigh4ZAZAq5XONvJl1oMSIVaJf0mskceoYqcQCwXyI4TlmrgPSvVx8aelNGhu&#10;leUsNnhD1vdDHsxUHPwBM8aipGOeVB9BXBteZgycnBQYHbzi1yre3n+xKzLlWkmVpeCSFJEWIN+y&#10;ga4z/F31JjXmDgZxWWNBc79mi2F7ROeBPRliHsZjN7Fauu1QAlMTgDvuMXI2NH6X1PH8Jsc+7erj&#10;N0NbI+Do5m40BaiUvQIvh/0zfCima7BgmFXpU4oYs/tZLC+UhlUDNFOh3/z8GkpLPqr0DwbwWExq&#10;IIgMd8Z+Ua64C2UmlcFe9S6tl1TNk8fuqt5f7Xq9/rjfwapoYc77xm5EVGpRgP7SD3zziZChipj5&#10;dTYNDpYMhdtYHpSeFMPsfmF6ADsW/x/xwqFUTQB7uiR9kZR2auheKB3upJVuJpUOvM3besFY6DsY&#10;/AypjJ9iJnB2QiY0Yi1X8OOewYBa686w//Dlk2OOUP6Fzkif5mcJCrliLCiPzBcmPZcYGmKewDB0&#10;F6dwZ4CnipEmlTa1HwtV4LgrGavjp5LIQupyopLRENKzG0QBhcvFLEibU1Wq8E92qhZVJupaIrjI&#10;s5Ic3cxCDIipnebRhlbezPNKDFUQRw0oH7iKRhHm4zhV5uIao+Va62O0GmgRi+Ezhrkjfjd1lMyq&#10;ZTeyVVLhEbrlKyAA6wAvXPB0cDAkwKtmK/KLe2RMcK8p01fYSLceFnAi/hrp40ifaaiXoqehzhFk&#10;CnM4Hbw37xncGJw96P6X5b7KFto/l8aASJxJkRqcW7dyrEVLMCO4Clp0eMFq9VQEUKiEo7SqOAWm&#10;qm9xTOBQN/ELjW6+PuT9Eh+J3jNSrhLHuvhuKhLdaxW2DgEpVYjztMfChVIvLRIWhdzHSgQv+lSU&#10;FnkpALKAjsQVC78bMkqGiP7UpJajO/sIvkOWw4OPjanXaHMf10/vjFZbNCKhKxOxRRizDqIyRYa0&#10;A+mskMLJ0Y1r+DWUEG53yGqGzIbOtSzW2Ue5yjKSVj+ti4sUUyYC5ccOjB9SRa5v+0ipRDAAZ729&#10;npOBR8ZQbgyjxJF32aCOYXf1ZcpP8gW8O1LN0OIcNKGFdkZ2ZggydFZ+KZArhaLZfKADtEx/HvbP&#10;kFEpmdEypfoNzTEWqTT8VDllVq+tkYdE/sS3IBM+wUIKMaLWUjuAL2cXa2tzNH3UKOKHlizrAfiN&#10;5gKoqP6JvkDJt7SHNjcRYqMqeFqERroAomql4CRbHaM56AoDpKNSAb3EvZcRghLHUQ+bgEVZg1I8&#10;Q7YRKCPl4S10LEtnI27INYg3kg5Tmi9SBvE4EDBEk6nZ/AFh6vZEaBQOSr2Dtdoe3QzRhX1lXJeJ&#10;yO7oIfqpyr/aMkPSkHqaaV9GJAwEzyGcvz5FMus9igUkc+USiMIn3/BmBbqPC1hpR7GNYgU23MT8&#10;HCCYYT5Uf62p/VVbt5TeGkpvGGmoaVMKZmTTp0V32+3dusFg/0P8VBJosAoqdbjtoAnQ52vZexD0&#10;UBlWWKOuD2mUdlRc9H9e9WMxOOY2v3rHoPRoP8G7QAQ4VVlHPgv1CSyW8UX39/RpSUFLs+4ODJ55&#10;ArFJqqfrvPlPSF0xAo9sATkUUeUyIfxklVYn7YwqPodMt9aOl6BYnYAPsrM6nlUopIPiNRLJXady&#10;LIkZ1BmeEIALAJQv93NlSQigAzvmqwcDcDpZqdnf3MVQWk9DNTQi5b7BA5R83n+QVtua+fOShGU4&#10;dNm8YVgfeALnW28/x0+VBwSdQ+WUZ8gpZyalotf3qOFlWTtsK1Z6pj4t2kWF99IlirvMKtESimzI&#10;KVRVD7nFILX8pbCW4KL8gTeGTzVB56x2Q8Gusq1yaQJNspkTcJtjQCVyHPDJwl37fYtVwjCup1hS&#10;Wi+9DgZpGU8zC0xSqTR8b5r7KBykIrdLUuMdxM7vFmrp+/7Kd6dD1sfVqzOh83XdL/DN2TMfEdlB&#10;FMXDrkYPAc7r3vluWE0wcFxyqkePm7ciHIaWKaTI7qKIDOG58o2qgnmHUKreoWAzqSXh1Ldyl4oc&#10;Q3qxPLnUjIH11NQ8hId5DhadzOPGRUu9ozBbSx7TRgEw5uzwAxqETVI5kA2cIqbPPU9LdoaFpW0k&#10;F5mq5xbpzWrjgaPlEv2GLUUP6t1OIFjknQk3xbIuth74Q1TkFtnPSUQZpXyd2d02Od+4j473iEXp&#10;IroGcYMBQ3W7W/WBK/oAX/4U4EJJRgwlxx13ueuy0O74ORCtYl4uAq3OrSVIpF+DUMXAmfwAD/AO&#10;qyUVxrZatOs4S4BPwfrImk5huhlSvwBjy9x2huLN4HihH1OxX2DkUcG9qil1j+wwJp+FjVrwolFR&#10;qnjqICO81Ss247tNeOCWb8H2iclhZbaAUnqOJodDfaVOzO2QuCyD3jeo/SMUA4d8V0Dz1Vp7cssQ&#10;1HcIa/uGACJNNkdUsUL8e1lXUYIkih123GJUB95plApQZyMw/kcO6Ttnw0k3No9IZPmGVLfc+TqJ&#10;kvhhuSW+gZbQJ0rD8JaCkHAX6so4lszZHlrHsWBcgW48/XHqOzyDFoIfvYFcW5r9yB9JjUdfOyY0&#10;Y4xRiu6RjxzQFdYziGGwRLcR4ZDc7ZSuLoBmwCrjL4jeLY4xVlQuqwjtE0GlqPAUronm/mhuY9e/&#10;xQQkxbUlCRRRFf6yexx6dYGWIdtrT96UXWoBUbzoCX0TEx4XiUcE0/4dBengQdu+aTb/JsdYIZxv&#10;2g5IcAXmuKMFlkgc8w5qFyVg0GZ+cmizoVy1b74zRIl28RPuZhMYB/z5+5oh7IaUBImnaMUcOV1N&#10;IBUWegeoSPUKYCwZ0eDkzzurwcXDAIYFXBJq0Hp8RUPG1CT1QltGdCvw7JAkr5Ux5LikpEmNodHK&#10;ASu3B11+UYcGdPqcnlUNWflqV9lxuw5lxU91P++dObbHtw8q8n/mPnX4h0lRaIj4sd7E0OBLwRoG&#10;N1bQ762EW/+LL98bZg+U/u+6/v9yLTU4+H9dF/GNn/fZ3+7U4ruvU0xF2/93lg7NHlrWvo3znka+&#10;jixvAS3Ib9LTg2+AnDipl3X6hk3GokOUwpJht//3IH4Ns/Ku4CFXNJnU4L/SPQ3MGPzH2SuTb6Mc&#10;KPDlS07/VUUlWtE8eyyBKQHefUkpbc/Tf/PVhTWUfMmLUBkzOHLyDjq74p4lVflv8K/P71mdabXP&#10;LlsBKHJBMZX8AIihUdc9TvXT/8Jb3o0KM77y14u+6gwdKCn6atIcH1Yvi7Lrp2n67YUFeXGCtBoS&#10;Jr7RJOO80xsnKLIcs/6cQX2GY3N5gZnWN6SxTp7+VS+gDfpZos4RgKozZLQ0HJhpPXRnqSoSVLue&#10;301KzTf+14hD/7Agt2o/xhq7YlsOl+QPPbWdHKH42ReOhmPYY3fWjT5DIbGCphXrN/udH6W6+hLV&#10;5CBTQ8OorOQwqSaq3eYFOnm9qbV/2Vm8IN+Sk6Tt2MahYN+gSUrmKHguDuWdqcs7YlXep2cSV19o&#10;u99Nx7zC0cj/dvCurXZvHZwdLWdndgEgWa5raDP8QaDgerizvy4FQC3nYNKTNLPgQLxeZxGyPBf4&#10;k98NA54NScmITsq/V5/VP9x9dlvNYQUGutv5kCWWEX+lGsfOKXmW8WAyQvgDZCGYrMN6zmrgIjT/&#10;xUt987ZvYFdMhKT8NhGCNTYvGuErawBZD2hzDkW+lntp+PuqxljKlP/kAHk9FofZICE+X6QTDkRf&#10;8hvLu/2LQppD3uO0f/UNuzrt32PzEwwkmpI8MGTyiXf/+s4M73pN16kXxv5wWrAgvYEvKH2HUDDk&#10;L+davu2EZUvDG2WQkBdWV5zMqOQBCeizDF6gLdSCdd5BBkx5+Y38AZPkSanqRi0yVmLoMn96RUfB&#10;+vCu430fibO7SPvlCNWnPJnMJZDl/ugtLTTOy3liz+5R5kuakWMLVu17NT6o+UWtbzYcDQptN6u7&#10;ey5tUuLDPWBE5G/ZUKmofceHafTAFAF71dd0QGSZrLZOSuVYORfOTDPIDa7759pLEKYoqL+d7L+Z&#10;mrz51uTxaibZrVnQ7W761vOBvNI0jWdQPSoIYBUhzJdRB/AqvgBpoHHY+8P5dGpfaZORok+czXmU&#10;6Yutvaf65vrTAlxFFKRGndVibLV/azb3mmsgtEOt4nUSGAH2uwufRMAfgXcFl1qekTBajSpcEedn&#10;0+hPURPHNjyDd+H9xrv4FLfh5OhDprmoirzQ8XMJWI0tDHxLFSpUqgy0AqAfaIU5vO8LBThV85Fj&#10;6kQLfOtE9rqsbIwWnoMrsoKPKYxe1IvUDplNfGSB4cstSs03+Mppur3ZnzERjZ7iJZcvYN4zU8tR&#10;jYkN2RUk0GurAgw/uT0/yX0pfmGg58kTXD0fAiGZvT9/xxZ9s+TvqNUe36I2HPRlzz2QAg1Wi2Aj&#10;PCCRWwdoYTHQdyQ6Fn8OycLzZpUoRj0J8rY/nPc3DjfVmw5r5jUDRkzNDKVetBTjoByMsQov5yDt&#10;ewXl0hoKzegbplkWy/CPsuqMn/T9B/v3Et0DVHAZtKPyCYOZipQkPQ2IRIGYdsVia8jIgykIXRp9&#10;6UAZQZBFcxFz0HqnKlcsbFAUsrD2PYHGadYmBkwuSP1qQgdOsVRuriVG1jA+zP4hiW0e0KoN5C16&#10;r4xdbwND4x6TXiU+0W1UHhfQtjDbloItaq2NOhmhSrDJH2iI3tQzLNmfES3qDjRZH+dC5kaUpdes&#10;JsYbtDeutx/lElDpjNt4QywI+6M0TW0W5mQwkNdFM2hHCOoo/7yr8sFl1n7fi6+NceyIql4I7knd&#10;L7u02FCrYPtNMgr2VC+wSW7CNTv1tzYGWA09OsZTCIiiURIUTPcdLYYtRLxt3qiJBxMPwlipTR5U&#10;EtmfMI78vM4cdrJHWdfmr09zLRUjCqrwd4nIoN2+eBZBrDLUZpC6omAPLcFbBZvYLIEpUtXiL6i3&#10;U7bhLoWNEuD6QaUitecE/bklftZFApJ/kZErKkErT6YJnegFSYq1WC43uhxFjXyO/ePZVz9EEtM3&#10;pu0KKX+LYrvwxzSBEBZosTCIHYYbJVgzCGC8B1wX/D68BgobT5SRSXXVAExp5mAxJe+Va7b0Rp7m&#10;hvl5SwBiEc5jay3eJ6jRUmXLs51UGRrDdWPxI9258mKxfP7uFfUnC1X9vAY019vLi3tCGycQZtf7&#10;NCMR8xggq1kUeuyTQZE3I1g7/vNwdrJk/YWDtRJUty50jzIsDWdtZDRGyWFXU118y7FIJ3RyHsHe&#10;zCuU9BIzeiWLhtY5Xc0LbThB3tm3Geo0yJhGPGmA3iwAdMJUdOFSafsf2T60YFFDjIlIKGcJsjVD&#10;la0MT17htGgRbBh6qMcFIhUPhFy1MxnToY5aRD1XTZLFgrRjAHn1l3G2k+LRi0/j45NDU9htsq/+&#10;ZB7TEwZIqR8b2DwAQfWYnJYFu/jbggUMprFYfQRj3ux38VltFRkddScR3Nc6bAH4kdWTManfLdiM&#10;Ev0KL+K0dFfw6ly/tCW1SWodIhDBDi1qeQOGHOpIXkQXSxOh2HbHTkmJbYTZAdrTmeyJn6y31A4z&#10;3h2oaYN+x7saHTXqx4ZCLBpMXm3OFvwDKLv08++x4k64CUYx3zRrfQ5hiHqol+6pfRNdKx1dUVUd&#10;Fncku9HGhhJHIPaMWnxrhQ4pubpaCPHMtZHiDN0hB9oU4CCTPMEb6T94RZf0UNuFaixQM3eCXwN/&#10;vZhTPkqfdpneJck5orDlKhimqSaXol5ZeEECiqYFF96YhjL+sLkhA+aW+aIo5rITL9E/qRYtShzB&#10;a6xh0bfIWUOpKQXqwd/2TPt3TVzV0WIp+k1HcbDxc0KUaP/ATJg4tYRQXKVbN6EDGciCaLFpdm11&#10;Q87VHoD+9FFmioSkVbV4maYv5N9Q2HXj+QGm8oIIp1+Oshgmnb8lP0wX91xdHElOkzoEjaiiPYRa&#10;Zrm+jlBOlQCQmJ7T112mdSWz4uTXLFg0/d76DFTvZYoWm/OUycrhiDdnwA+GyIg9cKabOBumnNj9&#10;WDzPdQDyZQgllRXv71uwcFb2x5oYzB93oaJngeIMwqskh1MwThmDfsDsRNe8v9+XVjDXAsXp12lo&#10;oYP6Unthnu5Q5cGiae9bEhWLHMvTShmF67g6M4yRYlDDiUBG5Z8/gOybED8ejUbDE4iJwJgO20os&#10;c0AjmntE4QdDQYAZEWlHnFUgrTW3UuzIATbZQ6bteR6f1iHqGu11u7XpbN02lAiYWmpV7hmA831z&#10;8aNvsTCy2tF4eO21MixVrBYMY08BXJRj0IY4t6xLxkMW0EHUNkY0ZettMhzwhSOFRyFAr7O+lZ2Y&#10;FgZ5+vtabkAO+/5tmKV7rKjPlfwAhq+kSvPC8JRXci1Li6D6Um/1d0kuHoneflkelHTnUC2xybjq&#10;F9mH8wGcSV5TcLL7WV8KeyFprDTU6fTRG7EYDQ5VSC7WvB+WXFxdA4iT0YLYdFdT/IQTBYvQoZI5&#10;sZ05AOO2FgfDe/WxkveAOlUu7qFDLxKgYxyDfiF2BkZS4rAomyRbWvCDVDI5rY9VzMlP41pQWVYc&#10;BjaNcw5LExRLeVqMuLShb5EXfg/MUoRS0ijOnP58f3F2v/9woLvd7isnHj62IQJWPMMdiK2YAoDl&#10;L3kEtU9TrWapDSHSk0QZxvNLKRTJX5IrCt4GJa+HEtjgWyoCMZhRpUhCeen43UXeYYRAa21qvdUd&#10;voDnPsVQXrzTLHpNn7+J0w+Z6HxxILIIaPQpH1/a02JEMeOtgLlTetmVL3GhKXyWqQkcEZOXbO83&#10;as2g4TT8smR/MGbDOclYXoDXN+pnamE2WBFFzmiceFmnLwhxCO74iOEASjq/GNK7JWA9jQyr9Omr&#10;TfI7G2gUyvqwm54hqoJGd15KUL9mMAYBlFeK7CbFNISb/DUR0SDjIf1O0p705Meg1jGpjeZzPnpt&#10;fzdTqyFiFci2Ym8qqejrKHWA563UZQS3cb1lgRCCTVlKkasv7oIHXwlEVek2FquaVWqQur6gesmH&#10;xHJ6HdG/Ir293EeLXYBg+lWy9Ho4bmeuuiUyX5d9JzDPN91mWsVMoAzZfaBEKlenDVSqtK4dp88D&#10;jITC8959UAwMR8MCRYc/zY2FvFDtjJjddK0LuO6g1jaffpbbuRJTnQrRGHpBbR0fGulNJw9wjoAr&#10;wINWURs7oZXLjN0c0A/mgRTAGQMkwH1/tDhLZCVYuDRsKSHpl0N2gYPncRPapwAy6by6xN+TgEWw&#10;Pks+kc3w91dqL4agN6xX5i2BmzZJugKzKXHgOWfMEN4TTizOy44UrFxluse/57g6xkCJx7xuQyst&#10;pEkGksJ+kSflG6nVzEl+why+HCDgWKhLLLQsMLoYrfBFoPTpu1yyFE6/lp5i5ae7edHM8ct5dwHg&#10;MnuUCCgmOiPoZdFwFO656wXRMH4FMRgGIhiiL8uEcfwVWl0yAuDo+yc4jILAfAxtOsrqik72nIPC&#10;i0Joaeqlof1/oQqGnBf/UGtID36JpPUEce1yYy7WcpQxBGOg/RVAm5owC8VxDhCFjIsiPWK8miw8&#10;eJJixqLUX0mQBbnf19R1ryNLDAd8nT3Dw5q8czxvD8wMzj5SvYaSzF25jBJsaX7rIAVwtljKKByM&#10;3TpA63yOr5V7wOu36aHOBX/mMZwBanDPflVZ3vZiC8uRkz9fYyUw1gfHOKY8uGKK1L2OyV9ejUbC&#10;LDfADvdSVtuGSs8d6aOsHJf0BIbS1YUJwd0BW9COz0yrCBeyktnBk9y8kxoF7wsRZ8sAEFf9hKFQ&#10;lk0rOoyCiOQTlh4uHLBc6ILjlMbNl5s0NOU1bCXYZEnAbwd6BJFdNmxBofL4islGVY2rqW9xhaY5&#10;RBAbHFH5lrumfckTID2mLa42rEhN/vZefA6bg17N66qWqR0XM3kOdFLL0UtpkJuFYFS9cojy3AcL&#10;EqdU6Hg2HX6i6TUhCoJCaD0jZlJLCk1KXJuAFcHGWFcWm5EUBwIuvIwZiliJV1E9zONpUKEjrh3h&#10;G4PkZYBvdSPno+NG9eqdiVKRAtrEwQZKh2ARmOUllzdDexQhLT/QDVBNKd1G3gXelFaw5S6B7Ew+&#10;o0zm9RzTt4JFMyK9yMGD5g5s46DwsiR88IIStyVKFzRlGgfwSms5ONGh/sHb0H61iZcX+eWfYRnp&#10;FzURL6B1COHFlTybr7f2WA6vCNgQCMKUUq0VRnAawVdUGAuafqVPn4SlQb+y1BEwbQePQ0jzyirF&#10;MC5BoCRpVYgLqqV0nmauh8yYHpDGu+vpl3S9QTzD+jrP6iMD5M+I5D1AfDhQLJCvrtKdSMkfMzPq&#10;GRP6jzSRMZ1zSjVLG+Drx7ydkeTGRWmagcBtGlIF3J2Cqg4Jq9GLzqBxQmBWQgGnMn4vZGRalWIU&#10;0dH7yZZMsmqd+X7vOrg/t9WmqMXmJ3OaeADCSkZCC5Y+s+5MH+g46kSlOK54OyqVYMF3ZHoBXC44&#10;NfgrAiTOt5D5IjLp+uxbybJQLT/bNIpWewpfALSzOg5NrQaywdNsvA6+Jk0fZIm/VJbTIa+vuqb/&#10;8pmlFP4pvyBATUscKMGqRN4pchpebiFPxQN5OpjBSrDKKcUDRnCdwZfjkiv/7NvUUPhdcXMYCmXA&#10;mBnRa1lM+m2uS1MOOeBv8JeU4HuH/OsHgprF987wKy42N38o2EWJKUO/Iux5CMrqt5AMnFm/zX3x&#10;7oDqJVjkVCyAGbG9/x7LbzO8Mys6ZEYQicG8BwSLD0qgMzdvWuOX+kYMvRe+RZP8hA1l8Y2jXDUp&#10;3H8VzUxpQcljdKEEGdlHM0rQAuN/mwXbxWiR686nuFX5wvVcSgHfNTWG9LYO23OeWcEa8kt3efl+&#10;Re8WYjbPPuxMvuaZURlkqlHUT00ogxBX5Eewci1MRyVNzEHwZEoOY0vQxShDeL3vKQwsCE9bsEPe&#10;uNUIVkRiAFF1QEeLSKFN7lGlrUFGKy0EzajPmBLY0cgXjeY3YspnN0/PMeFiWGh9KPfXvIM/ne+k&#10;voLFekTD01yCV8m5p1/QVG8kR4GwXn8dO4wKO7K/eMQhgIrjF7ZaehnjgRTV9120oxgtRA3V6zUP&#10;FKW3L1rRv+r29ItBaUCETy8LrcO0ftOxv74Np8IWb3tCEphJGBi1Es8WyxV7jrBywQMhv3NFb4zn&#10;Tq39I1w0V28lrvzKTgvS24VgHZUAm9+5yrh0Vy0ooDqnSlRepDRxK5sl6lSderHTL1DxFbtvWhvH&#10;ye/b7CyN5bqLEY/AX+3WXhs9MM8x8dMroTWqtGQtcKb0j6jMMS2KUQq7YdFimiVpDbRgwcUHY2tj&#10;U8aF+lwQSyq1YKGmTdaFWydSHYcM9DLgiXTCuyKD1nTI6SPqx8Av9iv36Gh28PqreGRAKuAtuCiG&#10;0FqkeGF/8tV0uGIGh2ekmhTRRxB2fQWA6WstTm9puwgWNN/0i7TscccvWcqVjWDrUS7tY3r9mOdV&#10;/vKGHOtINGhVtYyHaIB2nDcFiQvj0R9C4a9dDTzaG4o4Z6lcd/a02P3ZTRsYDIT6OyTJd3EphbCo&#10;C7B93A/PCPfzDGUIFm9AD9ffqFozJTAo7wjyINSClZKaBKgzMlnzAr4Yjxi/fptpodVqYAGt76A+&#10;/QrOWFjdcYjU0iJBKiVJDGER+IbW4kMU0Z0oO8ZEeM7goRHr3e+KUZDFQMp12aZnoHyclbhRbT9W&#10;74+vcTnKt8NnYVH2Wa070g34/v3moatw0PpC74w2WJgGxLQs1KqZ8VbwTruOpfTN5MEcr6NQNKGk&#10;aC0d9cDZRX6+bD/tvuUnHBEZ3q5QADPzdChd7cym89zHDQyGhuG05m+vcHZGEYeRXj3Rt5TOSIUB&#10;dfAwS9zMw0PN6DUs8Uley2iRvZ2SwTEkIdJ6jqWHqikePYIiJe1vgrjdonG7vS+ggNhX+HRndXos&#10;a1N3vOIcockH/MW2ocRzkhsLzq+hNvb0WSkB+n3yTJPPQEVJzUojJYErEY5iWj0LBL5Z7VaCsN3c&#10;LIaD+PO3f559pGRBA0T5W7TSMtajpoMrRfeJW6iUOoWTYWobs6JGOIkwRuoIUPoiSoEuK1VCNCBR&#10;JKpCdcCFvJ3ALnWk3ZFj+lPpPYsHjXyDXZl8QOa80pOTgOE+ZDpSgEm0eaFjmvSY6R/FoWpuvMKb&#10;ulWjt9bgylQVNo18IUs29qYpmNcIJgotAXta1oqrHhCmbF6Cn00AgPx1n2J0xVptDh7ST4chjtr6&#10;N7viGL42XTz18pS/xBiPi5gcLEo/P22ixTA+3HlTc04yVHwiCpgElj/VkkeO4J/CHHdWQTN9oQjt&#10;SgWG8B0JBV1WqEMO9VvbqVbs1t/YlUjGsEtH1St/1aBlwrQvPunLrEACSNavVuV2mxCp08xvzJlo&#10;yd/RhnK7hxX5TbBT9qmAT6waXmKhb25NOseGpm/MSMAoGND0n9y9zMtrVoKt97bLobkwbu+bTcrY&#10;Fy2WqPm2p8cteQVlHlxncskvIuBsfoBNHfABmeXuUGk4KMGxIt+7BMPEVYFMgrN31V27WXsviUE0&#10;1OjA+ge6Tvh/XE/hwyDQTQf5yf8UAdLNKYDb6rJZPRm4BcvA9bIhBetv2JgOB72OESL2uJtv8LR2&#10;E2BGigGgddnzVHsSobZoxTkjjSC8/+EKUErLlB7jj316MW/nVeggBcBsevrOsIS1RBjkjeTzS3Ey&#10;yNqw01drzjKk6fBOy97FqGe+hgnSJDikbvAFPB5c8xCmNW8Y2CPUYTALUNcks17UxnhFK8W6CmmY&#10;Pmg4EruwMlVf4bDv3QH3nxElgPQRm77uJVo1HVxhHOMxiNx3xQBWpggA+VAmzGYs5vQh+0cyQKV8&#10;K1hd+izYFqWuBBjW1rfP+hZjEWV3ea2TP6klVDEYyNF0pn21WRRb81Y3+36DalTBlD8AR2QtR5qE&#10;8xowpEJpBQiW/LeCPecnswvmQjUAIqLxDZ1RNE1FYo5acpUnjC5A1PS1JX1fdut1g/RdB/WiFWTk&#10;UHxO3mrbBhvhHy3ARKVBhX1Gyc/BN6i84Z2jJueH2qfY+5AGlspvJdilGOiyjAMCojQECwtzmHqA&#10;GIXJkRyQ0vmmWe2ipUJCGRYFc3QMbyhc7WkftDZ5FtEVNcfuvaiQb7477LK2JjYH3O1zFBGmQokc&#10;qvdnMYLFHQUpafBdUnM47eIkMrNgdQy+P3jsTAHazdq7HIxZ2WYIVn0CWqc5w23xNxYvmqiFFiWi&#10;WZ6ZaWUspCat4MSFdnfBIc/fg4VVsxIA/A6nYCXy5nD6HvdGv5LQnFcxG6zWqlLCAVyzml2xgr2p&#10;ueAQLITNiisaethweAi2MoRBOkLkL6hnHC/I8sL2rZS4aaUdEx5pKkUdtFZ/2dSQtrglI5WTMKD8&#10;ycODr4iAhB84/UC1TUpVoIuYJ7JVlF8nnMeJvn2Lc5wFS9fSIW80cYePTQ3qWkPaPVEbMUFB8Wqu&#10;J7bPpcRNKzKAXSXvNa0lhEi3yjwAx/o9WFuj0FTKe5Iey+D77mcjVkDX8+xajgI3bstsREulHoq1&#10;tREOYFi/LPNJH49lySzYHqAm8SVYikqpIX3wPD+E5Wm3g2/ot1oHRStaww9ngczOohxUlFOvTVby&#10;ZBXEh6xAvATbNhT/VeC2hzlZtUCT8JnzWbAKadz0G1DCzEggosUXPkOwUelRvwQLf2pKEDvPEdTK&#10;iTGWHKqKqjIiGyg065ifNgFRfLPoujJ+JxVRQlkWZIVUbQOYomryZKDYhpaf0pwFa0vv751XTAFf&#10;GWzlXdmjIWtek2jXOeqnRvMEcNh54hgFLY8hEzBU9ZKG4LJhtzA28hcxvgWkFHsR5Z3mWxxoDkZK&#10;U8QOAgubm4G1bFLBuAtdqaPVYAr8kxcxfIbrFICjXkEdPVX9EuyYfNS1scEJ2Y7tUU01I5lI0Xdr&#10;4UoP86KpVqhYebme32W4SIkrsLE4UIxvTB5SQ7YXY0cekJymEzfAuzj+VsX1asJLD7It4juN21GP&#10;K8EWOl0/giVSyL52CjMrgc5JoZUxnZa6aY3+5tEKLaCDZmQRWjE3jk554pt2v3HRuNBW6aKqVCx7&#10;Cqc35NXa1Ur8KHJxhoGgDVt+wIJR0Zr87U5z6wmWoFuz5IvTsx7lnZd6cmitJ0j6NgbQvnFNK5yI&#10;6RW0Ac5arax6yQ8ZoL/Z6Uav3uKQxFKEql3zoV6o4frgYHXaO4GGCqUW8Cg2QwOg2+vFNCCofqwE&#10;G2MOQ4Dc7kM6Is+4eZx4rF4A9wnnRWsZJ5KGmyOjKc8INK1VJ7SixJz4pkUfXcxD1cioYnHVplsg&#10;D7rTYyMBOAMBvsYM5hlAeuY8d6C7TJHSKdpUVx+jxLB3FmzJvJwQ4/2ywFDOF9IAr7kreK/FQFHL&#10;NcqKAgxfmFvTwiAevet1UEZlJpMt00eix/1NbZpNJ0Vr6x45Jgz2ado2hGagbAJGPjpcQ96GPTQb&#10;nXUwbLguflhteRUxME+mgXgKanr8Akm5tDLZPHgCLhzmElRCayQHFP3A8GjpuhZnIRubuEcLENTk&#10;ZgI5FGGWwbVaXiPrdzzL7CKbB5lULIEBt5ZZYLa0rJWUzpSmdStS5QcF+3Izt3rGrHzWrOLAU70/&#10;YQwakInP/mro7HfeVu5x0Noiab2MlDkkRPvTR3cw258TSyuvd/+p63bE6fzui8pbXK0seT/hosS6&#10;Qd0nBkr8mmlhFKwXRrTR0ql7zRfVLI6GvPg/zusiHE68GyoJgKNOdZga9qIT64sJBcJwIepf7lnH&#10;ik7KCkWmNDuH9SnxOEVUMepJ38Io6EFxrLCjRcmqlVjv7AIQfKLCGE+PIzKzYL2xeI+lz1regccj&#10;2tF6OAYUrR628KThHQ4jnHFvfktrBUy9QkHhWWKHFC774Oo188CvnDpGatTNyTSenlH8yR8tHvIe&#10;hlG/UDuUWJlmw26JcV45ogiTQ7wKlqyJekc0Yta8lkd6gVXqZz9dcdwf3Yu7ev5AnvlK193bdOVz&#10;EdcKeKZ1zMxG14Vn4QyqzMzuIM7bCb8x3vgBKSh7q8aZE/SLPhJM6hC0MH7VOHVLH3wgjE7ochhN&#10;5MRfNAi++RoDqriBcUQGwJbhMx2isbB1lL+gcZtfwaXnV6LyszennWeBSxvciPsLra2XwRkleVCJ&#10;wRcTf3iedvFJCrbaB/0pe+3651VjOyodCOfu2fvj+EnXVH6Dz1KJI0hhIGpSIS6/MqwNrbKrZp7n&#10;XET5EezsHP3t8JG0BhjAHk+kP5O/N0+nIQYY9jrTWi4iBiEJCPHXE3rKIfSWOqquSVnLkSUo7kwi&#10;W95QFWXN76kiqBJhaE3iwdhQtrgUeEpReEWjKP432q98TspAnNaSPAuWliWcOg08iIRlR2aKqdsO&#10;o7AFZlrlU/SsBPiy2z/rt1H+5/FyVJ1cZqE6svh0rn5N/5EWSnmSZx+gsjwMpr1CFCTpl+YAJfjy&#10;zaH5OGH8yg+zw74q5BLf9IoYqNpp5kGTBZYYZlk90T/d+3AImjzXLViCkKFh8JSremB9WVxPvyvK&#10;jiIrBC/kBxX6Z3NgUr1LHVzdKnT2IFpStPokl+d8LZ4W3GlXI1PMQHkwdSXYyAStkoOczoIFvdrP&#10;3TP6gAOoZTurQ20zYsh1obX8TSkraL6c9zt/zysa2OmW/itU90ryvcrg7wkhEHigtJ/E3J8zzg/9&#10;hjHQytBnjE0pwK8l7FiZv9Vb/ULp7RePFsilVwcy61kEq8OOho95IMDVauBepVlCA9sl5pRZtZ/G&#10;7bnb/rTLkjhQ6MVX5yCFcJpGxXQ1Uyv4Hp7ph6ObVqaOz0U6hzWTmEUTCO41BiKmyv3Vw7TGP8LL&#10;tokwbm5N77+KEXUegL01J828ciQuoqec51snLekKWRw/x+X4KKzRueJaaNWim9YHfQTMwq4RiGJF&#10;/sUzZUNtvQMe3wdN3U+pYKm20lFGwT15ybHh1p0VWnaBGNELnQTTRbA67GRJs7SAIxicfUzL53+G&#10;lg65LjsBcrFNjB77zWdnfDGfSiFCq+0rGDMYqEKUVacP71/iucrHWYx01X2+sh8rqQ7d+5jAAqG/&#10;+BqKEOzGfUU9IHC4ITxEvh00E4b46Rk4QxPo72sUvBIXpcXo80PF7W86YnFU9KDD0NpT/xSJR8s1&#10;snRtrtM8SetHZT2Un1SG+PchbRFWn9NdAP0N/cIUHGTOMhNvwYJFcYgqrRZUa0bUeQDMyFAnyoPs&#10;0KDJbHdhSuNfGkL0dbPELNeqVTsdQa2GQJ8Z2dsGLRf1exDV00AGgxH5oTYgrpk285oysBbsk4w6&#10;YHHrCjXYnCTVPl3BamHEWovpnQa+b9Z2qywSZC5pLfuFZ26WmGlN2G3VhRte8h7Pk08FQKt6AGAP&#10;vgYIc6m7Kagkvo4STKC0Lc/RbHWUSnAv7TNlgvZSnhnSdHbfCKhxhkG38UTL0jMAler5Ls8bzIK9&#10;Nt4utIaQ5hFGX4/onA0o9cI/IFXQJRXiHe17Znada8HxEappOPkWwiBrmLm1X9gT1+etwJ8XSgyP&#10;oaI8I4LP01/FwAFaMTBkvbDqjEoU1l0QAENoZGxtaBbskZR2ngwMvcwJCBziZcjtlGvbT3E4L1XZ&#10;P12rViidMtch5ncaDB+/mBxVtxEp2MDdzG1fmGMe1YpykAX/E8q8DGqMKCLrRDdaBAznDFs6+eNC&#10;vfBvFp8gieQkz8W20epqdQ989Ngi5MjVNYSoAxudl499lqLJZeCD9gJas9NC+SHTswiGenkNiqNY&#10;mF9n8+boWkfhK6S3YNGT7OhZG2zzYUa1hwIYvS6uZ3dJMSZ3l0VFxhwSBZ2X4+IeSgYASlkPS35h&#10;4jCmrenFjt04cusv/vr0AdfKIRmuaJdHS6obetj9gkE2RxM1YgW7VWI5OAsWyK9nr5nRnnhWVEZr&#10;PaP/j8r3FpkBFmTboFo2O656JDhvJg0TQLVcAJTnvdvTtT+K2iopvhEPyJwiTHJSMrGIdUpqClrP&#10;EWG1oAd/DVAp6UXghoIFiwtH++9ZsGnJ37XB9qWh11A4COBK5wVdEEjy4H7QHUY033OmV3l+ZpoS&#10;W4RJpQ70l/1AyeOx2BTKUd835J7E91Dor4ju3NCcxtQYFtrI2kPzD+4ZnhhRh7KRG0OvBAsCFJTn&#10;L4iCDcyAUoTAYSzhzDmRoP6FZVHKLpSnMNv9EskuxLLYB9LZ8fNAGgiUzqETj2ebh0XSir75uzJ5&#10;nSIO2gj8FB0urWqHZ8oj2RLA988LJY4Szb/yDEdgz0ZQkcOiqMhtkNYDAOsOw7d760lQG6Cikl0o&#10;MJwOET3zoeS7Y+yK1nJnFJ6klYovJVdFLWm+X672be1f/FGl8BXIYY6lNe4X0i+UWNRWaGdhbLEz&#10;wHOhT8Wrjyrawectc9RiBi3/EkcSOGW3HzQ6utSWgmMGeXxq9x4OWCcdvzet47cjo7/T+dafxH0L&#10;vteNdNSsUBlyjeZy8HqhxIgUsbT0cDyxwVXYaSWeBcv12RnVlQN63QUBvQ9d1sXlSlTL8BfkICMS&#10;ofveLBVaCzU8jy8hqjsM6mt+yRlgZMrrxYn3L1ynZiyuPIcJo7TWENB+ocRwB5NOJACuy7mscZcN&#10;OsY+pYt5/lAj7O/r3aczgBw4diANRQLn/EVNuqfeGKzBdlKvIgZLTu/KXlGCn0iy9dVRJDqvhfUp&#10;2QMHcejhVm7dh9bQzxGXN0oMLQQ/awAIlL/rZXFXPJIiDQbRxcyrUoc3yFizzy4475xrTiIfwiSa&#10;1JzndBUs0YI8CQtpPn8UxWa0uzNSS2ppECl9zT3cKLMEuTpsQlWsU9xheGgtlwLieeBkAZwCqtHm&#10;9RGVud4tWqx4smqpMQRW9lwKfvJe6nLvLvKWne2mqwwo10NJhOezXgBp30P3464na2ihP3xFa7bs&#10;6rReo3exHRTDLQkIEfKcgEwJ+BrOkOZAkEO04EIK8LsN/Ue5Arrui8VHn3gvDIG1YHM1j/Ks1R7B&#10;hJ252P4GgCL6mNlWt30opK6aObkumMqg8ERsrdUMqDh8U0fKTuIrUe/D6875Lqfx3Tqn6ERobWF6&#10;uFViqqEc9J8L5QqWl9qUzmjGFQ+AlRGWQKJia2VBS1I7VxfOQAt/Z4cBzpDGePnJenCFxfEFKIQP&#10;stSPMsHldy/3LoSOC5OvVCAbBQGFqITKNsojV9013QUw+n+6fP9Pu/hvMV0htEIbGlMFW8FqJ2iD&#10;X6tI1Ylas2IR+WPkNlZHNI8Xf7calBn1kOUHLyDl+gU3GOaVG62h1aNpjb9UxRmZv+GVNUL0PNfw&#10;eKvEIaPRys5AyCwRANV3XoE5O9uVYLUTzlway6aKBkf0W+znN2UAcVXQWFUhgRxQu9Ued17I7mFS&#10;yPfgDPt0w9jurIvg4ySdGpU+M+Ohy0hEPsm/p3lxIQLcKDElUIeuAB8lV/EoeopW+MTf0oyNYNMb&#10;rHBjVWezgizIeCgsdIyGugWkAI05Uxp5rqmyC9+Q5+VFdpzFkXi1UzCunUpPK9ygQnwFecUsPv7y&#10;m90AFm+UmCH+GSE27zuQVr6jxTUudKNYtbE8GcFQ2Cwngkdoni26MFSR6ObwtLqr9+bQXC33ZC1/&#10;KE/tc2sbNMmWppUQmx30wtggpQS9/xSQfBIpkpFovG1hQ5bHu3bQ2ihxnKxEAmIZIqnmlx4yLsMB&#10;hpaWkQjqTFgn61eBJ/esrEP7j8OyPAxhmAIDpquI4/Vb1P8Du2UKbXnzl74f5ixnxGmaHOulFL2q&#10;QMHXrkRbtDLviBlGZvFmbgIZiKQ0w0BbjMjL/WtRKc5k2CCAX8g4c6z6VRycY3Ci4mxAVJp5Cx73&#10;aeUJONKrsuIEG2j7kVaf3XTrSMu43Vl8jxcCMQ0qvGEy8hoiuIJIFyUWrY0SW6N9WaDMC6yuY3ik&#10;Oo7kYRsNuLZbVBtoDZFRozVJgNNqXTQ0VTGA44kwtAJqkU2bltHBV51NPGg8zf63fVwP22zhMDJV&#10;StmKs/D9lH1X/hhve5tFiSPYpruAzn81ekJfo9Qy7yupEhFhX6LLOko4pjz9r6cVoANzOAhn52eb&#10;Ql9PVDiBZhytzwjAJVSqVm1CyvSCTk3kFJnMDS66gHhd6WffEHZxpMwV9lV2YPdDieVb7GUA4+P8&#10;qwGYDT7QEPDJjLRUQk0MA1QHMvIajD/sn+9W7SjxTd6fmG5pOoscRMtSOUbD3ab0zde1K4NIr/xd&#10;srfsEZD0wSpQx916ZfRoT4C/1YH2Fa1+9WKXw28M1ozcW80FbRotybObC0JiTLJ0gysVba2iWNBI&#10;6Jmjci64JE6yWhOEReSMXr+JohaDFBbn+2CQElZU5hNH588kA8wJ+Dvuf0Il6Nl6fy5qzDNgwA1R&#10;b6EVBgzeYgQjaBT8GyLKpQIzrXXjL6xR1I4wnnygs3zbKHv/b1XB6/HYXvHzNo+ZhkXAsCALbqMk&#10;qAZ6akbqb8pxZQTeUNu0Mua0/IIx7KDL0NqpDWMDRyujfU2rDqsup+5oHaCLh9k3zbTmhyiRDB2E&#10;S3yP7W30kM5s9KrbelP1XMQfxhG1NUmV6kBfUFc7lnCchJGq2U1N1Tk6TT512dCmCTAuOhxUq0wL&#10;BfJM4XnYqyJo5+kIy/PKAoMc2kxWtAYftMoY6Tnq8Hv8rlYL1iFuI930seSWNvrt5XrkQJhHp9/8&#10;poSCoMY9Td2Mg06S8S14DbmuWoZxZa+dklYCnFwaHfaytAaXBjCdVSoAPmOBbaHVWKvTwJvEvOnv&#10;ppzrLFh4b6cMmHVef/OhtZgrVPBeiPwIlDEC+ppILRuE0JRrn4lUYyirKoHYLbo5N2wds60ZIRBa&#10;p3rUIjfZiwdYw2iEIc50BzDYGQatdkObPFASAsKt3mHXgkWOVjcKWu3JGVJlOFgi4mDw+kGkzK9z&#10;AYBpXRrkwfrO62A5hhogtf1L24H4ff6MxxZbrtcOBK1SHBqXbCesHseBWEC8+0KrmvKBIqkfVYYN&#10;3jKlSW8lWNtx4tcz2IMnrbw81AjdUJ3hEFXmId0kSIGLPVSQlig63/wdFl8wrUkNSRgyLGjXFFqx&#10;BVmXN7jULggOxrTMskFSoLj8I1o73JaJkneAXGf1V7pT4jvIi/MQXn6Y6mmuK+N4zJC47rAohpXg&#10;UF43UEDJL4z0ZsouuBiIdWCerj9VBoybQgUijrdHri3+/L4t07aiVfEE++a0IHvKtw4IX33bC1Cm&#10;LMdQV6MCZekh3MJYItgQ7hBeMtf3Xec0pY/ID76pzbi80rM7CCzfCbiHmQ5oMbAKu76EectMQTis&#10;5oohhnbItUUVs2fUohUt7Od1i+9COt6kE5Fo3qw4pO+oUh0u1iv8ghd/EndCuB25uKVRyBO53S4a&#10;U840+VSvsK5lqSGlMAQUUOaBlePR3JobKfxg+D6MHZ61Bm99CsVG6pemUrd5wFFbzNDyBYJsEoLB&#10;MlnooJIzbnnT7FY1C3IhnJJRiYa5Ah3Kj6+MwKV0zsRhtflchqghdDLuumszec/fouuCVHSASSQ7&#10;M4qCDQ7hos/7cEAUBrXWbbBv9Sh21HGBXCU+pbwu0K6IdvR2GAyV9awEPAVig1wSAVFQE1qwYQxA&#10;+7oqQmUfxQG4VfesOn7SoH7MvxSioZ4zzJtbgl+hWB4y+Do7zoXcjeq+4FBLuGiabxkCCuafMV2N&#10;ECGl21lUrEdAiIweJSJ+nY5yCWqSmbqY14KlWo1guVm8v9iwDnt2lzf4tRzh9xFEjDOjlkBLPG9+&#10;3rLwLpDFhS9j6pohGS63+6Wvdk7VZmOwIPtQKlGYWqVdidpccg020iLjY7CDViSedc70WYLleskn&#10;vUZNVJFevEBcvh7b11XNBsqRi3tTv3q+gUYf5CTJUtyN3aCGxDgO/awBJENET7GVXbSqad0YLPj9&#10;z9juq6bbvK1biylG04NYUJd+qOF7DasWhp7bLDESrsCmrlzj7h9B+WuElrKkgLeUuZV7/Oo/TEnc&#10;ZcAuEWCwv3byMu2v71fvhbNG3BQMlYeKY5GPYzbOobXTrAJY8u+hIqKoATe7paGVigoc0ZFdesL/&#10;0IpCZ/tOuYYSLH+rB1HyzWV5p8CwI2r7pum8+3wpShZvRF7hppK/4cHo9B3/C7XOi9pKHSOpPApH&#10;6j+Whr3U6KfSOBG89o9tsI4MJIG9EVNNaQfKVUlDFnXijwSEVqSUzLewLmaIdU6jYqYaX7xXPF6i&#10;grHdU5agWCXJJOCJL9AY5APojPPGB+9GRHcPL7qHFufz1Zf8wh5TXG/ntS4qqj6kLlxveQvq6Rlu&#10;eZsvsvO4eZtAVMcQKeNibArpbdBK371Z3TObhOLGWNvwSZG8NGfe2XXK8mdeMd0jqXkVuWqcAvrO&#10;7J5vt2lZBG353W+gl2QMPAqs+1Y+i1w5Wxms/uMMJbXnmwZwuy9HKmWIIc9vuv9mFX1v3BbNEA7d&#10;trLHjDgtIuSkb8I+0Jk/AlsKQ8cvlDni0DAwEHKbsouA9P1AlA29pWI32ainqdt5TXFXtKIhQ1QW&#10;zpgIcv5A4//xkvTETwSKfVWXLsq3Sjy0CoVnpAHprexw8nZoAcDVzJf8ETS3Z1Yp1xlm/WMZxVcZ&#10;O36KVYgSM+TNMc/gNdZ5PP/xmz93PLzbQiuYdMRMIXhXJAEiTaEWJKkGEo0ABTqW0Ig8qwvoZMoT&#10;KEmCz3W0ffZiR2t3XKPqP2Lrm2Ty7FxKoQyTe/e+8lhQUlZAMGq0o8TYuNN5BDj/AEN88ncQheau&#10;OtOqhIeFWojsS0ZAy07+RZtXOiyrn7Uz2anaplS8W67FZnq44/L42Qbxcz2+a3OGGtL1T3vif5Xj&#10;mhCA09GRFjYikIMouszBPD7vH/2hpPH0zIHs4t20e7xXJZwqWkW6C6PYZWIFLSJxyWjfHKpo9VLm&#10;wqoJYmjNNrW3Zk/3rFC/Vzae26sfP2rdUG9yHyWvCHobWxRhNzqdboYrohvOJGdWilYaW17rehcZ&#10;wCEVeWirfKwdCtpwi996eU/eMNix2ARqXtvfa/jVBe7Izo0OGXSYUeoDw9RgXz3h1oKlH5PdHoHu&#10;oAZMc4/e21+5UCortUOwLmnW0HwN9Dg0UIGKLeq1R5GJijmdm6r0X/xRQB0xrXev6IZJoGMB2sZ0&#10;nywIizy1RwpgNngOJoauvghYr170PSw22jm4C4pwjEoP1RMaYHEQhlTqtmCpop/0cLlbgJjC0lKJ&#10;SrMrF+6xGug1TXy3/5ABToNDBhoGG2EC0g6C2aJcaKoN4QjYBv/LJm0Wnl6f9tPNPHFToWduij9S&#10;ws8ZO7GduhOZwQB/0TL1okCAo0BN7/R0J5IyBuPecwrQzc36ublapIiCO3RnLC0e0BvER5g0pkNt&#10;ef4RzcpNwrykAlwb7q3RrFqlGW4ZfPsYL+YsZrRcTQ6RHGU3HlNaXFLZgDNK3YItFqVd/2Bnodc6&#10;fwShKoUI8q6K+wVqiegpn3NLXHLUa7561hECK2GoQzS0+ACbmxzCvknYcCKN5iDd/s2On4gELdh0&#10;1EMOn4J2uFaHZCDbC9bRWuf35Q1z4pAqrRZ0lY5y0TtyAEzxYaC+MZvWZGKyRFMaQUyO24mcqZKm&#10;VQutQx+G8oIktDuEa/6CRY8+kGpavJo9R/l95CpUliPwJz5xDM3+RoySAdf6a7XVk4spKB+oMwpg&#10;AmUrkkGQEe1ExZ9jH3b2XYAS6CmEYWmRtbUZZ3iEEBhJ1l2DXb9IVXkM6khZ5gUTwEuzp7KvPFX9&#10;JCdLsDr3EdVCEoNhCeM9vhg/8mnryQOCVTXkgIHEDb1hrFYgLxULoDVOp032DhZkH5sELAut5ZpC&#10;c6t70Zpw0iIuWpVUq3DLZqY16eiswrrls3KggA5SJBnDIZiN2ZNlMj4+PsIKyzBxZFKML0nTH8dg&#10;GMXguw0jzM9G88jV0ToK2s3z1XQvrTNaDhx5oKBNSJZZW0hNa9BcqfBQ2kGryrFax0HLHkQEUdU+&#10;HABuNB7NQHQb0fu8QrFVSkqwyGE8/lMsffA5+Dgjy6g0NIRrBp68S9MaaEoJUYS02m9j7iU4cAgA&#10;+e6heFlUgU3AjgyiMzmFVXfjawCXs/T5JpqgBoNKXdDG9vx6CHJ02E2VvHM94gKBGGWyPJqlN2rI&#10;mcqtaCgldt+WD0luFMrO2mA/P2hvq4+r583zQMonJ2KQHkqsHbeibgA9SN2swh36qpv8tB4wrlaf&#10;sAyBzUKAHW0j6kfhFpnSuGRxQ5FYRHq9BwE6Tj6sRpcgV7YpIuWcrE41eiboxvlSUDjZEcbrOxG6&#10;bvmpDGUPobXE2vZSaW46Ui0W1Y+t9KwwVia0HzYdzLOyIg0pFiuMIjoDmEEyrJMyTrtb/VMUiW7B&#10;Sx2CVh/j/WgyU1VWDvw5vJd5lgUZhssFG9DsNwTPd0YYsxJ2aZXo8dMjZWVNuP5CFS4BBLxSOJax&#10;Cu3cuXTIarHnYGo1kSlsynOBH1elmCvDgSOU2cntoo3SisxgWqyKoUovRnRT76K5jDZE1uGEKzDX&#10;Fceb9s70XSOJm9ySH8C5ItWg9XDvZsC4hgKrJ1bPzHnwDcuBTItUIkflW98D0kMaeK7cEAET6PS1&#10;8y3wYghgP4xMUginsj6Z1BACxz3c4lrx+XfGGsrL1Xzn0qsrRNfR5Oq9LFPkqT2IaxEFRaAWdFrX&#10;BPW0RlTewu/xphjZ9R7uh9N88zeGH3/nQHTEX3DXLLH8IaZoMBMz+oEZ5doOcdfpIfj6hpzBnGgj&#10;xbGixq69dUaA2dIOZiiyv4VUCHpp/G4U43W2FVqpM91fqHBwV06MvH8Em8MXqCrvxLValBkW5M4A&#10;IcHFIRiS/uqvv7TYatfVlGU4lh0J+YFn6YhUHvO24I5eAFgrFxt1PKSPiha01RtO+xPCDWZTO5iS&#10;a3vUVs9Zri+Trn+lwsUTkgBJ9W6Zz5/c9TMKCCovOS33Txf5iSYreq5GoJ18EYPox59aGD2XMgJw&#10;9dU+Jf6WqiKNjG/7js6coZXzrF0a7eZFqQ5K/gjW3/cYWi+EVk3hTpHVjH6hNRgO7gPlep9drHc2&#10;hYkhY9LQhFB6elLxanDQeC81KFo5zBSqeK0Sr5bIqJRgphyZFIZWA05a5nZHRm4LA8RYViGkWdjD&#10;BcEHUSabv6+1Rarnb8yI/87g5kg5wkm9835YVY/QcM6vvaUTBpQKesne4+oedN2krimIsYdBBa9I&#10;ZZWY/52jDG8RvEmhM3G890e5dZXIlGG83KYJpGcx428X6cYy11XYfCnYDtcu0/BnqE+eQy7tC54B&#10;H2Lbv38ZajJWaYBdQl/bCp2DjI3yQvrFEdgnPditEo4/hlY0lXrP4Nu21mpUykfD+OBrjSLIg3Vt&#10;8inxCI4TwVLc4y1BlsZijOzAsab6uKmpGbR/L0m2Fxp8fvPpP5nJ1ff32pQuPIC1FnvseJ2w4/D+&#10;Pnn3nmUIhoMO1MXVksoVKRZl+lLyKZLW7lsdUt6c5nHdoi5dULTQ6tNbsA8NWSkxcovk5SsdQVq7&#10;N0BHmxXWCQ1GYfyhQWGEziDwMLywQmIA+UCRPBrzfpH6lRJ/mWCstVd9f+AUisC/d4CBiMPDKpcw&#10;qq78KGZLjTIPrTCjrEp1VI8qTAr6KnpGfJAz5uRDsKIoA9CL3eAEXYCCb9N6RLOIb22vNSzntH3s&#10;VYvY46SfPvtQTF7+NbMZhp6iZJA0Uv3KTg4/8Q+Hb+p3l4ObmksT9aT0D1r7lXUxadsl2IJsMcP+&#10;wWoVEUDYza01R+qyIVi5rsF4afZ/kd/ke+E8aHvt93oBPkK+uD65ZU+MkDXA1SWx+/IEd+inH6Jp&#10;Q7iJQ8jrHmOtEWjMP2M3rVSt531LqQsBLs1KrGCpNNadAdjgVlHYRketp0OwRSMHQaH1UiuyjZrs&#10;Dc84TDi2f0z8emTUuXvn5Qm/yOtGzs1EAZSBSzg2K1QGqi1BX+luqDYyjFpJ2ph4YcMMbf3IsRwP&#10;l2jbqsaBpYtgYwqQWdbZhUOw4aNd+z0YYdhAsO6qtwZcBRUl1l8MNlRSFY3bRDDvzLfGHd0AYfiH&#10;CyDLjwRHy8Icvq7R+/bl9hP8w/yiVdGjJI5Q6eZ8KVoqwJlo5szf/9F6Yed1eDoLFsL5W4rBgYNs&#10;ExafcvzlUxT1E9mKJt/0wPhV06SiwmEubTQ4/eDfketIvFo4VHI4HcBIU8pXAfKiaLVvDkJ9ulVU&#10;uZRF2gDagLTGj+oGiweHPZZ1dqn1wBrOoGm25KhnJu1AvJF0uPpdPnnv7YKIteZ3kUISpZZZXVtr&#10;MECXPl2wvMynWAK+UT0uDXfueRiSLkMrpEXDpT58UMJ1aU4GqB3NHN2ABX4MvSwWzYKlPKnjY+2p&#10;p8Zi5FakJv9hwTnvRACKnpLReX+V7S2HDN7XNhoMwDM0eLXwEfOI/fPNgG13FRnT8UyQKyLR8FDv&#10;taCfrtRdvyshZpC4TwA1/SeX+5ecu1juuGkIH1GCBdsZ1YyYDQsgdb461vxWJZq7LRE9F+VN67Di&#10;AZ1SLVtNTBYTD6P8K5UXj3B6JkgUgk9oDWk2LrbN9ha9przdOawEB3A+mdutQi8yzU9KvJZgtdI5&#10;bIYr7ptFg9CX3YRsHX2593sB0jpnEQOCeIfHQJaYVbiwZjHXMKHwHQShE5XEBOmZ6qIVEot/cS2H&#10;8VJDx6NLDaLmPPM2R5z6wTG832pfjlIXuo8fBEd3QOb1ll9gGOyssT5BJNjT3BXE0ywURZwRftPa&#10;WX6NV13rKziyICqsdreA2lsBUNM+QKPYUTnM0DLgmCR7b/95vHkdsIq0quac6pNna3bId2g93ySO&#10;/ED0mRX8GaKbs3YvEP1bwl9+Mz7YFq0jutb9tpJrE2SF1CxzitwkpWiViXUASRAGtp7YCF2Q1sz9&#10;kMA8ggqa5rGcNOsrcU/n39DK2CJ78G1vfyU2CvMHWkV85ZuHFx60zvl5yChnqgIWrfU8SthVrRbh&#10;i2sdxUxcQ1ew8CVIQFR+xYX/M6NDnY046Ac+ZqEzxlneEMxsT7Ovp5WINpCWf6A104XGDqibHzmv&#10;cLxEY6VXIhBHqkhrTmlzwpXL5r6U4r5cSnzdaSD4RgEya+KCicHMaepVc39WRj1afr6car4oSlvI&#10;rXnY8WVeebqAwvwzrclUFlpj1DHX6HwbWYAeentFy5WCEGPCiqHFkFa0amNFhfLKg2xdQfy5mFsN&#10;3vibhadVxkbhqz+9AwzRib8TRl9Ml17P+yMqmWuX8Bda1eA1rU5ufVHYaDDvUokWtZyU8HVITIEq&#10;fJ9gV5dGbyBbWqFiQ0ESWikQ18wkuPCPBKYWYMUxY8oP/o8VsdLLHXR+538siY7Go2KvW8MtFV78&#10;WkNPeBdaUa0y3hbr4prEqZksGyKURDelnN36yk2650GoVwcUoitEJgaiX/kHQqQUnNyiq3MLLSgq&#10;jir4OPd13jQnhA2Qyzi90gu36Fgtvt2tffLXmOEq6S34lji/olVZlSwUEBa2UgTY0Mqm3ufVWRGr&#10;Z7+h2EwzprmY+NggwjAIgIrEJTrVLkynUpQt26kFRCRBkhHQOZ/zLMGWRtfPE3W6iVHDkjpaXjfV&#10;pPba3AJqrDArqhIrC5WC4UcK6KNzHKgGd1CUEoMr3+Iy7X/4iw4tCQBhBC9QoiP+op/Eg3QDV/LK&#10;2GzynhGglzqhEIG7abW7Kz070snI8bh+X6+EQQNmvyIJwEohA3LRNyaPhaZ41EO2FqkyR6+3uZTX&#10;qg6j3tlV7rmVUKTSeVPrJYMuPQNAEKLpEzUBl1gkl+KvlodLBE0heQ2F75kYDq0rFfQppJn/dEE1&#10;Bi+NufqlJpeyfxKrlvabBn0vqBS3MNUj+ltVS6LlWMX+ZJF3tgaLn1oo7JEVTrYkdsXSbDUIrXzD&#10;yWzxjGEg33qZTF6LMZqIaaVbjAdbflslF+0D7Ki76M1p/xxuwiH5R0yya6rNa20zIIv6BeA+L6fs&#10;kYpw/GZBLgCKr5PmiBC+meJKabHHg6Z2Nv+IB27ZHVhQOe+h0KAl6iFsyyuKZxWkoIZREDFzBJCC&#10;nDvEXNeyF0MxjA4OTMvm7Pqv8C8fo/4EpzFT/M/wPe/1KTiV6O/zfo5pevivvjb2e3x44bCZnKTo&#10;/Ot+6eXwuKPswOiv/gSGJen2y3NOvIcnfD1z8oiRfXnk4NTb+gLp83Rt68eiPiXT+b8vBP5hqUPV&#10;SO8nqkH2f3E8R/0Z/pU+AvVg9n/32XQ4eunxX43uAJemM/DxX1InrlheLs2I/f8TPg4LxitY1ir+&#10;I4RcJQE8F7ItgQV2pSJVftowN6w9fXzSrEdqud5VoGC/PORwLOSns0hcMezWylJ9fv0tUlH5L8XN&#10;zXObwn0GAOtXdWP6r/+ihbj+UbD3A0e7ddynOgXez5Q93heCwO4hHdMFKQIo3z/yVdr5OnpZYvP/&#10;DwCC8xrV3+DjEEwXON+8+7VbOZn/AGHiLoI9DL/xL8vWUDHgV2hq4TeUDJ5XRl/w/vPqC7PVhrO4&#10;vOVwFk5MQeWLdNpzBp68cvr6RTJiFz9D0GeKSlVAruR6c+ffmBnfl4ItJQCBNzWKwBK9CRxtfr4v&#10;BIHdjzLdh1KG8306rlWCch1AmOXA/0cJfYYM/dmlrAGxLhC/fvMhBUSrOZPYwL+KvoHNdbcnHMws&#10;fxplAwqFkDQLvyAyOD83sV0duPkyY8bZzp5rpNkyw7Kj/lf5H+Y0cZZrGYvcLIW6HBq5ht/oRvnh&#10;h4ifkWuoC76lV+B0/4EWkwfECVhxvztQsvverDBvFyWpSMeH68ghE8iraJuwq6XsHNel/3so5fgP&#10;gv0yRCDIz2n/+PHuzw1yuKQoK3hp8oC4kteIOU0Hdrflh6u7wGPCX5rqYFcQbh3ooyr2l9nKParc&#10;JyBF9lRGNd+iiCPemdkZnOdioP0w+R/lvgqhbeT4SVEjGgxU9oO/r9zNtCu2uWzQF15LHqSAt5lg&#10;4HZF7QEsCu3dh3MzAAX/bQ7qUX7gfPcbDGlRw0fbbFDLOhHs/6VvnCH4bWIPFPSR8FoSOJwMsUEE&#10;vG+8p5vDPyjElzfRqgpRmOif58UR4ZdzOw3Y8nRWluz9tfB7BcrVGkB/n223+8Bcq5MCsvs82Y+2&#10;jRRJ8ZU4byheBc+vmucj4/xy8DdFYhf1wzcbKJO7VmWo8GA2mx5ffUalAuIAjdRKYOYtUX2t6NxA&#10;lFhS/eWLMynh+PXV2/2Azw9Syd96m/urxWKKtYO+vfofTO8PUELY5l7mBEO0nQif+QrSojLhVDjI&#10;4efh7HEW+z4y+lHH4D3cnK+DHJ/dm1Ok0kd/cWPzfg3IKiK7B7937+j2dHiBkSm2F2BXb9+yx6Hb&#10;95pNEmE69m1gM2h32bAt085f6UnYJmwBtIoLN8jVCscnH0h+0IwcCwku4EZMIY8UeTw56aoNKCF0&#10;f/BBMr4BFKiRzS+N7M/3N17oZXjnNWEilNz6miuvNae/vJ2n82bC8Cdon/mwngS0Ryc8fjH9a2Ol&#10;8/SfA77krYeXgq155Kgmi0MwSoGvbL5FBS3w834fycVUIoitXDGMhkZhf36WuSRKH9UBkK/HbPT0&#10;cGTE+ZWnMgK5uOoYL1hy9kfg9+94FHv4g1yZ/1L18VXfgD1HzPEHr5rZOuq9+msiwQaFYYqbw+CZ&#10;wfgw/vC+NMRVpJQ5N0c/ZoyEiFpNevwZ088nnPYVvoH/bL+Via9DD/A7hfGhfp+eNdrurgaBBT6K&#10;uQw3Q2mtv/uUaueeiaf5dNfLC/eRVWG7e6t7wJFrhDjukRboW6v5+D7eRK6/Svnrk0s7PnU69DnI&#10;lMYol8VgNb/JwJq9MNU9HN5GACFy3R+YANjxTU7Lzzt6TL6hEbWv59wKqmP6fAFdTziM37D055V3&#10;ddJpSs4f6smIIDHYBzvM07ZVS7XMTeTAH3BdgXKl0lauP+NzhsROT+aicm0GUHxxEcemF4IVWwzA&#10;X+DjG8cbqZU5zG4421Qo8YMU3XxSk+HIdZsixFBSswCl1q+TXX0ZmsXcMJf9Oz3qSGq5noFscfQk&#10;LmJlsJG4+OSg2v+BV3MUyPXJ3+6C4PQez7xKHNtf+tld1+/B+UFU7vfymKyMRh4FkwjscUSk9yN/&#10;B4LB9vyGmh6u48PsQKc8HB062iT+GZBram7ze72F5UNiWm22q4Y6ALHqwvfTuwq8FuzviOGmo8fj&#10;vRveCkJXQVhAgZ+jTyBzEFtK7U3UaoPpysL5I32/vw7ePb4QLfvqtHv6rQK2wb66VI1lA1kYXPTX&#10;XzfZv+Ovi23Vwd/kWlcH8S3Xksuig7mz0TVv1Gbr43G/MN+qC4g4as+xupuR42296KNgi0qrkFO2&#10;kh5/VhPgZu6Jz+cUbw2qUhrRcRcBONMqWyT2eO0rGLqyYk3WRuCRnKVa7lHtieu+HQBwj6BtgvlA&#10;pTOMKsUZwqA2grBqM4ks+z8PH4dxfjd5JXTc6s3F5scItH6YS0j7MNiIJf19tYtlMTH9ah4xge78&#10;c3yN7nTX9QFaOyKXJeNcy/VEGOzqpOlUzIkkDoODF+l7F0lVGTCzyGu+jgVRm9Tl8uk1+ebBbOf/&#10;sObQE6ptpyPQA+vWc5AtsZZPuYkjG9UqVMLzdrUD7G3hWjGrClXRWa6l5Zv5ayF4nNEkYKu0Itu+&#10;nuqDcXxw68WNap48JdiVI17ioSoUCbU8Po0cENVQPfr303INGUuPa7nu/D3MOkKppMGThy9XxI4U&#10;pw8jtO/mTkFXaX0sl1kvGFd/upGmhFxD9qyia0gOyvfPgbdfs5cCRQzpO2awEWyLtsVaxg4DRa+r&#10;xe+FPZFH9xyYzjMH4m0LUz5v2jY+ESddFzaRo+T6PPdW4QriPuLNbf9tCTuU3195u3lkqrHSmu5H&#10;xDOJFfRkTrrzQ+cjUMwQP1wXuxaf0YkKtPjDIddMFG7iefioYIMXtiOspA8FWEnzcIOOkVSuwM6P&#10;ynH30r6bQ5VAuVL3T/H1ttOqhw3eC1khFQ6mwy4bkIXYguALJovFllwlNXuDRseBRUPWaZMeiXwx&#10;w9VCw8YNb+VKb/DDvRfaSbEod4iGq0qINMWdzhUqy40H5WDUKzpArN4FI3O1avuH5aZ1fJ0Pxuwm&#10;mmKMDgy5HqXuELTFg+CebJArytVa9iG50lY9BjxYzD+EH/ODsvWbeyPXpyJ/tlxqKGYBDz0/qwZz&#10;upgBz/cVB2fzbFg6VOWT5cyCHXK9fSo3PDARZhfTyXpda7nutFeZeOkMC9UfcSt+4E3k+XhfK3uH&#10;J28Oz/nEwZl90O4pfrgdA7twxHnwNe56qHblURew4o+fHA9KSjWGLrRc94/HssCC+K6Wq/oe98+Z&#10;iIjR0vE+fmM2/+Kulw5vOmIfpe2P5Z9DBhBmeX33kTWb/szJXaLK7nc5utXWtIDrenUUfY17Ha64&#10;pPB2GxqB0bGULt5AdszXkGtwQK5F/7zvNdA9RlRWR2cih/f7CuXljir54TKRHX7Lh8xukvdCQWJR&#10;Gsx8K0v0dBjaIrAVzAPPn4WSjDoiedWkAgLIQcHwCF5xsMyjBc3DJlOY7CeT/pVqjQ73zzqd3U1X&#10;rNU+7f0TFLOotPv4PqKLn0F0ru/yA5Z+toJN5MgGj6xpFpHggGB//gjW8UTC6PfdFd2BSfJ2Csd1&#10;5Oo3l+Oft7OcWa6JLLnqy/kQ4Fuyh+GOYgZ0EwnGs7ZlxizrOPJbVojKkrH2xSSjFVtIrZXu+5kT&#10;wOqiT0Y3u56i5n+GDj58ZG9kLDivCyvnKcMpZrlMtW7j/LhwzHr8XXQXwrKM+ie5rpzk26+E+f5s&#10;5EpBgPLnsRFGyL2KKX7OdfXWV/d0HAbOXvelZznQkSiKmkZefY1YU17ED7m+Zm7kuu8aCpXkw9ZC&#10;rpUO31U3I17+KqRqpSm8G/oRdoewTL3ajIF4G04rBKfxsh41Q2o9xs1n9cPPHK+iiN3jPHnbOYzV&#10;6gxy1vZaKT8Xk7KpMo+Ob+3HoL0iv7a/MN6dxvf4EU3enznDrv8kVy+bLWP7YRtKxvGFvaYkPc3T&#10;/IL4s+m9yKm7zELWdkAshnV8LmcrgNIdPRWjfX6sCkf3i1zzSz3be18tRcG6duKK7nTwh9+AYSyD&#10;qZN+bCPXSDPeLfPNxR7iER+/ztYEjN5WEF07ysop69LWnHmfgRrh8uu5Xkyb8tJd/W3YSXHkGt/L&#10;R0NOWvD4o1zR9JgVgrVuVTDW33HlfF2yOmUS+0d79fLxt+IPs6wshnMCP4crJh3h65J+AxXQF/5X&#10;ovur1K6yrBBcPQceXS6393oHQ11I/74REPQjVxXmMiedGxSmSKs8Y7FqzJ1qPCsNvzfLNWlwkE3x&#10;cnc93MaJxOgKlz/INVf9SWM45kPQVhtdl4r3WU3dC0s/KBPuM7YysrrINblhn5Ve/M5lDl704GtW&#10;D1cSWzn/MtiBTNIobzJewG1c0/F7kC0U0BWFNTupEa5A+sXrG4prtLXDANpJZInqd8kikNKao73f&#10;jvlVus64fI5felplv6uZeUEZYiraYPfxC3H0UOTYzYSsXlYdMM2CwWB+8VuHc7FIWcr7UhaZzyr4&#10;zhAj9xoMfWltXfqoOXEwrsWWwjJfdfPH9dGhOZFrsgNrMVgo3v0OhkagCG7uHBgbgP0crr+Gx1Oi&#10;Qke1NRQGDzAo/efvMUY+O6lQY3mW5ai0MdhYzOy0G1yyYG5Ls4o0u4eStP0o2B3GZUN7PfkcHrb1&#10;o9a681qh873CubSZjXfjs3tLwa68/a4nM1WrqjBxrXR+8CcLw3dkCAphJZMReZM5Vus/5MNDrn78&#10;YQthSQES1ssaou2jI78OLy9ygD6tZemQa9WCpTXRIcdJ0e4jmyY2k63a7spluPXSXjAB/DBv8J2h&#10;luJvFt/F32P2bGTPiDA7Ytwq5HPQHBTaO5RyP52X+W0fpU9aRlz2zt8Mcojg9CSl2w+vN55+fHO3&#10;wi5rD6rGGirS26w+h2SPU1ZI0dxW2qKoqzATsvtZgLUe8bMj2yp8x9geElZQYC9exAChZuTV9YiE&#10;Sx8h8RBr2LDTv49fvT9nIMQjpL1ybdlwnYgRXzK9wVDOwTz2u96HNd6kZevd724LrGPBDMkkMERr&#10;DSyOX7NwOdtgO2IlRVbGlbGQDsStgLBM6Cxw3jI94Fmxt3o7hl3Mh+8f2VQCallpeqhOcv1yJ0pi&#10;eS7W55A9MObafg/7ioRGpeOX0sq5p9jlS82P1nlkUrLHulF9SGry+X5OO7fq+nCT0XtqJ+RqmW9u&#10;5A4c/L651fwMhOWIFntNhTA7HLqJVVJ2Ywa5ZDmBmYd4mkWuK7VdIAZ4vu47yjXGMeQtXYbmwuRb&#10;9gEs+dcQZTxBoQz0Gyw2kLvDXuxB8oVUPrIwpukYP6C85cK17aLEcPlpOj6Mda7ZrEvDQlliLvF3&#10;d12L67Nck/hil1HHubQlcahfGT48ebIy5gGbRRTvkfK1uOsKAGHxcHGj7vRRngBdCRFckbtjnsMp&#10;/juIP9zWDW/6TaaxrHUCNddJm7fWscDFdBAoN3p8va0tAPngLRgcjMdEtbqInDmkykLL1/JMhWYw&#10;M9mVcwUf8zMjHXJyNd91/HCt32UwAgzDMAMeuwi8GbuBSvGWxvVhApHq47mAsdLhh2/fVsThrKPh&#10;+KHeTrBhRyQhoGtv2ML0OWhV1jU6PyvXjUGl0zpPzULBL/JKbzqY4CTfB4ycJdfEEa5Eri1fjQuL&#10;5GIn+YEOejZ6+yLfGv5wSzE1b26/PQTJ+hzua7IxYnYYXjE0bFmFnrhxofQqqHnaNxhQYVKoHFbU&#10;rxHGN2j/rh5iUMpt+kEUzTV3zWygfKd11p8kTXQ5aCub8pLbdluEK02MO6j11ePa05YzsB3JK9xY&#10;J1UNba4016dmdrXcRwYqRmekkk1/ghxOD124d5yUmnyWrj++i+hHraDC2ig2nqZmQRssOnOi/AZJ&#10;2HPgD/PX2MCP9seAY+7eciO4FlKBOJheCDfWTnlIKzBCXutVh2nML1c706kt+18Ui9f8jMPne91k&#10;m074csx+JyS+Ss4KZrZW081noa22X1i4O8qvtyevz5O2zn0s294FaUq80JswVhILDHPNpCXfdrJa&#10;pSn8g0dSknSWD9IyY3P/cjGQhuhh7bA9ZWWQxML+Hu8HE3sz02bZa2ROmiKqYz/CH27TBRckNluT&#10;fx8Sk+d9iT1zCMZxJ8uEvudUQPmfWU+L3CA+FP8+iXCuZiD+HL6bvXKQmXWW6E9MyIVPy7Or+W7+&#10;bD89fht12eMzGVnWU5HroGWF4vMmCyiWpbPm2crDBnpVBN90n2Dp4WZFLEG71gjihayRDs0UIi38&#10;cayScjVZH6F+waXdYzkW5Nrzysf87OCFLQ7VwnmiW9V5ZT4XUKtXX4PTqKYmAjNd+YX3hACgbHdk&#10;xOPNrmTLNf7gWj3wnI2bqzDWuyxqEP78uE0S3JlvdVY7AMYiwwy1dTYwN1996vmVyt0w0vDIDYOw&#10;DU+9vpNVN1FMFrugYJnDUDdOefHdgZW56odEgf/r+Jeei0u5c2Rn9dfb/ZFre1uLn0besvvtDG+n&#10;kyg/rMcG72tUDTTXM51+PxXw8OXaYFCfTxGjeQnns+KwfBxuqd2xJwUx8NkTlylbMpachmCjFeHy&#10;jNmXt8O0iBY43vvzblRutieg5MompRFG4h0YOPaBn+bva/KF0y9XAaYjyuo1YLXSVtqDKq3vXyCU&#10;IVfXN5xsXk5gW/Ca61W26hcGq3ARQytqM4XI4NaSmmSmi1x1ByOI+bYpnGQsBmUqZ0CFLxKzefxi&#10;yZzeb2OR+XxiFvAtWvh2lT6qWn3WtVuuEZVKyfXhicPu7I8c627ltMt+g/mycIWWm0a1aI1NlYeP&#10;5GPEns+oLmKtjVr9AUycOOz5QGVhzBZl8SnvaU3NlTcrK9m/r5MmoLawUldPkUWhzRSjpSaIbO3l&#10;888q/kXyhXnPLgvL3EXOsGu5Pry++QXcmF5y0eOVXB//FA5G5nT8qX5WTxeep6BcTr4dpGr6WSXP&#10;sVH60jFlxYbrvVm2mivL4ZFqTl72m/A722vfmke4Ea17lyoXGl6ys2suzXe/Gua8++DzEIM1fs5v&#10;ee6r5rrlPsAkfD3/ipe3w5VPbRdz4bv6F0ZaLrGFCxx6BaaQrfDh6cqqy6LTcStPKtXdxiHXclB8&#10;jtfJ6/j34C9lV6FSjK/hs3uB6k5XZxiZE4qqRabm52nOiJ0k3WhJOh4jbEJSdRZCxS/Xo5c1AX9E&#10;PPDOAiBhpvQslcdE8Ft0oFZpHr8g2o/2Fu3x83PywaCHWmBJhUusi2B3H8kM2uJL/Mg4A+9e8oCU&#10;Xa7lGpQveDEHz2yZi1pc3vwdcs1Ine7xWS1L1ZMLG7mmSgbP1ABK0apqeL4bu5SQ0XhqxyQ8W7b8&#10;3Nz7drstpqNjhs0qhfVWkpqhtBel++ksuD5Ve6WI3Vm5+qEm2SybhBdGau3zcwwVgrXub/Y+wnr5&#10;psf1in7CYelbPZgzENgu4hXDCrx++nho0e7ebmt/W2RQI7iqDMbKvKZvfFbespT0Yi1r9gd19yBy&#10;bXUb0E6r2By9yWfF9pL8J3td4bb7IEBWO6nsPpDr8L3MvWpS6+eUDdhb9RoBFsWvtQQ+FzoaKATU&#10;KOSV3vLheKXiZVatqrE660hAJakgo3znh8BjEdkEmModIZJE7d6+VGfNNB0yU5qOn0Ontq7ldf7l&#10;cEGxetM59Z6/OLFple1O3kA8fEcw5qVWLHMOFMor6oCvLQbULgrVQsi1AS3X7ikK62flWVJjrWFV&#10;5SGOtO01GjN/qgoWoIwsYPjcFsrJqZbFVrhDWNQ/w7SIUYY/yDUIJCN6GYPVZxOvK1pX4hTHbRXm&#10;OtW1QkjKMzQrMThvhwmpxcNydQggwWSFzHT6mfvw8MiHRD3YqOBrjTjDuffQ8Xm/d2B6S3Jb9kJZ&#10;kaVce310tQRRbngr11WyXXl+0tmtXL9VnX8asVm7V0xNjVOyiSHX4JaLLdfsYW7s8wG8/dAGe0Ng&#10;pCzFJOS53z0S0oKWK3bRY/xZrrmrlaWVDrDzZ60mPeeTGb1Ka5WPinuV7nk0rzyWODmQfF/+ANT9&#10;M5cb6hnCev66II/nT89fzRYDi1y/zcsBBdMQK/8fSZC0tMoFXiOxWgAa0Sz6xvXFrXfeuyxAAavw&#10;XbEkBds30XSdsVxSjhukly0FpbgVvma5zjrVGMWBHPI82PwJW+N2KuMb5cefqb1dmRhKnkccACrO&#10;d1RXkIvRTOPO6JHPZrJbc77g3I7AOo9forUVkjDp5ZHEb2HxWxtCyTUcDpFKnfYb/4LVyqDczeLy&#10;Mjcq81rgtIjVFjU1+qG5lkEV48NXycrKyMr3DC1JetRQCiGMxctY/iIxoOu03IemM/RKrnHm5Qjm&#10;ye4cUhqjBKPD2DR9ckUsjrpSCOZYIxvm83CLdSPsTa4xXMtNNDT1/rQuEb1LTIjsukc/m8pFlTO6&#10;dr0n8padj1+BXM3E7Wi+MVvp+EspQZEaHag4GBu78C8Ft3WTZMj1tvaqAmNv2vF6Fqtiq3WI9Oom&#10;jzk3nO01WcOSevTqA3IdmDJIRVxheLRVpGyoOos/H/ONVXZVoikVWsm1V87C3t2NdxT2xw8TXU5/&#10;JEy4vFtUHW/L6Eu2D7cqw9gk2xA2As9LKFhQWCBuKYucJYN06Gcr1xhbUqFwbHrO3YQnlGfIIPJe&#10;UCjOMHWhqyJ1kWs9+LdOuBf4UWsW5Th/O1Yg2yuAu/snaBaKHJ+DrElOZYfD4IZc+ybCsNd6eYew&#10;LJWvxDrLNTn7egXvuuS0uJj2YKU8Bat0eJHrPHZnr8aZ3dPXtCY9CD7UqHU3xtfde2/Xyze3YepW&#10;bEOu7/WrvMpqlT3MEP6XZOK5W6qXcq3JgZRGhfbe0cDiYsbt/+Mg5hs9Hd8NSu1wS65lh6J7uYl0&#10;QEItfd72DQChcILu32PxH4Ac6W4brbg51vIHQ9pXdZa0zFIXCa3FOie3wXWFX3vh1b2IkZeuuL42&#10;8kWu816exWyO924TRB69mQW54sKkb3oKhue3o+ylnHG3y/rlLoHja4UgPpvJQ0PeNVvclpjUq89G&#10;rhU7RDqoTG/Xri88vmsuzbRE6jlz6g3q9tiUr+WaKfWfwn3BND3cf0STZmzqszuWnLzkffdEz/xc&#10;tVO99YpaRnur6QPq1ao3i3Cmbi1W5NpCiIq3Sxeq4eZexKwiM5+i2CMOFPWgOk+Uc1ncd0+VQk5v&#10;3+JWNIYk4FysTT3P5WbIGtJoeBuhFgyA48/ZXi/m4oE4j9LMsMJ6+Wzl2uGaspZrueMit7p1/8ba&#10;Bst1U9aZRbofcTP6v8b3EsYa8ozP6lOlpmURm/G9svTVWn7C/TFZEpXLDnsvtTAEuBXrKF5ntkLl&#10;wnPOFAg5wqwh60azXBdzLn6AzPtLrU1AQDOz0hzLQvT5uuyYckbZriQu+N7P8lrdepgh9Fck2cp1&#10;Y/1tjZY1KsMfgMgQT+hatKFnavCw4lS6HxOOEHkx79KPjW0zZIX/J9ESyyuiZVkjfFmt5WeVeufT&#10;bFYOd0uZfNfZHDsvxDpUcJ3Zelpzi+3d63hdYZZrGrXtDD+82k0zXuK6e8tbfPi/kmuZjSjwubv9&#10;2XINl9c3IH6GhoA/S1EtxgLuGhI4i8Fzvfps5VqIojllqL63xUrCqBhKV0nu8FS93ThyHXOxusm0&#10;2QuQ8ekxPeSleOdFtKcsK/enlhCfkzvG99aaQc2UBmT00SQ4dgTO7oR2l1WUekfzsbauonF2J2Wu&#10;w8QbQo4w5Foz2mbGHF8XBxYLYqBHfw5KnDCIIddE6yZVvzDsNYq7fqhwdsPIIpMRP/OkcAW14SFK&#10;9R/ttcI+WPaQX0qufOZsLDFipVuDtjbLjVzbdjYGOybQqh86sivjVrTnjyQuNeDji9Q6vxAV5atY&#10;ubIRa7G5WvChz1qBOV3n7lhNqdNRfd6zf7/lGmUfNw+HuW7T97pfIjT5tVFjZEnFJWAJ0sVpPPN8&#10;g2WRa0WIUdybK0gPsl66VqiVfzk8jBuWm4l2Q5hfLf+zXMvv/G6NeUtqkYrDtbasVmOMh6+qaCPX&#10;HmxjsOXa6RFD0e3Pd5T+yzcSeoX/h4/buoWJgxurfX8S63pfC5/jzxGBXZ7uOVbfTvD6+TpG2XKt&#10;Sf1YZOmVpgt+DLl2k37K17XpnA3+L9pQOdJAyE/NT8v5eaUum912ef04wEqhisVrSE9/SFQqbQ1u&#10;/9EPd7i8UWOSDRQz+SydRvTrMXouUD39Sa4bg+3tNlD2s2x3db9Yv+xFNymWeeJ84qUOb+HhpVgv&#10;puMPr5WZvL9mP3FiZ6cIXj5e95S1RgwnxuhtrtusaTVlKrmW8Htr7Gq9eQ7SHX8z3HR+VDVnueap&#10;wFqMqBYd7OrW10oQ87JKIJrg1/JmmxlqNHErXciw+VzItbhwrHU9LAnaU2+1GpLl/vXDO/1LDyXq&#10;rVxbiTYGq16IK+4jXW0jmg45yw5gomRyy5ijvHnu0wsSejyu5HOjbWKWL754kwOY1/LyzFkvZ/QS&#10;5Ess7S3GdrmLycRsORWGOq4M260mwjLl7W2yjnf+Hpdz/FJy9fFdg02yvMz2q7ze+LLS7o7h+WM/&#10;/hUuQr9QcrWveLWqn8+FXMvxHN7iTSCyhKAl9HUgJrJeLY/0eo39T/a60YLe6wiqN7Wcc4Hux9X0&#10;g4w/SVLcRIWGNDl9mgsPxrvgCYuMVOFyuUNGiPBsu/MVwlGWnor7Xpxhaa/tcy7XdNr6xkJzSbKE&#10;OG+cFBYuLg954nSy3+L4M/LLywTcPZIIETupch9S2s5O23Xkr6gP0X52xOWuHL1k0NX5XBDSXIxx&#10;GFN64Xs8xRZIQF1n3V0pmp/28xMxI61Zj6JLyNDH19w46NA1wLfouuKmhCYF+ZTaAn70EjpzPNy4&#10;d+1wjHg1wVL5m1e6icR7rf+rt1GaPyOFAOaFx4vNTkvCm9Zli2Xhm7nTQsLiuHUtyWVbriWc83U8&#10;YkXTYDAdXUVeM6F8pq8oGK2KAZdbsYCSK/TMjqUqX7xhB2gZec2VgAoB23v1CdarpYmxipqpS+Q6&#10;J1nFXgLeelegquXgWHXseVmVFIIhSZgOWd6UUlt/uxO4oLl747O4fgBJshGy1MWleDxWEJ/ePAxu&#10;ob+Xhbm0RYU6ZX1Nfx7ybQ835k5AHH9DrTFRFNfi8jreYSwz8ffmtoQZD5Y+8rjgJhuu8HqsRv3/&#10;mbjyhwclyx0h11oBHg0gfesEBxtzTRfVxjU71kA6W1lwzwbiW7KyMatB2+vqkXFgzHTolNrbhRYg&#10;HiUmlWga4qm+6yR0A62m5+uxY4Kx8Gid0Rz8ZYQUDkvPwkazJ0irnsut31UWEZitL6637iolEGZb&#10;jpARV1PLETQyYN01vundzlYlLauWjlQe+fRgsri++1DG8L4og2LPLetLtWtCMah2w6PF9slLYax0&#10;cz2KKfVb7982vb5l3dS4Qya6OWNZM24+69BQt23xlz+TOF0uaNv74nLyWm96OP9em/yAdsM/vtXe&#10;DSua0daMdcBi6aW07UgjJWJBxUmRHGvgM3Qy0klN3eTNetRQNgtsN7BthdpVCK4ZGvPTqqVuRjk8&#10;hrne7kGrw/DZwwGlcM+Hed+eujpeoHMBcXigPRQwQuVzwVOgEkyulruKIrg2vYKwZK3bwwtQlMP5&#10;Wl1goE2OHpum8K7cwcWdgUqmlt5xyOjAJxcUKDeMoCoUQFW8cERWHAGay3P1cqSF2s3rj4rAwOom&#10;a0HdIwMi79L4uNyyuVOmMTYdWvva7F15ekzt57yJDfnXPYy9LzvJvGfnbyivMs3mbt6nVzTwwcMg&#10;lr/K9f22KAas7len+SsI071UM/ZY3CXBi6ssGFEbG45JzN59luvGwwVzMXiq+fHamIGUFfMDX66m&#10;P4VWoZSQumMeu8NV9eJBOMJnebSrgl+THBkf7mxHMyuOKzP0ikZnyXXrSdNUrJjEb9cqbTjYM158&#10;Mwoii/P9HF4xe/cGhvMEALc47c+/s+ly5SkqvD6XFhUJ5KF/kWs85fHncCw1jnryiWHzFoESTmUX&#10;F9YSca2zs+Kky1C1AjJmQcvqy0YzxMbC3a8E2OW2XyD345d8+8XfgOjjCyh9is8pB5hAWPFpkLjk&#10;NFWnU/tqWlX2Dy7mjt3JM7RTbUq/hy8qe1vry+wWaog55g7Dr6nz0V8SiChVMAWQQXcvmUNNxx/Z&#10;QbBS7YrG9d6Gc22D4qoc7i1kawjjj7dLBO+vP8i1k8O+GaJpflqa/OSIK3GCA7W2MktxycK2a4mV&#10;ZZtHSGe/sHJAYuUSYKlL1fe1wQ8oXivXjpJak1YZ+oCNWH2tzJiJrufxu5sY2vZBWaBXFovp9aQA&#10;onmtTTvku9FuR0pym/3ugWHA5VAfXvOucz7aZFQlp2+VG+RtS+vNc6UNpx89eNVVWRnpL3643jwA&#10;pHIOPst1XsQKtoXbp9WL9LMqHHLd39S9p89y3ewM7KjN52j/F2oTRZ5deUz+MhAUjLU/5FFTFR3p&#10;NriuFqjK/MbErkMn9Q5P9UzqZo4OzMmwCtyvjHu7vY4d7VWzcseMo+8fqxQpKILK7d+YFVsa5HKc&#10;av1WwDpfmWux7FiRrerKi8TqT3KtmcixXu1N7fH5g71WSARyKT7t02pjLU0solpm4/u36NlnuW63&#10;2yUP9sLOrXiXM9iEljFkupjluvHYbVDYayNArtpzriZvve5YuXmnriMjMNHWdqm93rsozNMfLnT/&#10;z/eVeWXtqlcMk6N8F8kIId/lysK73UdjGS8fV51HyPYP/aYZYf10WOU3mb3alR+fwPDZv8/2Wng9&#10;JPRn+GrwJz8c8oHaJkY7q13KNcxelvNv11v1wXp2K4tcL2yy/VFd68W8ASXXIeuLxO1jN8faNlfl&#10;2iGVWuVfi7jNXYKy4+GWRyycHhBBmDMMecCcYjpTL2t8fyptqOVMRBwCdk/5YVRIbANMUgSExvM1&#10;Q4mM5vo1e6of78y3Hp9LvtZZpS/1eNO+hdB0MEGtZzo/yTWs6jcfW7W//uCHh1xz04IYkGqXci1W&#10;zI5rI1fqz3nWSq5bto3blIXJ9k5FmVy7ptLI2StrZyONGpg+3le0COtKYEF6Y60tmh+lQWOvjPcD&#10;q8kyB22o9BdASSsyP74/Zkp0F+uqMA7+xyymYyIfMLkoSiZXSB19uS6loV9JT7un+NT8NlLqb57R&#10;XRxJPvUNf/J886db6/P6tVAtqs1nuQ73E6EFET6f5Jr8es5ZN91TfQmOf5NrPwvUiGzvvFe0bhsu&#10;LzavixglxPwdl3zDvFY43Xdwc6Wp2WK3G7FWP32HbUxgnuWTYqXyRcr/a6QZEFNWATjeuQhZLTbo&#10;IafDG0kp11MUrnZ4vfcHmGrk+HvcetZ1YmRe2WrUnN6ko1SIPOOeLxLMDeOtuXsfj3j/Qa6pVUtj&#10;cwj5JNfMhqKWwuj+lG/kOi7UDlrHupBrL9408tuntUfy7mH52iWpLdviE51yxYKP2xcBvX+nuZZu&#10;3jRT7wVqX+vLLIGSOz1ihBsdAJaHAwiWNYugT0C/LYxkOQjgVb8Px+1pdDIGQnhNY5OyTtx+yzys&#10;tO1n/O5xQ/kby1cfGJ20Z73aGJjvS1T9o+/TzOFlsjB3nC4qaYSeT3Itu5jD6Oj+RynhLNd2lQx0&#10;KddqUmiv3jwTKLnGN5fBr5Yxh5mMeF2iDbiA3GkudTZi7aloFp7GnZj51hsdXIq1YmPB4am1lU/8&#10;tlDhoQam3KfAXMFtXBJD0sX5e96nlsHCDLcx9c2UrrxJLoYl9eX+DLnOfnDAIle7OjzlUVphm7EI&#10;FbfTxWyu6zy8IQwck9K5+/eEjgS6QBs/qF3KtTlXiF/stQsKFUtCzrptXINt5veJDdHKuoUtG7H2&#10;3DJo/Wyn+hgzaSd8ya8RuoXDIta7QVcvHqQUcDlspJh+NIOE1+nI/IASfzWwTMGlZuQ6al5Or2Zz&#10;XdWIvVameonnPHlJtXdf8lXwSa5zCkQXrdi0uFgRAvL85sh3Zjd/uI4ez/G91Z5BP8m1bgg25vNL&#10;pAIruSbR3Sx35R0sNNmsTCLarM13XjwdblZ+aMwtUzZutVbKXmz8JNaeDzYYP/2/qtZRUKEimbiB&#10;rxhhUxNas2YynXCMuHnfvl6TEetGGl13s7yzNtf86c+Q62cmDrlaXw8/5LrdLQvMpjc/eWmji8QG&#10;SL2B0xK+b7JoNgJvJ7NhzCVK3aYw395WWsk1h7P5C71Ssl5pDFi/bMZkpQuFlmTF6HnTeFx7QuJn&#10;J1xoDyjhIb1FVeYKwf0pPFSORUxUrhO4KtEmi5shZXmmmc8mw9mY6zTfqtMPi/gnJo7F/FQj/xpR&#10;/7ODnWu+lbHVC2YvEhugcsT2IXPCuH/M+7HyC9mWR3bq7GeUVis+kLBh7SLXXmJdk7448M/BwVSl&#10;CFygWVVS6WQfTkUjc+1yWXjNXUEE8fJrs5orcK0Mv5N469YkI1VsmDpj83M53bE87mcjgfmB+jR8&#10;mNewkKvc+uz0VvHCValFIT/xJjwVbkq13117/FOATcUOsEt/h2O20HR5uYlM+z7LtX1Ikbfh7Uqu&#10;IXQEi1tfh773N0Oq2aWdAcbaulvaUCIok6z2ti3+ltfbeANhzIIaHOm4GWrZB8xgHSPmXxGjEF+b&#10;rqsGgKCxJE46V6vSXN4sh4zAl2vv13lVs3C6r32z9azqAptXN+CBasejrbaJKKT/uyqBS2TFsNfW&#10;3S7vCjHsYUmzXMvpDr9dSpKfXPss17q93uTVyxULal0icq05YCN5+TjGxaPAAzbm2mIN80d76C7+&#10;evHz3Hzrha1xftncfh5PWYjCnJ6VB8x7vSV1SU383I0HXosJ0mexf0fIEnpWaLF5XS1vev74NV78&#10;cu1kvuEkkIQ4mate1+8RC8wxlYr+oad6O9OlUtdO4xEXI4mCpsTSijGP6z32a+gN5am/drXl1XNP&#10;Kn5mNK2k6PTbXmuU9UsOZnj1d34aNtZavJbwirXaFLn75Zyw2sywkl1DuccwfLmUqLKr97Vft8mn&#10;Cn8RZ+FecomMi4Btyjb8bg2KelcluVPZ4oUKbjAlU8p5uv000d1UVVNb1H8IsBFas/yTXGOw5Wmf&#10;45P+INeRbc31G8o9+vNFpfYjHc7dPUwvW32q2afQKHwsv84VBIr5ywJRe+GW88WL9i698MWMCVjm&#10;5CuxFi31QzbHV8eCpl4vgQP1O6e9vJK6hcmm77HSJ4Billiq2jE/zXo5zVnXV5na9/v/cpqzqcp1&#10;0+Xq/zMH4wQ67tawaVyYuFRdpXmZ0R/lOt4Wl/orlGvNyAHL0cy7j803di9RlzaFzV3dAblj63un&#10;XvO6g05sYgyFXJx+xLqaajd88sKbAAjMy0r8X6JYZcOPvn1zf3NbE9SHumWuOMsSe/KxLEtsJnCz&#10;Fwam59vSw0OWTbJPn+43bnhZ6RRuvnkLOuOhuBc4zxsuG5KBhM2l4hvISmD7z8p0Ig/x4IMBlkWf&#10;alX+T3LtOVUarPQmkTu62WnTTI6CJdKP/UJLRrWF+MRI0zQqht9vEUq7iPKLrMaTXxjjJy98uQ1y&#10;xDR7WmJjhY7zYzAvr4tCZM6ncWDiHIwFwxKgVzbRZ1EouPe9ak3HZ53T8UNV7Tc8NywvWxCQ1O+x&#10;0U2ed6WCMR1/aPGWPma29QexxMt23M260mOSnHTN56bsRtZHDn9ymSserX43LWJJ5C6fuOTi0fSH&#10;yvnzWTNmgWy4MNP7ep6uIsVBmW1c+4l44MCnqevWYVFntYQZGBXoaUVSZU35VTI9QN6XebpGl6h2&#10;vq5AvsvPYAIVnkQlCxoNlWMKiBVu973+vAni8VkHv/EcW7/CpSTpdspni/ScNX90uCwfpfn0ZqcN&#10;lDGVk4uJPRbzuu/DK/jz/SYK+f4MRWGaLBKq8JpNKYay9aStsrqPuslnq80DIguoL77vD48xTbve&#10;0C3QpG7VtbVeUrX1bVS5fB/qmGFqFYsLLyM+PES6d9kdiELnJekI72fYuTC7lgi4tBZU/WRVAIUZ&#10;E6XjV8TNWPGwG+suz16gU1lvmdga4bhNvT/64n+hLpdT+SzXq0yJKsTEV5/DdTs+q2Q3mbI5RvK/&#10;zzNgYKxnrBOn8oRRA3V4E4RS/6M69HDkbRcQg3U3M4SAyFueii8nVVNI5fAHsW59G1VqEXmBxUrA&#10;eEklazp2HFYVddy/1ZT1dB0GrrRgTrxWZrWMDF0GniR1u/4hPz+bUHjxcjrmUYl5tnbIeShg0YAf&#10;vVxfk7xK0T8lzkCkXxGuImX5YaDeaJsfVVOu4eIf5Tq/GHvZT1HmWjPw+Kb1luksKt9cfa0Mgf/1&#10;wvJP4IhZ5NRyHq+PiPVqyvti55ThD2L9lDNdpsJL9EVhV4l0zHV/E9kgv8SJ/vkAxBuC4v0LiruN&#10;SsFsU7bIzvboRPVVcl1LqzdZDWTeX8WcKg/RrLW+rCb9DFdupW0h4ruIxIHo3T9Zsa9F2/Qgw2/u&#10;z36ZHGrokesfU5xq5+V5ylLqVWcZelF0QIU5f10M9s8ZcTl4U3LvE0/5IYPd3QmrTZ5UXPyUCr5u&#10;fBufT2Kdoy9XV8wrAzy5tStrELGdupOzf6w7Iev0a0wDVmtCS7aGYSPWSrqRQFRNXFbBeGxovfEX&#10;A7hCg2Roux5r7d5X/vrhZ1lfFny84snaaAbE27X/TIeBoNBPOQIqZXTu8y0hoXWX63lqaySLrUaV&#10;Zq+HboPNbX1H6t9l/gRKLqhFNcwpdx/ftVoh4rm89Xy/2ctj7z3dXGCZLkDOom0988kPEeuGi/YH&#10;f1cFMefBwFVOPyb76y35S7bGqDDsm3vaYGOe4LcXPnE/Qj/Tef6Ir47bqVtFp7xgZoPaOgx/FC/G&#10;zZrLucYCdaWUY53NYXt5XsajOPCEyc97X4WONV7PCI1I6+ZnuWZMDLZ4tyZ3C8mcVZU0CCZvGrui&#10;/fLg9GebMbx0fFpgedXWgNWKxcZDR/H3z/npJ6wNbnNwOsZlTbWavd4T0fPU5TGEq+8rfYmx5e4u&#10;s1b4k/mrn+HvWrner3uZmgaIlQrIVytZb1JYnLBub+wBqYgQav4YHcuSq5dhdwBD4EVLN9Cmrx22&#10;/mTxzkRSj5pl+LXeNtjwB7lGWZ/yYtUi+I9xu8aPzH05mPWQ8uspB8baaTsXmO9ODviDE15tjcnj&#10;IgNKNR/ddwjcqJiQ/UbtjOb/dfo1TGixlLW+7J9R/0rDoleSETo7xx2xAsU3A+bCw89ZrAaAtcKu&#10;xYpeZGIz9/S36SsQYdZrpme7S1N4XZPXiJhDyjZ8nGF+AWHdqptVsCDKsZFrvZpzpTfbl1cskI79&#10;dQJDONXiEJoyR7va2PmlXP/ghFdJ1VRvPy7oUPi79P/0nvtZvo41g/KBRSsUB6+XILh6WVO5n3K0&#10;TnbmQXumPnQi2y8yLr4xN6mSOEQIy6bFrn2q32l+86EwsWlZhoF/muYgctv9E72rtb8C42snS8mp&#10;s0XyDwtWwnLnVg2o2eGSY3y21wpO6g00iOXfMqeyfEioEWQwrUJamL3W1K83i1YGwHsjdmCt++sp&#10;Tq8/3dTDXiQvfp0+NN4aCROcLXPVzRzdl1RYcphcV5UK//OSrzeJh1QPkXhH6V39iqq5fd3iXd3V&#10;TPXTSxzJ4cNuRacpT/tNTjpDfo6wZkCr+0C0fv7WlpdUPpnDX+JgswWgUUQAH+YMK7zajp0iUB8P&#10;Rq5nvhtIVupvwEbl330y7cNXnBSv1xPyMfcToipMCFeiKKgA0bDaZVIrTe9fo9i2pu/Vy5Nh/CoT&#10;XsQ6q/laX2qSWypRoWi4QSY5ERP9ndNfCy2kWFtq8BgcjwWg3sf1+L1y2vN7NR9+uMz9T2lTa1Pd&#10;3a4cqgFfXq4+j9HV4UX2OUPkFDh+LVxXSzylUxt7je8/IlexDZ5/i7CdOpfjeL42V3WFr1uttOFL&#10;Hlhs8GIMYgvrlfN1JtsLwy9tK7ZevxMbfV77qVmI82R02GBaTlYuZ9oeYUSb/UNeoEF4eMs9CxPg&#10;tKhP5QIoBMdtQP1AEX6npDRIHPZaDvbPrKuoVOK/kGsQYpRH4nu597T4DOFHvXbY0IQYV4YduW4T&#10;6ZBt0SyhP73XKGDrEqVqpXadvNNSrTbaYn7MzOS5uPUptMKFNXlLaCzjIiW7Xe1aO7XHy//eRV6w&#10;iLVuRsDBEYaqLeZjmHbRI5fL19Q1v0uqV/Vq3yrm0zuvvtAXZzXLKXcZeyyPArRoS67tnD38BLUr&#10;77NcmUGNZIWriviP65CBlVwz8OOqYhnDVq5ZcTDkYug1wt+mOuMuQSr2jyPclJT5rBdbBSaeeQcN&#10;anKZCIPIylMbS7t4eCx8ZiSWjjfWGv84YI45NUkF2qgqKidXqywsuxaBjm7pFzpLqtcDmS4eY5hF&#10;c5qmPSFOvChlEqFz7VVTYEXRn1abgFq2j1w38XV/rIlyRr2uZ43+4oZLrgUOvU4dW67bhar4CCUZ&#10;W84Qf3PE0ajdixVxndlk/+hrmtPoUq6vJ1RYu92IomB2loE1inXhredAdnz+7uSzxbrNvsKUqlU0&#10;9XIg/PZJLFcmtV/ajUyrfHJ9HgqvetUBPXzcxcnsboba1zK0UusFqQonvaRH3dNLHmKNXMuJrvKE&#10;NVTQiXpv86Y8UzQd8tNjbg35WzZMu8XOxXKbr5QT2Mq1yog+GaI+lzIaEOTPVESgX/MjggcX4f/c&#10;5sYlC/6vrLHh9iZsalh7nuIOnq9u0dDv+Xut+eT/9u0Jqzt89YLFPE6iZF4/8r4BUpBE+nalQPtt&#10;lO2tuupcmRDevnh574begNaqfClQh4A59SIIR0qR639yw0VN0bmV67npbS0O6X+G1mEBCi/ylZLh&#10;BaOjr2+5FgHx+fNSFu0zPpDpX35K5A4yQajng2vIyg5zpk+0XtzkWc3Da64Bd8akA7H6wzgRTgW3&#10;BTriAb2oVEZlPlHqAd/LPseqzHUH37mgxkGqH681PV5LpqdE5A2lQH2joZ8HTveLXIszf57llOX/&#10;Ua4u+LuaGF4BfzXX7Zz8slZ1euFlk0DfjGiSz9/sdUknNfrMeB8xkjT6NDtCUZDLJvcOLIt8gY6M&#10;gfJXmFmvGPmGivDEEdaTXGB9Z9/dCPGnnJDzFJNp60ELnXG7AUVjcetrCRpNqEwACS9UtM9+uFWB&#10;6KWZOQSTdHSW6390w3VjonZMbORKt/yXA0EUxn9mV8F6Vvh5rbLW0y6KM9F5uB2Pc/j5q1wLfevQ&#10;CVzTJQRRDj6F0eRXl6q1TC/P2YW23h5QeZB63aY3vb9+9anIkL8115H4FsbHV0OrAma8it6uQ9Q7&#10;gNLuZUiV6sOsflXZQ35Ot7pa7YzpCeObkli5vtazh0VKyvU/uuEyhz/JNWMaF+uXMf8eXeNUB2wD&#10;KVCh4WKGlGTt/Wctjdfnr3ItS7COnSQxf85rUoFPEy87nvqu05fnfnR69sHnm1C4dl1lpYihhsEH&#10;vNRrHTPiZgbQjvrUzuK51v5iRGoORfhanVeS4rVUF2fXT3fe3H4b1rrecNE4HN7uvDJHi3j/OW8Z&#10;ck3l9TR8C1Gbv8k1bqi4/7c1iWVqJXy+QxvTvNSqem3X76I81P3dD8+OOGam9U4nJWWji8d7AK7M&#10;mzOecufnv+p9yMKxBly/aSemLHrlFpxikC7Ytyfr9fCe4ZycIKdCfZx3tkMwCy/TusurSbz88KiS&#10;jK04MTEfn56nahvJDFZu2oxcbfyGfmZ+yPU/u+F69O6fdNGkDWj/XkHlbyu4Y5pQgHgux4lrWQe0&#10;QGzc21+Slr+ffeqA2RErV7V02sW3c/D5xm3eG9W45tjI5tTHw+z4hkOL46tU3hDT2vN43WL1szbX&#10;Xr0/H0us6Zk4pcJG4sRJ1CkTkulUrylmpOu6YVNhujWDk7EQ7WeRTDsEAVzH2k7Hh9lfDnv9z264&#10;CCsNXu4MB9BFhhxrfX9Zwd3c+aLipdkVLZ/u7/V2A6CIs+VfNG9xxPG6ccS+Wy2Fl/pSKfa5kOj7&#10;h1nKGqL17yrYlzRhzhjkvb1rPqssvmPr4/siVv5nbtuLvlprTTqDG80froc25LZHusBvf6d0OOGN&#10;G17sivIxBW+x5sW0gch1+nBdYJNzbaFM/985LnWaoV5815j+deFg44b/INfw45OTrQdn7dg/D2r5&#10;3w12OOLItdZRghGNVztbG1K5426567GUNUS7isql1XrC7hY0ElwzwMpD1q+j7o/PudEO+HXOw5Vx&#10;wiXWllz9eXbYTAG5iFztgk7f75M7ceTCwDr+tDkLzMC7uMRqDlXns1xVgk3OtYW6lx6d2b4QBiOW&#10;rLyizPH/uh20JRRA3y8Gqunrp6g7btmmZ/I/7+7Ov4R4CbWE3XKNI+ZTfz8vPyb85Aeq0bnSyUWO&#10;Ea25ZENxTQ9XujP3LKwyxVbeh7thzDmLBQ1rxQmvlnwPtQaRyQCnyJXkxyvPr998zTK939x4l3eR&#10;1/K2kfYDwrDW1eJBx1euQP7f3HDpSIW/i7QphTG3YPoXe+qs7/zRG4Qurbpk8tnW23una7LHvNdh&#10;M1dcQ0ejYoEuvDDy+3PPUtS4tnPdZFfTapm7drNolu0vq+fzQ9Y9ljlOBajdXd6+V+NWZIW+GuKM&#10;c+VqCXz/+FJ6Vc6Kyqf6rbdpd3P7eqeduiwRhq2eGGtzLdMvmMW6EmDJtbZy/NUN15pC3z7YeNSE&#10;+sR3lOzG7Vt/cMSv/66Bn+kgNKzUr6Dkelk62wed0/1tvSH0b/d0anPdbGelQDaEP5+jcqJU/854&#10;vNHG07yQIc+srDRWsxw6rWDeP8Kz+Y7QWKn9MS9FUkuKgTZRZpaZTQWpOGChHStF5webumhTb3HU&#10;1utlOksIH4se5d0Ds1jXC2Ql1+cg/LdsuNlerTKfmUEmNmKn6zD287J/vZGms7LU3Uz4hL/JdQmw&#10;Zg7BFTz64iWUUQzl9KdD5L9t/3RDXtPr4no35xopxnXyU8cZNVG01obtcPej1/f6LhzcjbWen+Yf&#10;uAWVci36YAn40Y83OlYvAgM1+0m4Fl005XcV5VkAPARNl4nCWAZYzScXsa7nEyVX5hL/wQ3346vF&#10;9vYDBT4o0YsouIX6bYZ5ebqgLgvheCywH/VZ4G9yrXIA3R2/fLy8c+gCam1j/n1fRrJ6MeszaeNe&#10;vJC8e72+1Brk0oWPjwPpYO0Dy2XOSVMNfngqGXpcux1GMuWupPr1W1KEdsBCc280Ugq9hhg/65tQ&#10;a90n0AsWqy1ZIzTY2lc5DigK0u8qsbuAlZFVMGrQgoe1ejXr7VtHvIg17qAmX+O36mf4m1znxln7&#10;eGvS/8OjOsDs3+pX3+vz2cbDkJ7qhAmbdUNk4WDE3NekUbGPMctxTQc50u/M31qQOrxprTXiWPbo&#10;Hd13338geS9s7uj1WkUu+CFEfVTq9OCkJ8ydJzljhXKViZSg03K7tr+S61/dcL2xoISxpGMAVJXc&#10;dhXEs96+iX8rsQa7ukX4yS3+Ra69/1ZwDa9iE/BZAYAxRZ5F2NtOY+R/CMpxqt1TtG2tkBbgEpXN&#10;DQ45B323Zzr9/lZyXG5fdDpYKRPAkBW1mv6DL+kNk7d39Fqs9X6+fPLeax11mpe61Jr77bxwMFtg&#10;vYVzf3jPrtrN3bBFrn93wzV/K2ewDq841rW1MjQKtXmH/1BHIXpRavF/GV9XSmE2tGQty4u6VjA0&#10;bpnUVDp3l+hwOSK9W95LUaFiPc3q3Noc2TtVZINf5pcIo2K1+2HqV2vOa8Ku7JV4eu2oLMx2mRU7&#10;YVkzv9lzuosQrHjI7dl5K4mxsyc5dSc0MCTVXvm93v5XIw5Y5Pp3N1yz8fygw2oRK461ON9irei5&#10;yojXYq2srO/qXKpQJSSXcu2MQDAlWGZYf1wlnm8YzWuZfTPBza9/Srbyy9ZlcZV3LwyYN0Ug2Myt&#10;4/pryYLoU6s4s+mtyaxlhF5I6MXVfNJie39yiPV3re4HUnEsN2TorCEtb573cnSjvTLpWKGznc0s&#10;ct2Y8QbCsVKSzez1Y+jpbAyZPcwZ8c/F3kaljoHbGNxWv1U4xLJy+c6xMnZY9Id7pzCpatLPILBW&#10;Ux78AbsRSdcQrtUMqOS66FXpCGP5aG0utkAU7Y/+ha6xS2YWq7gdsnm7ZtHfywwtDtrl12f4WhZ4&#10;ekm4GXUGp4V6+T2CqRDQFcoA21j99Z5a19iG0Vmul1xdoLhem4fLBApOL6UxY+kZSAhsR7jyokCJ&#10;dWRdFytLpS0XVth3sAuMVrNc/7h9bUkqZvmUpM+vv51GbCylIGlwyK6a8yy3k0zHws6TOZeyvh6J&#10;tS+VCo+tDTOdVn+/ti3Gw8WsGAXf+sxmWNCCYYqLXkRgVW+8RnWgcbjul1F1NwliHf9qf1ts+SKM&#10;znL963azq59ZOSyut70FzmVPdR+3Idfla/a9LtCaOmLgxTpBmcfqQRhg8yKqdLnIdbXGN0N2rgsV&#10;FYExBXiOF/nDQ35xxEGl5Do/Vj1eLo1TxfgzvS1VQi+d1/J/toP+GQmGDZtv6/m451tzGsuCsJ9a&#10;UBzQO6nMjxyt6vC92q1aCjM9vOQpr1ny/lRjibVX/csNX4TRIde/3hAfHPsf6a913A1slTCBElaZ&#10;3QvPLqFkvhcYMXC8fa+gBLCeVY+yemwa8m0fueaJxD8talWIfvd2die/A9mdK0N/WCOuJrmJFFe7&#10;TNFKzG9jihtUlkActZo3n5Smh+sobxymM1R/BmAWFp8lVgV6Q4T5Ud1j70+9oDxQu/inQ/0qoZBB&#10;nHGNN6FUn/Ghlw9F1WoKDuQPIathSWo2eVDBJr8bvL/zL3CX13uDwDCE2dw3WlRWPO4IB9rP/NPv&#10;SQjzsyFg96h3+3SHoBvkBcLjZmH/8hn8ftYRD++8QDlYK0eQiKNRSNqAnqkPZEzG6b5bmxRyyVDm&#10;56NbdC8193x8qN0SZMjlYns/8AztzOaXmKf2VvibkOpLgAJZeupdFF27vfVlchLi1/f3PkFw12Iu&#10;b+VQ+nE54ygzC5ouh4a+Gd2avYrqJj0t81hj0NZKlCq5ZkmjJPfjBFGftyVWklWPcbebbiUcrPls&#10;43l+MHlD2+uw6YxEqpZb7m8qNgluhswdpmXS5Dbk0MoHKlvKNR4yONbPn21epStUcltz1L6DY7Ux&#10;bRKixEBde/eRG8F49u3NWdPM1fKBq10AgUqELl/Ht4aavZ6+ji3rK1iWs2aoHFRU4JHT9fVNwXHP&#10;ACasxwsb1/GhM8V/6KKE6TjlWd6TH31yqr0o8VQ6EhF2jlaMgdUXMR2op/CVa0ahVsm+tAqHV1Pc&#10;vKR/rAV4abMrZAhWsaJxjjT+huHj2YsVFM9rd2i/6JAeNutQYw3CfiZy7M6sdHz9goAh1uD4+YGU&#10;ksMfBDRDKRda+ym2btP2wH1npfVW0PLCs870tEgMN4K5lGuP5DyiHqeMG04tTPFFLl4aX5k1E0oX&#10;mUqE7YaL63w+rz5mNSSOaHiZiszlVvT1ZlbTB/Kfyq6bXxddKdrz90qgIgjr9N/98yZdEnrNMaEo&#10;cVb08js9A5apBJemm/uPPGlbJtqbY4ZYe1/Zp7XCcOvvd3KGuf7zayw5L/BZrPOmw3KEmicUzyLs&#10;XxcL19bR7kKuravZWFc7YQxoJWGy8tocvHXE9TImJxexwcxvS9QtVD6fFi+XH9jrR2WwrXCrEq6o&#10;jsbwHkHEZ0BTVPVT1CprXQTaR9PdpWMZg9VyQW7gidzGsDq5yAXNuBlSYtU2FmttHRxzrhlq5rtN&#10;RbdQ5vrv+lrDJ7GOn04DEj71jWsv3AHyIwFhvWMiGjjkOlZWEnzqlnOulZjoTMdzMYOtarGAb5EJ&#10;qJUbLh7n83kpseSHjHTxkUQ54goXwTubn35kO3LJstbeNj9K3bArjxyoYR9//8Fc2jfU7qEWWCVQ&#10;A5bs1MQadEr4teNNSimeya8unPusoe/S/u3pCKDMdR/N3sAnsa4MOpPhnn4tdwprWeT4NSa1XvWK&#10;XIdvK7GeKyHrPVr44RJThJ+7RpvJbhFXmX6UB5n0skaxOoJdu4hA9UlxGaEVdcStf6UGUafV2wFL&#10;rp9+I7lgxNpU+RRWA22Lxpje5u/K/FpNVstXZ38T5D4vSAU1EOokeax0DfGsYligdecP04YZPttp&#10;waVYR2C98Sbj5A3WukOwcgWhiHlypsxr6ym5lsqWzxmz82KCLrT4GdHVYuVKFTfEJQA+zN4cnhzy&#10;QsnPMbnNHHllIrPTj4pWKVPr49hilaVioJbGPuvIgBLt4ccFpwd0pMJvjq3DjLT1PbNYK+HqjDCZ&#10;USceq0fWIp5P2086ef1M8QxtroG8HKrhYl40Av3xughH2StRX9Ur38DsoSxphUukV3KtQDlajdHp&#10;rqhNecxsoxe51lPiKABS9w3sxbfDy00OLjfLte1AfOT6eNfbeFI6I16zd5rXglvP9z8n1wucN78l&#10;sYHesPh+PT9dwMRhU3sRa4k7pgdeijWqurkl1LufLsarHzoF/qp9K3M9fMy/VQ1sbx68lJs+yYtw&#10;ffooKa41qURPgfawXgqsqsl559/orCttc8is3XC5v2UuE6hljbEVr/TqV9liRHu49lVBf1gpneWa&#10;icdj9us8/jRBW2/sLAsbeVcx5K/7pIFvb72B5jM0n+7yHvQgF9NdwfxYR69kRMw4Ep1wht6uNPzR&#10;XIcX/rRWscCy9j7PJYX1vkemYH03uQNKJjP1E/HrPLu6UrXCxZVcZ4HPOUW3mhEcvyzRF6Jfs5Q6&#10;Yo3+SqAf5S/DO2QQx/RZFmn5fls2fs7T4bsXe18/Z5R0gH7iIap3Ttfc3QJqijPukzW0KR5ucus8&#10;QgW5Ne9fZiv2Ng0w38r/Pqatq5cvDn92Ya7LJOmvixLNMuDfVFl+6GE2DiHv9F9FiVhTwWpvwIr7&#10;ynWldiUBkWuMZsc07hJwNaozdGEdj6mV6LCsg5Y1j1SID/LME+ydCa0gOD18qy7Ov/LW+WMe0V4T&#10;GEE3xmPZ9U/3cxvKrJBtnw/oG+OH93QBiNz6lZrLI1i9W6IdL6F9fiRg/e6GP5vrItaNZW9g+MHU&#10;aCcirFqMG+2L0+/faID2tSLND5B2rwuTy7uDXOvznMMvGDYM5x/Jjc4LgRVGCYj1EyN1lwANiO58&#10;XkmMGYNTMrnDi2YL2hrSej03yxfMLdQcOWmff9v/PmzIKufXlW19a16eBhcdZb1av3qwrp9Mb+vN&#10;79Yme6pFvAWqy625rpj2V3PtGfT+H8b5uRjr4ihhYmEzT5OBsh+wWEeOUrdyOuUUR4vZl7RYl67G&#10;zR8Jkguz7DZyrUR5mU31NmIhD1AlVFKJPrxJvoGogHJV7LuPzGdLapuaMeukwBV7/XyeDTdETXe5&#10;tXbz9TSsdrC73qFoJ/kzu4Xl7rG7wi1xFuRAUfMKYhervbXMsw2iK7H+NbqOFQL94ma1aZ67jF42&#10;74royLa+3T5kVPqQbntZrs9IZttRL2ItC68f4QonZ5ewkWuarV3OGJ8WzyMqx/WTOc36WBAVpKOa&#10;edVLrIH102tA5WxZCclg+uk/zJoKoqbTI/kujv/aJ1RtmBtra7CH1arRYC+FZZK9ELUvIVd2cbFY&#10;WDnm9v7q2sVt7o+tofehECS/bm/kjB0zPRnbhHLUSMpKG2Yoy299iEYPuVbAerz/JNZaN9y/2VTt&#10;XrmstVzb3OfoOgwYmB6YmMEpDG1E2+2t+/KwYDIyOTqOIW2Xy2tTnftXa10qr8D52z6EOB2GDI43&#10;v50U31x9e8i8tqBE6ve4h7vkh7WufttiHoKvMHvxSo628K0GlssL/HXJv+Pp2+3F1ofFA5ab7tRt&#10;QDdbpUxA9dD6ED/ckmj//HS7uaUI9Lvhbm7rZ3o307zwbLOOsTaeCEno17Jry+3Sp4t1ojheIkIu&#10;8x2/DM9XXh1oRblrl4K/xiP85VVS9cQLiQBdoQExNDTgzQx5Fu3prZ6kH/yIFBX2yV/bWthdc522&#10;wdVGCqHtYGM9a7Fe3mcfcNs/gPD+2uKbYfi8xZzXMJDaYLEN8MXFOqlFqefcn16LtXeh0Xm51U3E&#10;W9lr68V68StqI7TROJJlYaqvPV2g50R4ELh6rkUtql04oEibfl5roRahO+ifl5xqaRkjimvvqdP3&#10;vDZ0ev8S0T6+3CfVq9XA255OcJ5Vw9exs3wsRJZY6+3nC5S1bvOA8YSQzP58465g7C46/34qQT3n&#10;4b8clSK0AC+cw/Dvq+np0IA5UwqfSq61JHF6aZVccC8Upbz2hm+neZaUHyw3vrGv0gjTQVPlymO7&#10;DG5tpFFK/xbl8Jnc9PbpHRnDAdzk/mrM3xD7aflKKE2SeBjPLPe7f+9UTrQ2Hua/btrJKqnX2pHm&#10;aX6DNHoQBdzdtEPTBtcaH2hHvbzSCfhWPDvV2zH+mAzfjkelTm8l3/NLSQBoOyk3cJFzLQuNyzQG&#10;3pdkZm5FromvZW277NwmYi1tOmqijT2PGiE9EEYXHuUZN8LqiReqrJudsvidkP7oMNsfMIwYbir6&#10;P+RHUzzfqOrKATjs5OZ7Uu7d54eMgHLDQS1DPmu2zIlyx3LmCVZ7cK3x2oXrCrc+svNtPL/D/3HX&#10;9o9ibc988V6xFuuLNP15d+m8tfz03r42eyED5YU/zUmE9Y33lVybW8smj8QrK7SzPagN27lZda+4&#10;OjJu3Ho6iGKU29ssao4khMaV8Bh7M9Ap5tjPRhbk9u5DPZV40y0/TXMH6YG439T8/Dt+A594tFK+&#10;unf5pq5dusbxKjM+3qWNsGKq+/PNYEXu1V+Kdcwtt565xHr+Xv5tmyEEbtvzArVbytWPQhiIjnxK&#10;XoHXfu4zD5issorm1sovDLl2L0XLJk6XhTu566x449Yr5KoYZR5bc62bqhkvMS7aER1+/Jondtbi&#10;CAbvsoR0M1YAly/ubjWaBf3IYvr7w5JTGVKQzTT68Os+T3/wx72nqVPwlr1R1j77zGTCauDxY2FE&#10;hr4Q65h9bm8DthMmktXBhl+BtdUFTL1rCgfExQxrXSnMSOJAIVyanVRzZZ23VSb0Ur1EX/msfUrb&#10;Mbg1YRcbhgsbiqreNpRUNAz7o0BpmooEWrON1c7/Qu6Y93P4+HnBxd3o1W49MCnh5Gnjz89yzdkw&#10;EP3CprNCIWzM1dcMJEP2acrbp7aa3d3252cjo2XLi1C/qHVhwXNsfekI9untaBvlDEQvhiuKF+46&#10;6677FnEeojawTGN62uFxm7fFPb5VnyXVsSBaUDfrcCWzb9rKtdYP3nq6vl0baq8fE45co7oVX7/W&#10;jzMtu87qjYInkQ/3SwQXci01LM6PGJkdqp/vI6zccMf5H+Xq7Xhtrv17Z7j8L7VcWEy4yMRq5W6T&#10;nffkZDO9sbsh1pbUReY3vPQCFU57SlOm0Yn5SqxjW1O5hphYzy578rzVrp7n10iR63ZuNq/49hyW&#10;Chdyjfnd2fmEyNfc6JSiTCamG0kMuV65o2V5uqdixNnVC2D8uZBracdNeax2K+6xWucQBT1445p0&#10;6+E2N+YhYV3bTeMpTVJf/viTVDcq2jBu9C0uR2gXa4LS9zwvNW4WYEM9KzJ7YVxJP3K5du+dPI+8&#10;J9Zcyw7zbeRcGDDmDYIUTdufNG938DBPnD/LNWI6GtAvnicdelmrMBdyVdcykZwTo77rJqhf/gUu&#10;5Fro3pV/a4bl0Y4LpGBEao53fNSu858xWHpfRe3h/aCrKf/TrfiZD32OoMssMyNaoKNiVK7fUX+J&#10;2HK7NXBwomzlxmO6u603YKwnTuP20/CkHbPEppOtbfxb+4SwMXfjF2gTf3wpL7s/OVfcsrC3l8PZ&#10;/W7rhVsvy8tULm1YqwZqMSpKHjIQ6hyrESElfzDSXsi12FYdjwXm0vRNvsbg4d48nxuLlLWTZjXx&#10;qBW0U/aD/2WVGej7O8sNw/Hy8K3zG28+rdLi2WUyvH3UaWySW0Lu+aXelXFYkpyRnS0PFZVvU661&#10;ytS3J1ZQIVegs21kRU3axO8zF552P8KtrVx77mP7zc2FWS/7PQfBzQyuTC6IXNtqZv3Q47LW0/WH&#10;67nrFyNSZ8g+MHgaIrdCGW5z0FPK9FJRZX0rptC/+el7Ev7wHH1g3LUbD9fd/m5Ut76NimU7Javi&#10;/eXctWckDUMthpmDhAsu0L9SmN6ms3rpTPdCXKl2y3LEgNnagGmzwRLoUPGcB3vSOrzfyHWFZ79H&#10;p6FNfU5REoaVawXsoJ21irHpbchVsaKuv/XXWO1G3ecflA30o3rV9Wai0xniKiwUI7QymLbcSmrm&#10;X9dTIhv2zBG2I9+Q6ryMd7kduT2z78AVypI28yn6Go0DI36uxDp+4Gn2wWPD8OZJyfJtD59WfGdY&#10;vTRia21AIbZ/+1ncNJ8a99AWqERG2N64as7Cs6pdUiM1KZNrceXhyNbouaeIFeYgrmkbX+fcomDk&#10;wEmKNiuJZYXrfRaR/YB52txslvl2vb0//7Hr+7WVGdbx2OqZie4GyvPP+UttXby4IbER66wXLVbp&#10;3tUqxSypcTepuTig5XoTj/0HsS5rjRfL6zQtpw6DK07EocSHbuQ6i2/rwmcNHOtPSZb0vmH5vHqh&#10;uzjWNHEjVxfE7HobX9dJHjACYpKidcXywpsUeaw/2vlssI1lGJNONs7cJVZvxecXCmov7fiZxFMl&#10;OysYBM+Brti3jXsLV1aim2OrqCW3WK6NnZLbdQ8IXKXUn8U67/ZAdy61r3+ZmEa9GK0kKsNb686w&#10;94swsnqvRqWexC/gfH3la9pg0sgAws3qbwhN0hIAGWzrh9exKc8+9W3XSopWxllWseFp3wfC6/zG&#10;z1XqO8QanxcT2MyCW9H6ph423Qnup7AKbBImoZzdcc50hLW1rqYl465byRWyRi8jlI0IsMBIalaV&#10;Z1j98OrF6ibQTuV4PaYfYdLnGzatgBedr3ZfdZ5aiNz9f5Vdy04cyxK0Nx5AumIEq5EtNFwWZwHy&#10;BrGGPRtmwRfM///DjYyIzMrqbuxzc3R8hp5+VFXku7Kqr+0kD6sTUCnplCOPxmrSDD+xbiapc/vD&#10;aRcOuB4r9TyaoJLdeV8qgwSHnNFVlBx7mN12Ms0036fMZ7AP7gQlpTqLOeNkmhymIHVzVoJNjLrl&#10;7/xMYLNBnl7iPPBM9grj/GVrbhrvL2Ofnva0ndQpHNg+c2afd864dLZ0Clcjj+8SuZbFu4/Bo+2q&#10;mRpbejJUizQnWA83rMizs8Q2FiQW69kiWXOBPYlwQCWRqoEh/3ZFbJ9SvPX98dt/Ygfl9TvCM2FV&#10;DhNImfRpSUiVrQa1xbUjnKWsFqwOYpchCsnwgObWXJ2bQJVLUGT5D25zdljAyeVpEzaOamft7/zH&#10;4cz/S94ki5DStZMYcLKGjY2Nntl+UzEOXFNpcvPvh1+KRK18yRK5r7HZahE3Kh0acNKDg8KVVI8Q&#10;gUq2dlgEKbFpXF9jJRcU8oa0Lmt7awCbIeiyOoUlJXoCFXzDB6Qha1shDPL8C2hKMv0cxk80c3a+&#10;4SSu8XoUu8pa7zd4zYZhTpT54J4FDa4oKyktuR3EQ+HHiIPQM/s7DIJqbFJp3vEOwVsMgySk3XHK&#10;VMosVlY7cTrve3x1Sc8QUD5/mj6SBpFPfhn5TSdkJ7Ij0kXQCmOowQnVScZ8Kkiwihlyn4wNQx6U&#10;+rDb3bflO1fBPtPVqUXj/tYFDkyNTt6s4rjGfVU9B1ahByx/SsYtxJWXzBERFz+fMk0Lct2TIiOP&#10;e0rriyQ/GgcwMeSMbqhk5fN4OcwU7YGcbePdpHADjsktI4pTGoTvlImH4CCtQkQt3z/8q8iOSGcj&#10;t7XSnFkXIZpWzDeTJS0sA8ELLnoiotEySxJU784jXfBFkjMXmoEin+iHloaXgU+ONuazwhvuVtsA&#10;OiE+U5GD61uDQJLh3LMhfld7VAcjXFNaf6p5jArjOk8tK5wL9nTMPXMOTrBQsfEVys4ZMk7YTLjK&#10;JnudDBeEojU3H6GQTZk06HnxYkH+1f2YoKmwcMAaqCJqj5V/OcXv2psF/TaCTZdfqbSj6Lhj1etU&#10;4OzsZTzdScTiRA+plLb9elzdop5pllm945AIOQQlge9QrUlWOvw3uuf2kI3soErOMVT6Ivsc+Bj3&#10;aBpOdfJ8kYsHybpaV6eDtlhfQzdpyiPIcfI7Y6GImRuTedagVNKgWeUO63XVwZlYDVfkU4OEK/z7&#10;P6vgrJcAhyZoNy4COH58UEpjrwUW/HQfsF7tVCm7oTXakF5VPqNtWNHdLTyuias2l9hdXd1G45vf&#10;JfI4x28k487niWucGZHA4wnqcwDvNZJUCLs3vTNjw7WxWMnPyjUQy8U0PGk6JClXnTPxPP5Ux+za&#10;QXLR5sm3cZIh2lCGKojAzV7QBOvDIeb8n89E5AsV3IpnPARlVT9uWYkAmxEchwGfpmc8A7N/K9e9&#10;CSOFjver9aKg4QT4Yrto6p6URaphIrUo8AIlk7Dr+L+HlsJN+cmq9CsnBryrhySHxpiscYzT0LMu&#10;cqKxZix+q/hlP0+y0nTXTtgghe5+WwqfBp3A6owxZrnYzpTSCvyt0RI7SECzwaBZWoMR8u/1pjUk&#10;awdSrBC7jE2Ugz72O42QqmNTJIq9MyF8lRn/3mbpWBiuyvwGCgVrMqfdQo2kTK/V8A0VedtGXZRT&#10;i2i0gM328DFha50ZefpB7wdGMQU+jitXD0h08XIKmNS8E+oSS++izsG7nLSDXsurHjFLAVyp/b/Y&#10;+qBgfcmY4907bz4c98tLRqPQ7ID12uI4BS9Jowg26OO0S5v6uDuncvarai1I2ZN0k+5giHViZxvF&#10;We+57SMoBjFVXm6WmtO30kY2vfKG91fUDotCtHG7ICLj98sITYSObtfnZVQs4fdh0CmlnNQJ1cqL&#10;1xORIFkQEq+VT71kML9wpJlcVs1UslLyGs2CTugj8zzcKMvosyXr+WQ9ud6Sq6Xk0OwYR/kzobBm&#10;jxs06tX7aIFZbs/f03/NV9UGcfTN/hZDPGGyk0kS191JLeYUIU6RtKY85Cb6OZLuTKrheMCilnZM&#10;J4MITA23fNzPH36JY3iuFIa2JiJcGXnPEqawS/plIhsIEnHVIr95ZjeIjvJI0jg0MN8b1xaVm4Cr&#10;PeQq6xbtd+SBoOWU/QhoNSv3cv+y59zMBRP1fHd5BcQ3Wno9EyBFu7ijXVC9UCSIIuHXXY13nC7m&#10;m0RW0aLjfq8N9QlroTp8PY2khVnDc7jhwEyc3k1M3I+f3BIrna2AFT3Ho6jP+2oJzRrGU8QEXxRg&#10;y5zydtLx8r4WQw0irhZPUPKDu6GLxJw6JFK/YnrgPdwoAflwOJ0kSDxCb6ZoTlOgc8+8Bc5L/Rfk&#10;ZN4GWV6yXmY1u6Smkv+dpXy68eTwQp8NxwNP398QZaXUXNOaFpukm6W+1A6st2/EcHJB0xrFqpQY&#10;jhiC0o787fHEty+pv1K2LTRVYj7uqJ3Slms+SJa6WzoZAoQO8cZbGYlrRfNyC0BustiTlUBDZYAk&#10;yPjkzE/gSLMaFH/O475ENf9ZzdMHZaGxrPMLpVtD5LVDC1ElKQkTzTbyu7Ok9mLWwdNmjLe/vUdv&#10;nHPtYtup5Yv9Rpx9lFT3IKecjMt4OsdjvCPZ7vfnY7wTTmxMUzCsa8NVkrwKjIOs6f+5oTFWTkpW&#10;Ius0Bs24OhjPOMfWNshBhilrHKP9USEY0B7j5Q/qUXTQZ+Lcn0On+ucjVfvGPD0oWWCvUatwD1/N&#10;dFuXyaKG7nIXuPgLT+uvlAlKdwAUCgVqDC2KzRgc8Mz8mO5rHpPdPvARXc8UrLJ3GpnydT2vRtJV&#10;Aq9OAEkDnr79iO2j8VuDvEjBMdR48xEFdQFYNOEqZR1khc0kdLRzFtdkKn5gZe4eLbUfv27ppY+Q&#10;oWZbcCdfEDzCrk6qXRTYxSmZMFS4FytvI8oNWgIlkrh+vtmEiS6OZo5Bw7lhIge4xdP2LJrCt8WO&#10;6j67gggpexCe0GF1fBOHBscPNS3QedQDo3RCzxAmrnpF07L+lVRbUInbWHErtt94Q9GEq70GnGgP&#10;3jN9hGIiKmi2AN5DoHxxcfj23xsCnq2/ykoLcMUrTZIuiGGiVK0aL4enRb2WrtvfTjBtbfcYlOJK&#10;fgsKaLu3bBq1D6qrpeeABlH1y6PpJHs7Eq/OuPPmY0DS2aJ35nwdPjXWrVF51UoNJ66u2djC1T4T&#10;WDytPG6t8fkLrpl5xIm57ZeuiwJf/Z3EyxLX2BIyDfApdkrB2TeV/TuccHdxfpyuVe/0G+pdsaTr&#10;n3Z0DzWpnmmDx9DxYJctvU2yuFKXWlo3kpKZ2c4flVx4OLxu+lfQe4S12WcLHq5psNpw2NlSGQY6&#10;Ohwfc0N0IPmG/DQlIQXoLoYvaI2rN0OKNsqmhjqgQgat9TCn6lVEn1Ff/JOVU1LE67XxVPXCFc3D&#10;eCkOOkMh53KuIC/MqyzRGJBL/JVF6aBLe9LAcCw7GEozaFsBkyyut9whCTT0eKPcEAcnKmOpCdmL&#10;98/IZm7k7KQs22SDowBQAZQuaqWG3GTcrsS1elFXScym2XIapuPze7Q//islniSlwLCANwwjVq79&#10;Kk+t+2lhifr9id4exzOlQ1bxUeAtWIPtgDI68iPUC0B9/3amh8wltqAW2V20uly07qjxvavxuj03&#10;x87XEal16qqTd3oW4dFeTzBRTgqhM+qb3e4PeUHrVSx2hZsQVz8GrM4Hl/gaerSh2EHsgUPjKged&#10;vZHKG3FA+WWBq0M21jlJryM2TZ5KwezENWh0YLKgMWT7mLh6nfSK+zMpgg9wjc10Lz4uYY5wAH3c&#10;VTYKlOYHpywnnXxcdFho2WKHPylgEiXCAxK0rAkHDaHJBQSW3iP8FFy5zmOmaR9PLukogNJDL2+r&#10;+tp20fWTezERhWmGzvlBDSmaNEtSmwtGkMJTYetGTnGth6USQpurSU/ahDITU2KjkbdIGu4B5FXp&#10;seMJxwAzmn8Tulgn5uwLTjzutmQuPLrn3etKkQxp/aKCYpBmrf3ppq+oxjtnYH3AFy12ugkyI/R8&#10;erJGApQTiKN9LocCjWxRVq82WGX8JrfJMUw05uMQLkpPPWfrJeBKHUEUHb1ED6aaUhFN0y77AckM&#10;lyjZLR2XObQHqQ6Kg3JHBABoKDTvZBR8LOXuCBiP/rPMLegqw9hU5n8gz3ixMQ8Xu1WIDuCtsCqR&#10;lLpA18x7A5L8dqFeDmF9mnxTaYzX8vIy+odzOIyyn9Rhdfw5qYjqw+PdyzEM4TALmTwUCJ7oq/3G&#10;PiNAW234ZpdbqyPUZkq3cZV3B5Zc8bP4C+2orXS4f5m9e/66+/YbbhR69tXeMF9SZYe3ZG9FkghC&#10;tBkH1XqxsrpNxeOzMUNoJdwfn5rcx1zC1EonPfwalDpqdT/BqltNStDzqLj2dBUAtLUBLp5zlZNt&#10;Kh4gN/vA6ZF1JkDP+GfPjvLpVL32kJOt1/o766AO+YaiF50ro8FlnO/3nB545JH/g6raaBVPbtJ1&#10;yd4yZ0yqWtcB0rCCvMhHG7lgbJrUdMmz7uKS1Va3U8LKm9bCKRdtzPyp9Eaz3GAK3Z1+Ne9duOq+&#10;9QocNR3OtrynR+2buxEWlUnIYZSHLLHz0zbmXqWV4CSBbWjUWMlRiiu45eKV4W+LZv4FjbKUBZN/&#10;Rd8lWl+kLEY5xLhZghLtjXcsrWhrZzfXxk6wNrbLnDYocE0tKrdz2RHNJUyeUSqQUHehpUteJZUV&#10;QytBHa0Q3k9XAmKFa5vdMFORASjYaVGA6xIbs/zHzzDeMJ53l3wJQAV7ZI7P1Mf/mkqS4qb/QnuP&#10;usdZIkz1epZupr1lBWnDYaoxnn7KeVwCtIL1Xtb4+JTa1DN4mRFYtE2i36HIlBTPPEcUblztdaXr&#10;7NkljLL4DDaa6nWth+XwBuVvkmA8Ncu3AdhSznP8T1e/As4os+LfFZKxoY83zIKvJxu+ogEr7vp3&#10;aR0VbZuwjtKoVo3TUfXcykzJsZOr6PJyLj269krgAauLdZ6luzAcnplNh2f5FIraBEWmpGhIoOsS&#10;V+cJ01z7zxhl4YZvdIfWIjAEJDFRaH0uZotE9BLXNCafqni5vSGPX7R3DNJsn7gsryWrNpTeoKod&#10;5dhsZIxmGqX+Yd19sFHmgt9b0NznCy+m2pgkC+ZUYp+2k5FJDliq/azrePz1Az5NNB2fQCXt/nqC&#10;nEm8ntLNsIMQhDQfjaseVqkr3THMvjNs6LZ869XA+o7ofo5j4ko1//DJZi9wHYlkduPwGkWRYP8G&#10;Bfnp88f8brC3p4prV3STuUbe8m+o3g8zDB5Y503QcY1qv9HI+gd9vG7kJbdK7EubY9jtFVeiJLeX&#10;4swRHVl+gIot+2ZsHA/pqVmLK/00RaUKbqWwSzFIKVOPyUQiapF/vMojjlRUZT+MK38BVPBpl7h6&#10;pUtQKJ3d+ZPbok85GyakoIgjBVV7HXBQWiqmaIDKYfkbqukrgeL05r+YrrPKuclqIv18hxHvWb1G&#10;dhSnWQ7neihh9qhSPWS8oB1CtUqGTXq+jJfh87NRU6jZsBHipmaMXvs7W+BJyjqRoqlaIQkyMBNa&#10;cwEdqNzhsc5dMetZE//Q7NGIGVfxrAixaQ7G3IHAHpfF/Y8eQrPfErS5jg8u6p9RLV/pkdwE4Vgh&#10;lN5pr3J1Kx/Pl2z+oo6atLndjQUypKmiG/fU/P2h1LJBDk5/OBTEG6rEyZpcM1eOGq2oxohK2hBX&#10;LCxJ5k8uuoK55ytJ17MEgjuUkg/knc/cMjXUAVP83actNzna/fSde36s1Y3aLidAVy/Yr1jF3SJt&#10;ZWpnyrP3ETDHg9viL1FWMTcxvs8N5faRxAZd1CrzoqwannyQymAEmPJa67bWCZ7KyMvFa0lzsjCJ&#10;AWxpsW69pef51Vaj7LCbEhCaoWIkeXDDHTY3NsDJ2I9niCm4LRyh+Da2EmuqO/wp+DrRj9l9DKIm&#10;eL+HnYVExdAv2O/tM21tpa4gqlFw+EfS0x9Pb3Jw1i5tzuI2X6rUdvg6jMDWK2wL1emXTDJhgOIw&#10;5TWY9P5lb0bJ1KTeqomP/2doV/sJirjtnsc8fVACqEAm/E+1p9a2pJaKs4zwExhD9RJr8+p2dyOg&#10;iw6PcMrkoC0E1jUUQdmLzWJ9tv1XKAS9xEntL/bjn8fTt/8BqJ3MvoPozgQAAAAASUVORK5CYIJQ&#10;SwECLQAUAAYACAAAACEAsYJntgoBAAATAgAAEwAAAAAAAAAAAAAAAAAAAAAAW0NvbnRlbnRfVHlw&#10;ZXNdLnhtbFBLAQItABQABgAIAAAAIQA4/SH/1gAAAJQBAAALAAAAAAAAAAAAAAAAADsBAABfcmVs&#10;cy8ucmVsc1BLAQItABQABgAIAAAAIQBnJSXEhAcAAHo5AAAOAAAAAAAAAAAAAAAAADoCAABkcnMv&#10;ZTJvRG9jLnhtbFBLAQItABQABgAIAAAAIQBXffHq1AAAAK0CAAAZAAAAAAAAAAAAAAAAAOoJAABk&#10;cnMvX3JlbHMvZTJvRG9jLnhtbC5yZWxzUEsBAi0AFAAGAAgAAAAhANPhLnngAAAACQEAAA8AAAAA&#10;AAAAAAAAAAAA9QoAAGRycy9kb3ducmV2LnhtbFBLAQItAAoAAAAAAAAAIQD/uThVmvIAAJryAAAU&#10;AAAAAAAAAAAAAAAAAAIMAABkcnMvbWVkaWEvaW1hZ2U0LnBuZ1BLAQItAAoAAAAAAAAAIQAJdKeE&#10;9dIAAPXSAAAUAAAAAAAAAAAAAAAAAM7+AABkcnMvbWVkaWEvaW1hZ2UyLnBuZ1BLAQItAAoAAAAA&#10;AAAAIQCDpx9IvvQAAL70AAAUAAAAAAAAAAAAAAAAAPXRAQBkcnMvbWVkaWEvaW1hZ2UxLnBuZ1BL&#10;AQItAAoAAAAAAAAAIQC88JgnNO8AADTvAAAUAAAAAAAAAAAAAAAAAOXGAgBkcnMvbWVkaWEvaW1h&#10;Z2UzLnBuZ1BLBQYAAAAACQAJAEICAABLtgMAAAA=&#10;">
                <v:shapetype id="_x0000_t32" coordsize="21600,21600" o:spt="32" o:oned="t" path="m,l21600,21600e" filled="f">
                  <v:path arrowok="t" fillok="f" o:connecttype="none"/>
                  <o:lock v:ext="edit" shapetype="t"/>
                </v:shapetype>
                <v:shape id="Straight Arrow Connector 72" o:spid="_x0000_s1028" type="#_x0000_t32" style="position:absolute;left:2381;top:1195;width:0;height:29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3Dn8QAAADbAAAADwAAAGRycy9kb3ducmV2LnhtbESP0WrCQBRE3wv+w3IFX4putEUluooV&#10;Qgv1xegHXLLXJJq9G3a3Mf59t1DwcZiZM8x625tGdOR8bVnBdJKAIC6srrlUcD5l4yUIH5A1NpZJ&#10;wYM8bDeDlzWm2t75SF0eShEh7FNUUIXQplL6oiKDfmJb4uhdrDMYonSl1A7vEW4aOUuSuTRYc1yo&#10;sKV9RcUt/zEK/EFe5ff7a/52enTZp8s+zuFwVGo07HcrEIH68Az/t7+0gsUM/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LcOfxAAAANsAAAAPAAAAAAAAAAAA&#10;AAAAAKECAABkcnMvZG93bnJldi54bWxQSwUGAAAAAAQABAD5AAAAkgMAAAAA&#10;" strokecolor="#3f4042 [3213]" strokeweight="2.25pt">
                  <v:stroke endarrow="block"/>
                </v:shape>
                <v:shape id="Straight Arrow Connector 73" o:spid="_x0000_s1029" type="#_x0000_t32" style="position:absolute;left:2457;top:30941;width:5198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zacIAAADbAAAADwAAAGRycy9kb3ducmV2LnhtbESPUWvCQBCE3wv+h2MLfRG9aKFK6imi&#10;CH0SjP6ANbcmaXN7Ibdq8u97guDjMDPfMItV52p1ozZUng1Mxgko4tzbigsDp+NuNAcVBNli7ZkM&#10;9BRgtRy8LTC1/s4HumVSqAjhkKKBUqRJtQ55SQ7D2DfE0bv41qFE2RbatniPcFfraZJ8aYcVx4US&#10;G9qUlP9lV2fguj2zDPtf2XPP2aZfDynf7o35eO/W36CEOnmFn+0fa2D2CY8v8Qfo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TzacIAAADbAAAADwAAAAAAAAAAAAAA&#10;AAChAgAAZHJzL2Rvd25yZXYueG1sUEsFBgAAAAAEAAQA+QAAAJADAAAAAA==&#10;" strokecolor="#3f4042 [3213]" strokeweight="3pt">
                  <v:stroke endarrow="block"/>
                </v:shape>
                <v:shapetype id="_x0000_t6" coordsize="21600,21600" o:spt="6" path="m,l,21600r21600,xe">
                  <v:stroke joinstyle="miter"/>
                  <v:path gradientshapeok="t" o:connecttype="custom" o:connectlocs="0,0;0,10800;0,21600;10800,21600;21600,21600;10800,10800" textboxrect="1800,12600,12600,19800"/>
                </v:shapetype>
                <v:shape id="Right Triangle 74" o:spid="_x0000_s1030" type="#_x0000_t6" style="position:absolute;left:2667;top:10953;width:47910;height:196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WosMA&#10;AADbAAAADwAAAGRycy9kb3ducmV2LnhtbESPQWvCQBSE70L/w/IK3symIlaiq7QFpdCLXQWvj+wz&#10;CWbfhuxqkv76riB4HGbmG2a16W0tbtT6yrGCtyQFQZw7U3Gh4HjYThYgfEA2WDsmBQN52KxfRivM&#10;jOv4l246FCJC2GeooAyhyaT0eUkWfeIa4uidXWsxRNkW0rTYRbit5TRN59JixXGhxIa+Ssov+moV&#10;OL3Txd+wzXX36exu2OPpZ45KjV/7jyWIQH14hh/tb6PgfQb3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5WosMAAADbAAAADwAAAAAAAAAAAAAAAACYAgAAZHJzL2Rv&#10;d25yZXYueG1sUEsFBgAAAAAEAAQA9QAAAIgDAAAAAA==&#10;" stroked="f" strokeweight="2pt">
                  <v:fill r:id="rId24" o:title="" recolor="t" rotate="t" type="frame"/>
                </v:shape>
                <v:shape id="Right Triangle 75" o:spid="_x0000_s1031" type="#_x0000_t6" style="position:absolute;left:2667;top:15621;width:47910;height:1504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8ucIA&#10;AADbAAAADwAAAGRycy9kb3ducmV2LnhtbESPQYvCMBSE78L+h/AWvGmqoC7VKLKsqIdVVsXzo3m2&#10;xealNFGbf28WBI/DzHzDzBatqcSdGldaVjDoJyCIM6tLzhWcjqveFwjnkTVWlklBIAeL+Udnhqm2&#10;D/6j+8HnIkLYpaig8L5OpXRZQQZd39bE0bvYxqCPssmlbvAR4aaSwyQZS4Mlx4UCa/ouKLsebkbB&#10;z4bPx7D7HYxwLLf7bR7WbQhKdT/b5RSEp9a/w6/2RiuYjOD/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vy5wgAAANsAAAAPAAAAAAAAAAAAAAAAAJgCAABkcnMvZG93&#10;bnJldi54bWxQSwUGAAAAAAQABAD1AAAAhwMAAAAA&#10;" stroked="f" strokeweight="2pt">
                  <v:fill r:id="rId25" o:title="" recolor="t" rotate="t" type="frame"/>
                </v:shape>
                <v:shape id="Right Triangle 76" o:spid="_x0000_s1032" type="#_x0000_t6" style="position:absolute;left:2762;top:19812;width:47911;height:1076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Y1MMA&#10;AADbAAAADwAAAGRycy9kb3ducmV2LnhtbESPzWrDMBCE74W8g9hCbo3cHBzjRgn5oZBTaN0+wGJt&#10;bWNpZSzFdv30USHQ4zA73+xs95M1YqDeN44VvK4SEMSl0w1XCr6/3l8yED4gazSOScEvedjvFk9b&#10;zLUb+ZOGIlQiQtjnqKAOocul9GVNFv3KdcTR+3G9xRBlX0nd4xjh1sh1kqTSYsOxocaOTjWVbXGz&#10;8Y32emzPxowf68PtmM04T244K7V8ng5vIAJN4f/4kb5oBZsU/rZEA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VY1MMAAADbAAAADwAAAAAAAAAAAAAAAACYAgAAZHJzL2Rv&#10;d25yZXYueG1sUEsFBgAAAAAEAAQA9QAAAIgDAAAAAA==&#10;" stroked="f" strokeweight="2pt">
                  <v:fill r:id="rId26" o:title="" recolor="t" rotate="t" type="frame"/>
                </v:shape>
                <v:shape id="Text Box 77" o:spid="_x0000_s1033" type="#_x0000_t202" style="position:absolute;left:2095;top:18059;width:13980;height:62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d58UA&#10;AADbAAAADwAAAGRycy9kb3ducmV2LnhtbESPQWsCMRSE74L/ITzBi9RsPWhZjdIWKiKtUi3i8bF5&#10;3SxuXpYk6vrvm4LgcZiZb5jZorW1uJAPlWMFz8MMBHHhdMWlgp/9x9MLiBCRNdaOScGNAizm3c4M&#10;c+2u/E2XXSxFgnDIUYGJscmlDIUhi2HoGuLk/TpvMSbpS6k9XhPc1nKUZWNpseK0YLChd0PFaXe2&#10;Ck5mPdhmy6+3w3h185v92R3951Gpfq99nYKI1MZH+N5eaQWTCf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J3nxQAAANsAAAAPAAAAAAAAAAAAAAAAAJgCAABkcnMv&#10;ZG93bnJldi54bWxQSwUGAAAAAAQABAD1AAAAigMAAAAA&#10;" filled="f" stroked="f" strokeweight=".5pt">
                  <v:textbox>
                    <w:txbxContent>
                      <w:p w14:paraId="39CE3647" w14:textId="77777777" w:rsidR="007C0AF1" w:rsidRPr="00E10674" w:rsidRDefault="007C0AF1" w:rsidP="00B60C27">
                        <w:pPr>
                          <w:spacing w:before="120" w:after="0"/>
                          <w:rPr>
                            <w:rFonts w:ascii="Segoe Script" w:hAnsi="Segoe Script"/>
                          </w:rPr>
                        </w:pPr>
                        <w:r w:rsidRPr="00E10674">
                          <w:rPr>
                            <w:rFonts w:ascii="Segoe Script" w:hAnsi="Segoe Script"/>
                          </w:rPr>
                          <w:t>Existing services</w:t>
                        </w:r>
                      </w:p>
                    </w:txbxContent>
                  </v:textbox>
                </v:shape>
                <v:shape id="Text Box 80" o:spid="_x0000_s1034" type="#_x0000_t202" style="position:absolute;left:21770;top:3645;width:15543;height:120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1tMMA&#10;AADbAAAADwAAAGRycy9kb3ducmV2LnhtbERPy2oCMRTdC/2HcAvdSM20C5GpUWyhRUpVfCAuL5Pr&#10;ZJjJzZBkdPz7ZiG4PJz3dN7bRlzIh8qxgrdRBoK4cLriUsFh//06AREissbGMSm4UYD57GkwxVy7&#10;K2/psoulSCEcclRgYmxzKUNhyGIYuZY4cWfnLcYEfSm1x2sKt418z7KxtFhxajDY0pehot51VkFt&#10;foeb7Gf1eRwvb36979zJ/52UennuFx8gIvXxIb67l1rBJK1P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1tMMAAADbAAAADwAAAAAAAAAAAAAAAACYAgAAZHJzL2Rv&#10;d25yZXYueG1sUEsFBgAAAAAEAAQA9QAAAIgDAAAAAA==&#10;" filled="f" stroked="f" strokeweight=".5pt">
                  <v:textbox>
                    <w:txbxContent>
                      <w:p w14:paraId="3705218D" w14:textId="77777777" w:rsidR="007C0AF1" w:rsidRDefault="007C0AF1" w:rsidP="00B60C27">
                        <w:pPr>
                          <w:spacing w:before="120" w:after="0"/>
                          <w:jc w:val="center"/>
                          <w:rPr>
                            <w:rFonts w:ascii="Segoe Script" w:hAnsi="Segoe Script"/>
                          </w:rPr>
                        </w:pPr>
                        <w:r>
                          <w:rPr>
                            <w:rFonts w:ascii="Segoe Script" w:hAnsi="Segoe Script"/>
                          </w:rPr>
                          <w:t>Increased cost</w:t>
                        </w:r>
                      </w:p>
                      <w:p w14:paraId="5AE4FD4E" w14:textId="77777777" w:rsidR="007C0AF1" w:rsidRDefault="007C0AF1" w:rsidP="00B60C27">
                        <w:pPr>
                          <w:spacing w:before="40" w:after="0"/>
                          <w:jc w:val="center"/>
                          <w:rPr>
                            <w:rFonts w:ascii="Segoe Script" w:hAnsi="Segoe Script"/>
                          </w:rPr>
                        </w:pPr>
                        <w:r>
                          <w:rPr>
                            <w:rFonts w:ascii="Segoe Script" w:hAnsi="Segoe Script"/>
                          </w:rPr>
                          <w:t>to replace new</w:t>
                        </w:r>
                      </w:p>
                      <w:p w14:paraId="1DD6866F" w14:textId="77777777" w:rsidR="007C0AF1" w:rsidRPr="00E10674" w:rsidRDefault="007C0AF1" w:rsidP="00B60C27">
                        <w:pPr>
                          <w:spacing w:before="120" w:after="0"/>
                          <w:jc w:val="center"/>
                          <w:rPr>
                            <w:rFonts w:ascii="Segoe Script" w:hAnsi="Segoe Script"/>
                          </w:rPr>
                        </w:pPr>
                        <w:r>
                          <w:rPr>
                            <w:rFonts w:ascii="Segoe Script" w:hAnsi="Segoe Script"/>
                          </w:rPr>
                          <w:t>and existing assets</w:t>
                        </w:r>
                      </w:p>
                    </w:txbxContent>
                  </v:textbox>
                </v:shape>
                <v:shape id="Text Box 81" o:spid="_x0000_s1035" type="#_x0000_t202" style="position:absolute;left:6080;top:6872;width:13873;height:103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QL8QA&#10;AADbAAAADwAAAGRycy9kb3ducmV2LnhtbESPQWsCMRSE7wX/Q3hCL6JZexBZjaJCi5TWUhXx+Ng8&#10;N4ublyWJuv77RhB6HGbmG2Y6b20truRD5VjBcJCBIC6crrhUsN+998cgQkTWWDsmBXcKMJ91XqaY&#10;a3fjX7puYykShEOOCkyMTS5lKAxZDAPXECfv5LzFmKQvpfZ4S3Bby7c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0C/EAAAA2wAAAA8AAAAAAAAAAAAAAAAAmAIAAGRycy9k&#10;b3ducmV2LnhtbFBLBQYAAAAABAAEAPUAAACJAwAAAAA=&#10;" filled="f" stroked="f" strokeweight=".5pt">
                  <v:textbox>
                    <w:txbxContent>
                      <w:p w14:paraId="49F015C8" w14:textId="77777777" w:rsidR="007C0AF1" w:rsidRDefault="007C0AF1" w:rsidP="00B60C27">
                        <w:pPr>
                          <w:spacing w:before="40" w:after="0"/>
                          <w:jc w:val="center"/>
                          <w:rPr>
                            <w:rFonts w:ascii="Segoe Script" w:hAnsi="Segoe Script"/>
                          </w:rPr>
                        </w:pPr>
                        <w:r>
                          <w:rPr>
                            <w:rFonts w:ascii="Segoe Script" w:hAnsi="Segoe Script"/>
                          </w:rPr>
                          <w:t>Increased levels</w:t>
                        </w:r>
                      </w:p>
                      <w:p w14:paraId="1A80821C" w14:textId="77777777" w:rsidR="007C0AF1" w:rsidRDefault="007C0AF1" w:rsidP="00B60C27">
                        <w:pPr>
                          <w:spacing w:before="40" w:after="0"/>
                          <w:jc w:val="center"/>
                          <w:rPr>
                            <w:rFonts w:ascii="Segoe Script" w:hAnsi="Segoe Script"/>
                          </w:rPr>
                        </w:pPr>
                        <w:r>
                          <w:rPr>
                            <w:rFonts w:ascii="Segoe Script" w:hAnsi="Segoe Script"/>
                          </w:rPr>
                          <w:t>of service</w:t>
                        </w:r>
                      </w:p>
                      <w:p w14:paraId="4F0C2797" w14:textId="77777777" w:rsidR="007C0AF1" w:rsidRDefault="007C0AF1" w:rsidP="00B60C27">
                        <w:pPr>
                          <w:spacing w:before="40" w:after="0"/>
                          <w:jc w:val="center"/>
                          <w:rPr>
                            <w:rFonts w:ascii="Segoe Script" w:hAnsi="Segoe Script"/>
                          </w:rPr>
                        </w:pPr>
                        <w:r>
                          <w:rPr>
                            <w:rFonts w:ascii="Segoe Script" w:hAnsi="Segoe Script"/>
                          </w:rPr>
                          <w:t>and compliance</w:t>
                        </w:r>
                      </w:p>
                      <w:p w14:paraId="2057A745" w14:textId="77777777" w:rsidR="007C0AF1" w:rsidRPr="00E10674" w:rsidRDefault="007C0AF1" w:rsidP="00B60C27">
                        <w:pPr>
                          <w:spacing w:before="40" w:after="0"/>
                          <w:jc w:val="center"/>
                          <w:rPr>
                            <w:rFonts w:ascii="Segoe Script" w:hAnsi="Segoe Script"/>
                          </w:rPr>
                        </w:pPr>
                        <w:r>
                          <w:rPr>
                            <w:rFonts w:ascii="Segoe Script" w:hAnsi="Segoe Script"/>
                          </w:rPr>
                          <w:t>costs</w:t>
                        </w:r>
                      </w:p>
                    </w:txbxContent>
                  </v:textbox>
                </v:shape>
                <v:shape id="Text Box 82" o:spid="_x0000_s1036" type="#_x0000_t202" style="position:absolute;left:37724;top:5635;width:13528;height:67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OWMQA&#10;AADbAAAADwAAAGRycy9kb3ducmV2LnhtbESPQWsCMRSE7wX/Q3hCL6LZehBZjaJCi5TWUhXx+Ng8&#10;N4ublyWJuv77RhB6HGbmG2Y6b20truRD5VjB2yADQVw4XXGpYL97749BhIissXZMCu4UYD7rvEwx&#10;1+7Gv3TdxlIkCIccFZgYm1zKUBiyGAauIU7eyXmLMUlfSu3xluC2lsMsG0mLFacFgw2tDBXn7cUq&#10;OJvP3k/28b08jNZ3v9ld3NF/HZV67baLCYhIbfwPP9trrWA8hMe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TljEAAAA2wAAAA8AAAAAAAAAAAAAAAAAmAIAAGRycy9k&#10;b3ducmV2LnhtbFBLBQYAAAAABAAEAPUAAACJAwAAAAA=&#10;" filled="f" stroked="f" strokeweight=".5pt">
                  <v:textbox>
                    <w:txbxContent>
                      <w:p w14:paraId="5DB8CC9E" w14:textId="77777777" w:rsidR="007C0AF1" w:rsidRPr="00E10674" w:rsidRDefault="007C0AF1" w:rsidP="00B60C27">
                        <w:pPr>
                          <w:spacing w:before="120" w:after="0"/>
                          <w:rPr>
                            <w:rFonts w:ascii="Segoe Script" w:hAnsi="Segoe Script"/>
                          </w:rPr>
                        </w:pPr>
                        <w:r>
                          <w:rPr>
                            <w:rFonts w:ascii="Segoe Script" w:hAnsi="Segoe Script"/>
                          </w:rPr>
                          <w:t>Inflation (LGCI)</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6" o:spid="_x0000_s1037" type="#_x0000_t38" style="position:absolute;left:15770;top:16314;width:7385;height:1066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TG8IAAADcAAAADwAAAGRycy9kb3ducmV2LnhtbERP22oCMRB9L/gPYQTfauIFka1RRLzV&#10;B1HbD5huppulm8myibr9+6Yg+DaHc53ZonWVuFETSs8aBn0Fgjj3puRCw+fH5nUKIkRkg5Vn0vBL&#10;ARbzzssMM+PvfKbbJRYihXDIUIONsc6kDLklh6Hva+LEffvGYUywKaRp8J7CXSWHSk2kw5JTg8Wa&#10;Vpbyn8vVaZhsj7ujW47WX2dUp2pv3w/jWGvd67bLNxCR2vgUP9x7k+arIfw/ky6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pTG8IAAADcAAAADwAAAAAAAAAAAAAA&#10;AAChAgAAZHJzL2Rvd25yZXYueG1sUEsFBgAAAAAEAAQA+QAAAJADAAAAAA==&#10;" adj="10800" strokecolor="#3f4042 [3213]" strokeweight="2.25pt">
                  <v:stroke endarrow="block"/>
                </v:shape>
                <v:shape id="Connector: Curved 17" o:spid="_x0000_s1038" type="#_x0000_t38" style="position:absolute;left:29527;top:12379;width:1524;height:1047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9u9MIAAADcAAAADwAAAGRycy9kb3ducmV2LnhtbERP22oCMRB9F/oPYQp906RWpKxGkeKt&#10;Pki9fMC4mW6WbibLJur696Yg+DaHc53xtHWVuFATSs8a3nsKBHHuTcmFhuNh0f0EESKywcozabhR&#10;gOnkpTPGzPgr7+iyj4VIIRwy1GBjrDMpQ27JYej5mjhxv75xGBNsCmkavKZwV8m+UkPpsOTUYLGm&#10;L0v53/7sNAyX29XWzT7mpx2qn2ptvzeDWGv99trORiAitfEpfrjXJs1XA/h/Jl0gJ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9u9MIAAADcAAAADwAAAAAAAAAAAAAA&#10;AAChAgAAZHJzL2Rvd25yZXYueG1sUEsFBgAAAAAEAAQA+QAAAJADAAAAAA==&#10;" adj="10800" strokecolor="#3f4042 [3213]" strokeweight="2.25pt">
                  <v:stroke endarrow="block"/>
                </v:shape>
                <v:shape id="Connector: Curved 18" o:spid="_x0000_s1039" type="#_x0000_t38" style="position:absolute;left:39572;top:12148;width:7152;height:1143;rotation:90;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spfcUAAADcAAAADwAAAGRycy9kb3ducmV2LnhtbESPQWvCQBCF70L/wzJCL6VuzCGU1FW0&#10;WEgPFqr+gCE7bqLZ2ZDdavrvOwfB2wzvzXvfLFaj79SVhtgGNjCfZaCI62BbdgaOh8/XN1AxIVvs&#10;ApOBP4qwWj5NFljacOMfuu6TUxLCsUQDTUp9qXWsG/IYZ6EnFu0UBo9J1sFpO+BNwn2n8ywrtMeW&#10;paHBnj4aqi/7X28g3x5Gqnb05c4bG6q8eHHF9tuY5+m4fgeVaEwP8/26soI/F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spfcUAAADcAAAADwAAAAAAAAAA&#10;AAAAAAChAgAAZHJzL2Rvd25yZXYueG1sUEsFBgAAAAAEAAQA+QAAAJMDAAAAAA==&#10;" adj="10800" strokecolor="#3f4042 [3213]" strokeweight="2.25pt">
                  <v:stroke endarrow="block"/>
                </v:shape>
                <v:shape id="Text Box 134" o:spid="_x0000_s1040" type="#_x0000_t202" style="position:absolute;left:13335;width:3295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14:paraId="158EBF57" w14:textId="77777777" w:rsidR="007C0AF1" w:rsidRPr="006C7B8F" w:rsidRDefault="007C0AF1" w:rsidP="00B60C27">
                        <w:pPr>
                          <w:spacing w:after="0"/>
                          <w:rPr>
                            <w:rFonts w:cstheme="minorHAnsi"/>
                            <w:b/>
                            <w:sz w:val="32"/>
                          </w:rPr>
                        </w:pPr>
                        <w:r w:rsidRPr="006C7B8F">
                          <w:rPr>
                            <w:rFonts w:cstheme="minorHAnsi"/>
                            <w:b/>
                            <w:sz w:val="32"/>
                          </w:rPr>
                          <w:t>What is driving rates increases?</w:t>
                        </w:r>
                      </w:p>
                    </w:txbxContent>
                  </v:textbox>
                </v:shape>
                <v:shape id="Text Box 135" o:spid="_x0000_s1041" type="#_x0000_t202" style="position:absolute;left:-1613;top:1628;width:3803;height:4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14:paraId="204F1C56" w14:textId="77777777" w:rsidR="007C0AF1" w:rsidRDefault="007C0AF1" w:rsidP="00B60C27">
                        <w:pPr>
                          <w:spacing w:after="0"/>
                        </w:pPr>
                        <w:r>
                          <w:t>$</w:t>
                        </w:r>
                      </w:p>
                    </w:txbxContent>
                  </v:textbox>
                </v:shape>
                <v:shape id="Text Box 136" o:spid="_x0000_s1042" type="#_x0000_t202" style="position:absolute;left:45295;top:30941;width:4762;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JusMA&#10;AADcAAAADwAAAGRycy9kb3ducmV2LnhtbERPS2sCMRC+F/wPYQQvpWZriy2rUUQQ9rAXHwi9DZtx&#10;s7iZrEm6rv++KRR6m4/vOcv1YFvRkw+NYwWv0wwEceV0w7WC03H38gkiRGSNrWNS8KAA69XoaYm5&#10;dnfeU3+ItUghHHJUYGLscilDZchimLqOOHEX5y3GBH0ttcd7CretnGXZXFpsODUY7GhrqLoevq2C&#10;/ly8631von/elkVWXMvbx1ep1GQ8bBYgIg3xX/znLnSa/zaH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nJusMAAADcAAAADwAAAAAAAAAAAAAAAACYAgAAZHJzL2Rv&#10;d25yZXYueG1sUEsFBgAAAAAEAAQA9QAAAIgDAAAAAA==&#10;" filled="f" stroked="f" strokeweight=".5pt">
                  <v:textbox>
                    <w:txbxContent>
                      <w:p w14:paraId="15FEDDC5" w14:textId="77777777" w:rsidR="007C0AF1" w:rsidRDefault="007C0AF1" w:rsidP="00B60C27">
                        <w:pPr>
                          <w:spacing w:after="0"/>
                        </w:pPr>
                        <w:r>
                          <w:t>Time</w:t>
                        </w:r>
                      </w:p>
                    </w:txbxContent>
                  </v:textbox>
                </v:shape>
                <v:shape id="Right Triangle 137" o:spid="_x0000_s1043" type="#_x0000_t6" style="position:absolute;left:3238;top:24669;width:47435;height:600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4Z8MA&#10;AADcAAAADwAAAGRycy9kb3ducmV2LnhtbERP22rCQBB9F/yHZYS+1U0UaoluggiWthSk8fI8ZMck&#10;mJ1Ns2tM/74rFHybw7nOKhtMI3rqXG1ZQTyNQBAXVtdcKjjst8+vIJxH1thYJgW/5CBLx6MVJtre&#10;+Jv63JcihLBLUEHlfZtI6YqKDLqpbYkDd7adQR9gV0rd4S2Em0bOouhFGqw5NFTY0qai4pJfjYL5&#10;5uNYf/r1W1zGzc9pt99d869eqafJsF6C8DT4h/jf/a7D/PkC7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4Z8MAAADcAAAADwAAAAAAAAAAAAAAAACYAgAAZHJzL2Rv&#10;d25yZXYueG1sUEsFBgAAAAAEAAQA9QAAAIgDAAAAAA==&#10;" stroked="f" strokeweight="2pt">
                  <v:fill r:id="rId27" o:title="" recolor="t" rotate="t" type="frame"/>
                </v:shape>
                <v:shape id="Connector: Curved 15" o:spid="_x0000_s1044" type="#_x0000_t38" style="position:absolute;left:7637;top:22623;width:8673;height:6223;rotation:9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O9cMAAADcAAAADwAAAGRycy9kb3ducmV2LnhtbESPQU/DMAyF70j7D5GRuLEUJmDqlk0D&#10;aQgJDjDg7jWmrUic0pgt/Ht8QOJm6z2/93m5LjGYA425T+zgYlqBIW6S77l18Pa6PZ+DyYLsMSQm&#10;Bz+UYb2anCyx9unIL3TYSWs0hHONDjqRobY2Nx1FzNM0EKv2kcaIouvYWj/iUcNjsJdVdW0j9qwN&#10;HQ5011HzufuODr6snRe6fwz7m3L77PlJwtW7OHd2WjYLMEJF/s1/1w9e8WdKq8/oBHb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bTvXDAAAA3AAAAA8AAAAAAAAAAAAA&#10;AAAAoQIAAGRycy9kb3ducmV2LnhtbFBLBQYAAAAABAAEAPkAAACRAwAAAAA=&#10;" adj="10800" strokecolor="#3f4042 [3213]" strokeweight="2.25pt">
                  <v:stroke endarrow="block"/>
                </v:shape>
                <w10:wrap type="topAndBottom"/>
              </v:group>
            </w:pict>
          </mc:Fallback>
        </mc:AlternateContent>
      </w:r>
      <w:r>
        <w:t xml:space="preserve">Figure </w:t>
      </w:r>
      <w:r>
        <w:fldChar w:fldCharType="begin"/>
      </w:r>
      <w:r>
        <w:instrText xml:space="preserve"> SEQ Figure \* ARABIC </w:instrText>
      </w:r>
      <w:r>
        <w:fldChar w:fldCharType="separate"/>
      </w:r>
      <w:r w:rsidR="00A00D18">
        <w:rPr>
          <w:noProof/>
        </w:rPr>
        <w:t>1</w:t>
      </w:r>
      <w:r>
        <w:fldChar w:fldCharType="end"/>
      </w:r>
      <w:r>
        <w:tab/>
      </w:r>
      <w:r w:rsidRPr="005916AA">
        <w:t>The</w:t>
      </w:r>
      <w:r>
        <w:t xml:space="preserve"> effect of cost pressures on rates.</w:t>
      </w:r>
      <w:bookmarkEnd w:id="3"/>
    </w:p>
    <w:p w14:paraId="113099E0" w14:textId="77777777" w:rsidR="001F363E" w:rsidRDefault="001F363E" w:rsidP="009D38AF">
      <w:pPr>
        <w:ind w:left="720"/>
      </w:pPr>
    </w:p>
    <w:p w14:paraId="747687A7" w14:textId="26947F6F" w:rsidR="001F363E" w:rsidRDefault="001F363E" w:rsidP="00B60C27">
      <w:pPr>
        <w:pStyle w:val="ListParagraph"/>
        <w:spacing w:before="120"/>
      </w:pPr>
      <w:r>
        <w:t xml:space="preserve">There is evidence that </w:t>
      </w:r>
      <w:r w:rsidRPr="00CA50F5">
        <w:t>costs</w:t>
      </w:r>
      <w:r>
        <w:t xml:space="preserve"> are increasing</w:t>
      </w:r>
      <w:r w:rsidRPr="00CA50F5">
        <w:t xml:space="preserve"> for the delivery of some core services</w:t>
      </w:r>
      <w:r>
        <w:t xml:space="preserve">. The delivery of water and wastewater services for the selected councils is forecast to become more expensive in real terms between </w:t>
      </w:r>
      <w:r w:rsidRPr="00D6537B">
        <w:t>2015</w:t>
      </w:r>
      <w:r>
        <w:t xml:space="preserve"> and 2025.</w:t>
      </w:r>
      <w:r w:rsidRPr="009F70A5">
        <w:t xml:space="preserve"> </w:t>
      </w:r>
      <w:r>
        <w:t>It is likely that actual cos</w:t>
      </w:r>
      <w:r w:rsidR="00B719B6">
        <w:t>ts will be higher than this.</w:t>
      </w:r>
    </w:p>
    <w:p w14:paraId="023F134C" w14:textId="4A34492A" w:rsidR="001F363E" w:rsidRPr="0095104C" w:rsidRDefault="001F363E" w:rsidP="004A372C">
      <w:pPr>
        <w:pStyle w:val="Bulletpoint"/>
      </w:pPr>
      <w:r w:rsidRPr="0095104C">
        <w:t>A larger portion of rates funding is being a</w:t>
      </w:r>
      <w:r>
        <w:t xml:space="preserve">pplied </w:t>
      </w:r>
      <w:r w:rsidRPr="0095104C">
        <w:t>to the roads</w:t>
      </w:r>
      <w:r w:rsidR="004A372C">
        <w:t xml:space="preserve"> and the three waters</w:t>
      </w:r>
      <w:r w:rsidRPr="0095104C">
        <w:t xml:space="preserve"> over the life of</w:t>
      </w:r>
      <w:r w:rsidR="00465FBD" w:rsidRPr="0095104C">
        <w:t xml:space="preserve"> </w:t>
      </w:r>
      <w:r w:rsidR="00465FBD">
        <w:t>Long Term Plans</w:t>
      </w:r>
      <w:r>
        <w:t xml:space="preserve">. </w:t>
      </w:r>
      <w:r w:rsidR="004A372C">
        <w:t>In urban councils these activities are increasing their share of funding over time.</w:t>
      </w:r>
    </w:p>
    <w:p w14:paraId="48D40760" w14:textId="2DCB9005" w:rsidR="001F363E" w:rsidRPr="0095104C" w:rsidRDefault="001F363E" w:rsidP="00B719B6">
      <w:pPr>
        <w:pStyle w:val="Bulletpoint"/>
      </w:pPr>
      <w:r w:rsidRPr="0095104C">
        <w:t>Operating and capital e</w:t>
      </w:r>
      <w:r w:rsidR="00B719B6">
        <w:t>xpenditure of “</w:t>
      </w:r>
      <w:r w:rsidRPr="0095104C">
        <w:t>other</w:t>
      </w:r>
      <w:r w:rsidR="00B719B6">
        <w:t>”</w:t>
      </w:r>
      <w:r w:rsidRPr="0095104C">
        <w:t xml:space="preserve"> council activities</w:t>
      </w:r>
      <w:r>
        <w:t>, which includes community facilities and services,</w:t>
      </w:r>
      <w:r w:rsidRPr="0095104C">
        <w:t xml:space="preserve"> is forecast to decrease per capita in real terms</w:t>
      </w:r>
      <w:r w:rsidR="009D38AF">
        <w:t xml:space="preserve"> over the </w:t>
      </w:r>
      <w:r w:rsidR="001C7477">
        <w:t>ten</w:t>
      </w:r>
      <w:r w:rsidR="009D38AF">
        <w:t xml:space="preserve"> </w:t>
      </w:r>
      <w:r>
        <w:t xml:space="preserve">year term of the LTP. In a </w:t>
      </w:r>
      <w:r w:rsidRPr="0095104C">
        <w:t>number of councils,</w:t>
      </w:r>
      <w:r>
        <w:t xml:space="preserve"> </w:t>
      </w:r>
      <w:r w:rsidRPr="0095104C">
        <w:t>investment in community facilities and services has slowed leading to a decrease in levels of service</w:t>
      </w:r>
      <w:r>
        <w:t>. However, again observation of the gap between forecast expenditure and actual expenditure means in real terms it is unlikely to decrease.</w:t>
      </w:r>
    </w:p>
    <w:p w14:paraId="092BD3A2" w14:textId="7560D7E5" w:rsidR="001F363E" w:rsidRPr="0095104C" w:rsidRDefault="001F363E" w:rsidP="00B719B6">
      <w:pPr>
        <w:pStyle w:val="Bulletpoint"/>
      </w:pPr>
      <w:r w:rsidRPr="0095104C">
        <w:t>There are a number of issues in draft 2018 LTPs and on the horizon that are likely to further increase costs of supplying water</w:t>
      </w:r>
      <w:r>
        <w:t>, stormwater and wastewater services</w:t>
      </w:r>
      <w:r w:rsidRPr="0095104C">
        <w:t xml:space="preserve"> </w:t>
      </w:r>
      <w:r>
        <w:t>particularly for rural councils which will put further upwards pressure on rates in small communities.</w:t>
      </w:r>
    </w:p>
    <w:p w14:paraId="7162AB97" w14:textId="77777777" w:rsidR="001F363E" w:rsidRDefault="001F363E" w:rsidP="009D38AF">
      <w:pPr>
        <w:pStyle w:val="Bulletpoint"/>
      </w:pPr>
      <w:r>
        <w:t>Climate change and increasing freshwater standards are putting additional pressures on stormwater and wastewater assets and are likely to result in further cost increases.</w:t>
      </w:r>
    </w:p>
    <w:p w14:paraId="35D826D6" w14:textId="7D858723" w:rsidR="00D3286D" w:rsidRPr="005916AA" w:rsidRDefault="00D3286D" w:rsidP="004A372C">
      <w:pPr>
        <w:pStyle w:val="ListParagraph"/>
      </w:pPr>
      <w:r>
        <w:t>Th</w:t>
      </w:r>
      <w:r w:rsidR="009D38AF">
        <w:t>e inflationary measure used by c</w:t>
      </w:r>
      <w:r>
        <w:t>ouncils as the basis on which to project future cost increases is the LGCI. Importantly</w:t>
      </w:r>
      <w:r w:rsidR="00724987">
        <w:t>,</w:t>
      </w:r>
      <w:r>
        <w:t xml:space="preserve"> for the purposes of considering rates and rates affordability</w:t>
      </w:r>
      <w:r w:rsidR="00724987">
        <w:t>,</w:t>
      </w:r>
      <w:r>
        <w:t xml:space="preserve"> LGCI has historically </w:t>
      </w:r>
      <w:r w:rsidR="004A372C">
        <w:t>been</w:t>
      </w:r>
      <w:r w:rsidR="00724987">
        <w:t>,</w:t>
      </w:r>
      <w:r w:rsidR="004A372C">
        <w:t xml:space="preserve"> </w:t>
      </w:r>
      <w:r>
        <w:t>and is project</w:t>
      </w:r>
      <w:r w:rsidR="004A372C">
        <w:t>ed</w:t>
      </w:r>
      <w:r>
        <w:t xml:space="preserve"> to be</w:t>
      </w:r>
      <w:r w:rsidR="00724987">
        <w:t>,</w:t>
      </w:r>
      <w:r>
        <w:t xml:space="preserve"> consistently greater than CPI. That means</w:t>
      </w:r>
      <w:r w:rsidR="00724987">
        <w:t>,</w:t>
      </w:r>
      <w:r>
        <w:t xml:space="preserve"> regardless of whether a </w:t>
      </w:r>
      <w:r w:rsidR="009D38AF">
        <w:t>c</w:t>
      </w:r>
      <w:r>
        <w:t>ouncil increases its services or service levels</w:t>
      </w:r>
      <w:r w:rsidR="00724987">
        <w:t>,</w:t>
      </w:r>
      <w:r>
        <w:t xml:space="preserve"> ratepayer can expect the cost of their council (and as a result their rates) to increase more than other </w:t>
      </w:r>
      <w:r w:rsidR="00724987">
        <w:t>costs that they are exposed to.</w:t>
      </w:r>
    </w:p>
    <w:p w14:paraId="310166DA" w14:textId="069E4906" w:rsidR="001F363E" w:rsidRDefault="00C74548" w:rsidP="00724987">
      <w:pPr>
        <w:pStyle w:val="ListParagraph"/>
      </w:pPr>
      <w:r>
        <w:t>Long</w:t>
      </w:r>
      <w:r w:rsidR="00465FBD">
        <w:t xml:space="preserve"> Term Plan</w:t>
      </w:r>
      <w:r>
        <w:t>s</w:t>
      </w:r>
      <w:r w:rsidR="001F363E" w:rsidRPr="0095104C">
        <w:t xml:space="preserve"> have not been successful (on the whole) at reflecting actual operating costs for local government as </w:t>
      </w:r>
      <w:r w:rsidR="001F363E">
        <w:t>both revenue and cost</w:t>
      </w:r>
      <w:r w:rsidR="001F363E" w:rsidRPr="0095104C">
        <w:t xml:space="preserve"> forecast</w:t>
      </w:r>
      <w:r w:rsidR="001F363E">
        <w:t>s</w:t>
      </w:r>
      <w:r w:rsidR="001F363E" w:rsidRPr="0095104C">
        <w:t xml:space="preserve"> in </w:t>
      </w:r>
      <w:r w:rsidR="00465FBD">
        <w:t>Long Term Plan</w:t>
      </w:r>
      <w:r>
        <w:t>s</w:t>
      </w:r>
      <w:r w:rsidR="001F363E" w:rsidRPr="0095104C">
        <w:t xml:space="preserve"> do not appear to come to fruition in actual published results</w:t>
      </w:r>
      <w:r w:rsidR="001F363E">
        <w:t xml:space="preserve"> beyond the first year or two</w:t>
      </w:r>
      <w:r w:rsidR="001F363E" w:rsidRPr="0095104C">
        <w:t>.</w:t>
      </w:r>
    </w:p>
    <w:p w14:paraId="1DD3973C" w14:textId="77777777" w:rsidR="001F363E" w:rsidRPr="0095104C" w:rsidRDefault="001F363E" w:rsidP="009D38AF">
      <w:pPr>
        <w:pStyle w:val="Bulletpoint"/>
      </w:pPr>
      <w:r w:rsidRPr="00CA50F5">
        <w:t>While</w:t>
      </w:r>
      <w:r>
        <w:t xml:space="preserve"> </w:t>
      </w:r>
      <w:r w:rsidRPr="0095104C">
        <w:t>councils typically forecast to deliver their services at a reducing cost over time, evidence suggests that the costs of delivering services are actually increasing in real (uninflated) terms. This could be because levels of service increase over time, councils are doing more, or because assumptions regarding inflation are wrong.</w:t>
      </w:r>
    </w:p>
    <w:p w14:paraId="595D8AB3" w14:textId="5887BFBD" w:rsidR="001F363E" w:rsidRDefault="001F363E" w:rsidP="009D38AF">
      <w:pPr>
        <w:pStyle w:val="Bulletpoint"/>
      </w:pPr>
      <w:r>
        <w:t>Analysis over a series of LTPs shows a clear trend for debt to increase in each successive LTP. The forecast reduction in debt in the later years of an</w:t>
      </w:r>
      <w:r w:rsidR="00194C27">
        <w:t xml:space="preserve"> LTP does not occur in reality.</w:t>
      </w:r>
    </w:p>
    <w:p w14:paraId="28C9E45B" w14:textId="0A888499" w:rsidR="007C0AF1" w:rsidRDefault="001F363E" w:rsidP="007C0AF1">
      <w:pPr>
        <w:pStyle w:val="Bulletpoint"/>
      </w:pPr>
      <w:r>
        <w:t>The same analysis shows that future rate increases in the later years of an LTP are usually higher than forecast. The forecast reduced rate increases in those years of a</w:t>
      </w:r>
      <w:r w:rsidR="00194C27">
        <w:t>n LTP don’t occur in reality.</w:t>
      </w:r>
      <w:r w:rsidR="007C0AF1">
        <w:t xml:space="preserve"> The impact of this is shown Figure 2 below.</w:t>
      </w:r>
    </w:p>
    <w:p w14:paraId="4048F6AC" w14:textId="77777777" w:rsidR="007C0AF1" w:rsidRDefault="007C0AF1" w:rsidP="007C0AF1">
      <w:pPr>
        <w:pStyle w:val="Caption"/>
      </w:pPr>
      <w:bookmarkStart w:id="4" w:name="_Toc520900256"/>
      <w:r>
        <w:t xml:space="preserve">Figure </w:t>
      </w:r>
      <w:r>
        <w:fldChar w:fldCharType="begin"/>
      </w:r>
      <w:r>
        <w:instrText xml:space="preserve"> SEQ Figure \* ARABIC </w:instrText>
      </w:r>
      <w:r>
        <w:fldChar w:fldCharType="separate"/>
      </w:r>
      <w:r w:rsidR="00A00D18">
        <w:rPr>
          <w:noProof/>
        </w:rPr>
        <w:t>2</w:t>
      </w:r>
      <w:r>
        <w:fldChar w:fldCharType="end"/>
      </w:r>
      <w:r>
        <w:tab/>
        <w:t>Annual change in rates for all councils – comparison of 2015 and draft 2018 long term plans</w:t>
      </w:r>
      <w:bookmarkEnd w:id="4"/>
    </w:p>
    <w:p w14:paraId="325398F5" w14:textId="31B5E311" w:rsidR="007C0AF1" w:rsidRDefault="007C0AF1" w:rsidP="007C0AF1">
      <w:pPr>
        <w:pStyle w:val="Body"/>
      </w:pPr>
      <w:r w:rsidRPr="007C0AF1">
        <w:rPr>
          <w:noProof/>
          <w:lang w:eastAsia="en-NZ"/>
        </w:rPr>
        <mc:AlternateContent>
          <mc:Choice Requires="wps">
            <w:drawing>
              <wp:anchor distT="0" distB="0" distL="114300" distR="114300" simplePos="0" relativeHeight="251683840" behindDoc="0" locked="0" layoutInCell="1" allowOverlap="1" wp14:anchorId="14C2C816" wp14:editId="22F88180">
                <wp:simplePos x="0" y="0"/>
                <wp:positionH relativeFrom="column">
                  <wp:posOffset>361509</wp:posOffset>
                </wp:positionH>
                <wp:positionV relativeFrom="paragraph">
                  <wp:posOffset>3370580</wp:posOffset>
                </wp:positionV>
                <wp:extent cx="2764024" cy="392414"/>
                <wp:effectExtent l="0" t="0" r="0" b="0"/>
                <wp:wrapNone/>
                <wp:docPr id="4" name="Text Box 4"/>
                <wp:cNvGraphicFramePr/>
                <a:graphic xmlns:a="http://schemas.openxmlformats.org/drawingml/2006/main">
                  <a:graphicData uri="http://schemas.microsoft.com/office/word/2010/wordprocessingShape">
                    <wps:wsp>
                      <wps:cNvSpPr txBox="1"/>
                      <wps:spPr>
                        <a:xfrm>
                          <a:off x="0" y="0"/>
                          <a:ext cx="2764024" cy="392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59D17" w14:textId="77777777" w:rsidR="007C0AF1" w:rsidRPr="00A6118A" w:rsidRDefault="007C0AF1" w:rsidP="007C0AF1">
                            <w:pPr>
                              <w:rPr>
                                <w:b/>
                                <w:bCs/>
                                <w:color w:val="404142" w:themeColor="accent3" w:themeShade="80"/>
                              </w:rPr>
                            </w:pPr>
                            <w:r w:rsidRPr="00A6118A">
                              <w:rPr>
                                <w:b/>
                                <w:bCs/>
                                <w:i/>
                                <w:iCs/>
                                <w:color w:val="404142" w:themeColor="accent3" w:themeShade="80"/>
                              </w:rPr>
                              <w:t>Source: Department of Internal Affairs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5" type="#_x0000_t202" style="position:absolute;margin-left:28.45pt;margin-top:265.4pt;width:217.65pt;height:30.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RfgAIAAGkFAAAOAAAAZHJzL2Uyb0RvYy54bWysVN1v2jAQf5+0/8Hy+wjQlLaIULFWTJNQ&#10;W41OfTaODdFsn2cbEvbX7+wkFHV76bSX5Hz3u++P2W2jFTkI5yswBR0NhpQIw6GszLag35+Xn64p&#10;8YGZkikwoqBH4ent/OOHWW2nYgw7UKVwBI0YP61tQXch2GmWeb4TmvkBWGFQKMFpFvDptlnpWI3W&#10;tcrGw+Ekq8GV1gEX3iP3vhXSebIvpeDhUUovAlEFxdhC+rr03cRvNp+x6dYxu6t4Fwb7hyg0qww6&#10;PZm6Z4GRvav+MKUr7sCDDAMOOgMpKy5SDpjNaPgmm/WOWZFyweJ4eyqT/39m+cPhyZGqLGhOiWEa&#10;W/QsmkA+Q0PyWJ3a+imC1hZhoUE2drnne2TGpBvpdPxjOgTlWOfjqbbRGEfm+GqSD8fohKPs4mac&#10;j5L57FXbOh++CNAkEgV12LtUUnZY+YCRILSHRGcGlpVSqX/KkLqgk4vLYVI4SVBDmYgVaRI6MzGj&#10;NvJEhaMSEaPMNyGxEimByEgzKO6UIweG08M4Fyak3JNdREeUxCDeo9jhX6N6j3KbR+8ZTDgp68qA&#10;S9m/Cbv80YcsWzwW8izvSIZm06QRuO4bu4HyiP120O6Lt3xZYVNWzIcn5nBBsMW49OERP1IBFh86&#10;ipIduF9/40c8zi1KKalx4Qrqf+6ZE5SorwYn+maU53FD0yO/vBrjw51LNucSs9d3gF0Z4XmxPJER&#10;H1RPSgf6BW/DInpFETMcfRc09ORdaM8A3hYuFosEwp20LKzM2vJoOjYpjtxz88Kc7eYy4EQ/QL+a&#10;bPpmPFts1DSw2AeQVZrdWOe2ql39cZ/TSHe3Jx6M83dCvV7I+W8AAAD//wMAUEsDBBQABgAIAAAA&#10;IQD7HcW94gAAAAoBAAAPAAAAZHJzL2Rvd25yZXYueG1sTI/NTsMwEITvSLyDtUjcqFNDoybEqapI&#10;FRKCQ0sv3Jx4m0T1T4jdNvD0LKdyWu3OaPabYjVZw844ht47CfNZAgxd43XvWgn7j83DEliIymll&#10;vEMJ3xhgVd7eFCrX/uK2eN7FllGIC7mS0MU45JyHpkOrwswP6Eg7+NGqSOvYcj2qC4Vbw0WSpNyq&#10;3tGHTg1Yddgcdycr4bXavKttLezyx1Qvb4f18LX/XEh5fzetn4FFnOLVDH/4hA4lMdX+5HRgRsIi&#10;zchJ8zGhCmR4yoQAVtMlEynwsuD/K5S/AAAA//8DAFBLAQItABQABgAIAAAAIQC2gziS/gAAAOEB&#10;AAATAAAAAAAAAAAAAAAAAAAAAABbQ29udGVudF9UeXBlc10ueG1sUEsBAi0AFAAGAAgAAAAhADj9&#10;If/WAAAAlAEAAAsAAAAAAAAAAAAAAAAALwEAAF9yZWxzLy5yZWxzUEsBAi0AFAAGAAgAAAAhABAB&#10;1F+AAgAAaQUAAA4AAAAAAAAAAAAAAAAALgIAAGRycy9lMm9Eb2MueG1sUEsBAi0AFAAGAAgAAAAh&#10;APsdxb3iAAAACgEAAA8AAAAAAAAAAAAAAAAA2gQAAGRycy9kb3ducmV2LnhtbFBLBQYAAAAABAAE&#10;APMAAADpBQAAAAA=&#10;" filled="f" stroked="f" strokeweight=".5pt">
                <v:textbox>
                  <w:txbxContent>
                    <w:p w14:paraId="08C59D17" w14:textId="77777777" w:rsidR="007C0AF1" w:rsidRPr="00A6118A" w:rsidRDefault="007C0AF1" w:rsidP="007C0AF1">
                      <w:pPr>
                        <w:rPr>
                          <w:b/>
                          <w:bCs/>
                          <w:color w:val="404142" w:themeColor="accent3" w:themeShade="80"/>
                        </w:rPr>
                      </w:pPr>
                      <w:r w:rsidRPr="00A6118A">
                        <w:rPr>
                          <w:b/>
                          <w:bCs/>
                          <w:i/>
                          <w:iCs/>
                          <w:color w:val="404142" w:themeColor="accent3" w:themeShade="80"/>
                        </w:rPr>
                        <w:t>Source: Department of Internal Affairs</w:t>
                      </w:r>
                    </w:p>
                  </w:txbxContent>
                </v:textbox>
              </v:shape>
            </w:pict>
          </mc:Fallback>
        </mc:AlternateContent>
      </w:r>
      <w:r w:rsidRPr="007C0AF1">
        <w:rPr>
          <w:noProof/>
          <w:lang w:eastAsia="en-NZ"/>
        </w:rPr>
        <w:drawing>
          <wp:inline distT="0" distB="0" distL="0" distR="0" wp14:anchorId="238A6AD1" wp14:editId="320031EA">
            <wp:extent cx="4883022" cy="2929813"/>
            <wp:effectExtent l="438150" t="438150" r="432435" b="4425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3022" cy="2929813"/>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69B25318" w14:textId="7D00E5B5" w:rsidR="001F363E" w:rsidRPr="00D878E5" w:rsidRDefault="001F363E" w:rsidP="007C0AF1">
      <w:pPr>
        <w:pStyle w:val="ListParagraph"/>
        <w:spacing w:before="360"/>
      </w:pPr>
      <w:r w:rsidRPr="00D878E5">
        <w:t>While some of the changes in successive LTPs may be due to increased services and service levels that were not anticipated, arguably this means that the decisions about services, service levels and costs in the first year and first three years of an LTP are made on the basis of a ‘short term snapshot’ without a full appreciation of the likely actual future costs of the council a</w:t>
      </w:r>
      <w:r w:rsidR="009D38AF">
        <w:t>nd actual rating requirements.</w:t>
      </w:r>
    </w:p>
    <w:p w14:paraId="3D9D19C3" w14:textId="77777777" w:rsidR="001F363E" w:rsidRDefault="001F363E" w:rsidP="004A372C">
      <w:pPr>
        <w:pStyle w:val="ListParagraph"/>
      </w:pPr>
      <w:r w:rsidRPr="00000363">
        <w:t xml:space="preserve">Depreciation is 25% of a typical council’s expenditure. The importance of getting this estimate right cannot </w:t>
      </w:r>
      <w:r w:rsidRPr="0095104C">
        <w:t>be</w:t>
      </w:r>
      <w:r w:rsidRPr="00000363">
        <w:t xml:space="preserve"> overstated as it can have a direct and significant impact on the total cost of the council and therefore the funding required</w:t>
      </w:r>
      <w:r>
        <w:t>.</w:t>
      </w:r>
    </w:p>
    <w:p w14:paraId="64C8644A" w14:textId="77777777" w:rsidR="007C0AF1" w:rsidRDefault="007C0AF1">
      <w:pPr>
        <w:spacing w:before="200" w:after="200" w:line="276" w:lineRule="auto"/>
        <w:rPr>
          <w:rFonts w:eastAsia="Times New Roman" w:cs="Times New Roman"/>
          <w:color w:val="404142" w:themeColor="accent3" w:themeShade="80"/>
          <w:lang w:val="en-AU"/>
        </w:rPr>
      </w:pPr>
      <w:r>
        <w:br w:type="page"/>
      </w:r>
    </w:p>
    <w:p w14:paraId="0E5ADD77" w14:textId="29D4D3A7" w:rsidR="001F363E" w:rsidRDefault="001F363E" w:rsidP="00724987">
      <w:pPr>
        <w:pStyle w:val="ListParagraph"/>
      </w:pPr>
      <w:r>
        <w:t>Our analysis shows that councils are collecting sufficient revenue to fund depreciation.</w:t>
      </w:r>
      <w:r w:rsidRPr="00316B27">
        <w:t xml:space="preserve"> </w:t>
      </w:r>
      <w:r>
        <w:t xml:space="preserve">Our analysis also shows that </w:t>
      </w:r>
      <w:r w:rsidR="00724987">
        <w:t>c</w:t>
      </w:r>
      <w:r>
        <w:t xml:space="preserve">ouncils are not spending a similar amount on renewals as they are collecting for depreciation. Over the </w:t>
      </w:r>
      <w:r w:rsidR="001C7477">
        <w:t>ten</w:t>
      </w:r>
      <w:r>
        <w:t xml:space="preserve"> years of 2015 LTP period, the average renewal ratio</w:t>
      </w:r>
      <w:r w:rsidRPr="004F678E">
        <w:rPr>
          <w:vertAlign w:val="superscript"/>
        </w:rPr>
        <w:footnoteReference w:id="2"/>
      </w:r>
      <w:r>
        <w:t xml:space="preserve"> for all New Zealand councils was 78%. There is significant variation depending on whether councils are high growth or low growth and overall r</w:t>
      </w:r>
      <w:r w:rsidRPr="0095104C">
        <w:t>oads are being renewed faster than the other core council a</w:t>
      </w:r>
      <w:r>
        <w:t>ssets</w:t>
      </w:r>
      <w:r w:rsidRPr="0095104C">
        <w:t xml:space="preserve"> but this is still much lower th</w:t>
      </w:r>
      <w:r>
        <w:t>an the depreciation of those assets.</w:t>
      </w:r>
    </w:p>
    <w:p w14:paraId="4EEEDE25" w14:textId="5867ECA6" w:rsidR="001F363E" w:rsidRDefault="001F363E" w:rsidP="004A372C">
      <w:pPr>
        <w:pStyle w:val="ListParagraph"/>
      </w:pPr>
      <w:r>
        <w:t>If we assume that overtime depreciation and renewal expenditure should be aligned for mature councils then consistently spending less than depreciation on the renewal of assets means that either</w:t>
      </w:r>
      <w:r w:rsidR="00724987">
        <w:t>:</w:t>
      </w:r>
    </w:p>
    <w:p w14:paraId="3CCD08F5" w14:textId="55372500" w:rsidR="001F363E" w:rsidRDefault="007917C4" w:rsidP="009D38AF">
      <w:pPr>
        <w:pStyle w:val="Bulletpoint"/>
      </w:pPr>
      <w:r>
        <w:t>d</w:t>
      </w:r>
      <w:r w:rsidR="001F363E">
        <w:t>epreciation is overstated and renewal expenditure is real</w:t>
      </w:r>
      <w:r w:rsidR="00194C27">
        <w:t>istic</w:t>
      </w:r>
    </w:p>
    <w:p w14:paraId="20DD7ED7" w14:textId="04D24134" w:rsidR="001F363E" w:rsidRDefault="00724987" w:rsidP="0025197A">
      <w:pPr>
        <w:pStyle w:val="Bulletpoint"/>
        <w:numPr>
          <w:ilvl w:val="2"/>
          <w:numId w:val="6"/>
        </w:numPr>
      </w:pPr>
      <w:r>
        <w:t>i</w:t>
      </w:r>
      <w:r w:rsidR="001F363E">
        <w:t xml:space="preserve">f this is true then </w:t>
      </w:r>
      <w:r w:rsidR="007917C4">
        <w:t>c</w:t>
      </w:r>
      <w:r w:rsidR="001F363E">
        <w:t>ouncils are reducing debt, reducing the amount of debt they need to take on or using some of the revenue collected as depreciation to fund other activities or services. This situation would raise issu</w:t>
      </w:r>
      <w:r>
        <w:t>es for intergenerational equity</w:t>
      </w:r>
    </w:p>
    <w:p w14:paraId="6C57BDCB" w14:textId="132E508F" w:rsidR="001F363E" w:rsidRDefault="007917C4" w:rsidP="009D38AF">
      <w:pPr>
        <w:pStyle w:val="Bulletpoint"/>
      </w:pPr>
      <w:r>
        <w:t>d</w:t>
      </w:r>
      <w:r w:rsidR="001F363E">
        <w:t xml:space="preserve">epreciation is accurate and renewal expenditure has been and is projected to be too low </w:t>
      </w:r>
    </w:p>
    <w:p w14:paraId="7D18FDB8" w14:textId="7FCE25BF" w:rsidR="001F363E" w:rsidRDefault="00724987" w:rsidP="0025197A">
      <w:pPr>
        <w:pStyle w:val="Bulletpoint"/>
        <w:numPr>
          <w:ilvl w:val="2"/>
          <w:numId w:val="6"/>
        </w:numPr>
      </w:pPr>
      <w:r>
        <w:t>i</w:t>
      </w:r>
      <w:r w:rsidR="001F363E">
        <w:t>f this is true then councils are shifting some of the current cost of renewals to future ratepayers by not funding it now and using the revenue collected as deprecation for other activities or services. This situation has direc</w:t>
      </w:r>
      <w:r>
        <w:t>t implications for future costs</w:t>
      </w:r>
    </w:p>
    <w:p w14:paraId="42CA681E" w14:textId="778B37A1" w:rsidR="001F363E" w:rsidRDefault="007917C4" w:rsidP="009D38AF">
      <w:pPr>
        <w:pStyle w:val="Bulletpoint"/>
      </w:pPr>
      <w:r>
        <w:t>d</w:t>
      </w:r>
      <w:r w:rsidR="001F363E">
        <w:t>epreciation is accurate, councils are not correctly allocating capital expenditure and in fact renewal expenditure is higher than reported</w:t>
      </w:r>
    </w:p>
    <w:p w14:paraId="6A090C81" w14:textId="4AEE8F47" w:rsidR="001F363E" w:rsidRDefault="00724987" w:rsidP="0025197A">
      <w:pPr>
        <w:pStyle w:val="Bulletpoint"/>
        <w:numPr>
          <w:ilvl w:val="2"/>
          <w:numId w:val="6"/>
        </w:numPr>
      </w:pPr>
      <w:r>
        <w:t>i</w:t>
      </w:r>
      <w:r w:rsidR="001F363E">
        <w:t>f this is true then there is little impact on current and future ratepayers or on intergenerational equity. There is however, little incentive in our view for councils to be incorrectly allocating capital expenditure and in most cases renewal expenditure significantly outwei</w:t>
      </w:r>
      <w:r w:rsidR="007917C4">
        <w:t>ghs new and growth expenditure.</w:t>
      </w:r>
    </w:p>
    <w:p w14:paraId="52838AC8" w14:textId="7047C039" w:rsidR="003209A5" w:rsidRDefault="001F363E" w:rsidP="004A372C">
      <w:pPr>
        <w:pStyle w:val="ListParagraph"/>
      </w:pPr>
      <w:r>
        <w:t>In our view, there is evidence that suggests that depreciation may be too high. There is a consistent trend for councils to spend less on renewal of their assets than the depreciation of those assets. Three quarters of councils in N</w:t>
      </w:r>
      <w:r w:rsidR="003D4C9F">
        <w:t>ew Zealand</w:t>
      </w:r>
      <w:r>
        <w:t xml:space="preserve"> project to have an average renewal ratio of less than 87% over the </w:t>
      </w:r>
      <w:r w:rsidR="001C7477">
        <w:t>ten</w:t>
      </w:r>
      <w:r w:rsidR="007917C4">
        <w:t xml:space="preserve"> years of the 2015 LTP period.</w:t>
      </w:r>
      <w:r w:rsidR="003209A5">
        <w:t xml:space="preserve"> In NSW, Victoria and WA benchmarks for the renewals ratio are 100%, 90-110% and 90% respectively.</w:t>
      </w:r>
    </w:p>
    <w:p w14:paraId="23EA1BCB" w14:textId="68AC94F7" w:rsidR="001F363E" w:rsidRDefault="001F363E" w:rsidP="004A372C">
      <w:pPr>
        <w:pStyle w:val="ListParagraph"/>
      </w:pPr>
      <w:r>
        <w:t xml:space="preserve">The asset management industry in New Zealand </w:t>
      </w:r>
      <w:r w:rsidR="00847364">
        <w:t>is a mature industry. Councils have dedicated asset managers and asset management plans are prepared for each asset class. P</w:t>
      </w:r>
      <w:r>
        <w:t>lanned renewal expenditure suggests that councils are making deliberate, informed decisions about their investment in the replacement of assets. Renewal waves being deferred in successive infrastructure strategies and long-term plans are said to be on the basis of best available information. Depreciation however remains consistently much higher than renewal expenditure. In addition, anecdotal evidence about the relatively good condition of New Zealand roads despite a low renewals ratio suggests that, at least for roads, renewals are typically occurring close to the rate that they should be.</w:t>
      </w:r>
    </w:p>
    <w:p w14:paraId="1733E4AD" w14:textId="77777777" w:rsidR="007C0AF1" w:rsidRDefault="007C0AF1">
      <w:pPr>
        <w:spacing w:before="200" w:after="200" w:line="276" w:lineRule="auto"/>
        <w:rPr>
          <w:rFonts w:eastAsia="Times New Roman" w:cs="Times New Roman"/>
          <w:color w:val="404142" w:themeColor="accent3" w:themeShade="80"/>
          <w:lang w:val="en-AU"/>
        </w:rPr>
      </w:pPr>
      <w:r>
        <w:br w:type="page"/>
      </w:r>
    </w:p>
    <w:p w14:paraId="0294ECA0" w14:textId="50563B75" w:rsidR="001F363E" w:rsidRDefault="001F363E" w:rsidP="004A372C">
      <w:pPr>
        <w:pStyle w:val="ListParagraph"/>
      </w:pPr>
      <w:r w:rsidRPr="00B9316B">
        <w:t>There is and has been for some time concerns around the future renewals peaks forecast by councils. Future renewals peaks as shown in draft infrastructure strategies, while large, do not appear unaffordable if councils are prudent in provisioning funds to cover these costs</w:t>
      </w:r>
      <w:r>
        <w:t xml:space="preserve">. However, much has changed and is changing for local government since the 2015 LTPs including a particular focus on the infrastructure and services for water, wastewater and stormwater. </w:t>
      </w:r>
      <w:r w:rsidRPr="005916AA">
        <w:t>We note that the full impact of this has yet to be seen. While this study considered the 2015-2025 LTPs, there is significant local government investment in infrastructure currently underway and proposed in 2018-2028 LTPs</w:t>
      </w:r>
    </w:p>
    <w:p w14:paraId="5C20652D" w14:textId="13E8DD89" w:rsidR="009F70A5" w:rsidRPr="0095104C" w:rsidRDefault="009F70A5" w:rsidP="004A372C">
      <w:pPr>
        <w:pStyle w:val="ListParagraph"/>
      </w:pPr>
      <w:r w:rsidRPr="0095104C">
        <w:t>Local government debt sits mainly in the right councils</w:t>
      </w:r>
      <w:r>
        <w:t xml:space="preserve"> in our opinion</w:t>
      </w:r>
      <w:r w:rsidRPr="0095104C">
        <w:t>. That is high growth and high population councils carrying comparatively more debt than declining or small population councils.</w:t>
      </w:r>
    </w:p>
    <w:p w14:paraId="4F0875D2" w14:textId="31E40D47" w:rsidR="00B86DEA" w:rsidRPr="0095104C" w:rsidRDefault="00B86DEA" w:rsidP="009D38AF">
      <w:pPr>
        <w:pStyle w:val="Bulletpoint"/>
      </w:pPr>
      <w:r w:rsidRPr="0095104C">
        <w:t>Growth councils are carrying high</w:t>
      </w:r>
      <w:r w:rsidR="009F70A5">
        <w:t>er</w:t>
      </w:r>
      <w:r w:rsidRPr="0095104C">
        <w:t xml:space="preserve"> levels of debt and this is projected to increase further. This may constrain their ability to borrow more or may impact their ability to deal with financial shocks.</w:t>
      </w:r>
    </w:p>
    <w:p w14:paraId="23E6BB79" w14:textId="77777777" w:rsidR="00B86DEA" w:rsidRDefault="00B86DEA" w:rsidP="009D38AF">
      <w:pPr>
        <w:pStyle w:val="Bulletpoint"/>
      </w:pPr>
      <w:r w:rsidRPr="0095104C">
        <w:t xml:space="preserve">The reduced ability for small or declining population communities to service debt repayments and operating </w:t>
      </w:r>
      <w:r>
        <w:t>expenditure on new major infrastructure may be constraining their ability to invest in expensive but much needed infrastructure.</w:t>
      </w:r>
    </w:p>
    <w:p w14:paraId="163A270C" w14:textId="5D62A60A" w:rsidR="00125343" w:rsidRPr="00B9316B" w:rsidRDefault="00125343" w:rsidP="004A372C">
      <w:pPr>
        <w:pStyle w:val="ListParagraph"/>
        <w:rPr>
          <w:rFonts w:asciiTheme="majorHAnsi" w:hAnsiTheme="majorHAnsi"/>
          <w:sz w:val="32"/>
          <w:szCs w:val="28"/>
        </w:rPr>
      </w:pPr>
      <w:r>
        <w:br w:type="page"/>
      </w:r>
    </w:p>
    <w:p w14:paraId="4803D50D" w14:textId="77777777" w:rsidR="00125343" w:rsidRPr="00374E49" w:rsidRDefault="00125343" w:rsidP="00125343">
      <w:pPr>
        <w:pStyle w:val="Heading1"/>
      </w:pPr>
      <w:bookmarkStart w:id="5" w:name="_Toc516129479"/>
      <w:bookmarkStart w:id="6" w:name="_Toc516829038"/>
      <w:bookmarkStart w:id="7" w:name="_Toc520703177"/>
      <w:r>
        <w:t>Background and I</w:t>
      </w:r>
      <w:r w:rsidRPr="00374E49">
        <w:t>ntroduction</w:t>
      </w:r>
      <w:bookmarkEnd w:id="5"/>
      <w:bookmarkEnd w:id="6"/>
      <w:bookmarkEnd w:id="7"/>
    </w:p>
    <w:p w14:paraId="5DC1BC50" w14:textId="77777777" w:rsidR="0007089F" w:rsidRDefault="007968D1" w:rsidP="004A372C">
      <w:pPr>
        <w:pStyle w:val="ListParagraph"/>
      </w:pPr>
      <w:r>
        <w:t xml:space="preserve">Over time the Government, various groups or organisations and the general public have all voiced varying concerns about the level of rates in New Zealand, and the affordability of rates.  </w:t>
      </w:r>
      <w:r w:rsidR="0007089F">
        <w:t>In preparation for the upcoming Local Government Funding Inquiry by the Productivity Commission, the Department of Internal Affairs sought to commission a study into the current and future funding pressures facing local government.</w:t>
      </w:r>
    </w:p>
    <w:p w14:paraId="410BFC47" w14:textId="36FA555A" w:rsidR="00BD3280" w:rsidRDefault="00BD3280" w:rsidP="004A372C">
      <w:pPr>
        <w:pStyle w:val="ListParagraph"/>
      </w:pPr>
      <w:r>
        <w:t>Local government in New Zealand follows a cost driven model, whereby the level of rates required to be collected from a community is determined by the funding requirements of the council. Working within an agreed funding envelope, councils first determine their required level of expenditure to deliver an agreed level of service, before determining the amount of revenue that they need to collect in rates. Services and service levels are set through a democratic process involving the community, elected members and Council staff and trade-offs are made between desires and affordability.</w:t>
      </w:r>
    </w:p>
    <w:p w14:paraId="03DA03DE" w14:textId="7725A09C" w:rsidR="00BD3280" w:rsidRPr="008E607D" w:rsidRDefault="00BD3280" w:rsidP="004A372C">
      <w:pPr>
        <w:pStyle w:val="ListParagraph"/>
      </w:pPr>
      <w:r w:rsidRPr="008E607D">
        <w:t xml:space="preserve">Funding for </w:t>
      </w:r>
      <w:r>
        <w:t>a council</w:t>
      </w:r>
      <w:r w:rsidR="004A372C">
        <w:t>’</w:t>
      </w:r>
      <w:r>
        <w:t xml:space="preserve">s services and </w:t>
      </w:r>
      <w:r w:rsidRPr="008E607D">
        <w:t xml:space="preserve">activities comes from </w:t>
      </w:r>
      <w:r>
        <w:t>a variety of sources</w:t>
      </w:r>
      <w:r w:rsidRPr="008E607D">
        <w:t xml:space="preserve"> and includes:</w:t>
      </w:r>
    </w:p>
    <w:p w14:paraId="5DD3077B" w14:textId="38AEBE24" w:rsidR="00BD3280" w:rsidRPr="00353FDA" w:rsidRDefault="007917C4" w:rsidP="009D38AF">
      <w:pPr>
        <w:pStyle w:val="Bulletpoint"/>
      </w:pPr>
      <w:r>
        <w:t>r</w:t>
      </w:r>
      <w:r w:rsidR="00BD3280" w:rsidRPr="00353FDA">
        <w:t>ates on property owners, including targeted rates and water fees</w:t>
      </w:r>
    </w:p>
    <w:p w14:paraId="03D2DD7E" w14:textId="678FAA4E" w:rsidR="00BD3280" w:rsidRPr="00353FDA" w:rsidRDefault="007917C4" w:rsidP="009D38AF">
      <w:pPr>
        <w:pStyle w:val="Bulletpoint"/>
      </w:pPr>
      <w:r>
        <w:t>g</w:t>
      </w:r>
      <w:r w:rsidR="00BD3280" w:rsidRPr="00353FDA">
        <w:t>overnment grants, and particularly grants from the New Zealand Transport Agency for transport assets</w:t>
      </w:r>
    </w:p>
    <w:p w14:paraId="4B87DC27" w14:textId="51268539" w:rsidR="00BD3280" w:rsidRPr="00353FDA" w:rsidRDefault="007917C4" w:rsidP="009D38AF">
      <w:pPr>
        <w:pStyle w:val="Bulletpoint"/>
      </w:pPr>
      <w:r>
        <w:t>f</w:t>
      </w:r>
      <w:r w:rsidR="00BD3280" w:rsidRPr="00353FDA">
        <w:t>ees and charges for services such as building and resource consents, licensing, dog registrations, and use of community facilities</w:t>
      </w:r>
    </w:p>
    <w:p w14:paraId="3615928B" w14:textId="5120EEAC" w:rsidR="00BD3280" w:rsidRPr="00353FDA" w:rsidRDefault="007917C4" w:rsidP="009D38AF">
      <w:pPr>
        <w:pStyle w:val="Bulletpoint"/>
      </w:pPr>
      <w:r w:rsidRPr="00353FDA">
        <w:t>development and financial contrib</w:t>
      </w:r>
      <w:r w:rsidR="00BD3280" w:rsidRPr="00353FDA">
        <w:t>utions</w:t>
      </w:r>
    </w:p>
    <w:p w14:paraId="74A3B82F" w14:textId="65F44059" w:rsidR="00BD3280" w:rsidRDefault="007917C4" w:rsidP="009D38AF">
      <w:pPr>
        <w:pStyle w:val="Bulletpoint"/>
      </w:pPr>
      <w:r>
        <w:t>i</w:t>
      </w:r>
      <w:r w:rsidR="00BD3280" w:rsidRPr="00353FDA">
        <w:t>nvestment incom</w:t>
      </w:r>
      <w:r w:rsidR="00BD3280">
        <w:t>e</w:t>
      </w:r>
      <w:r>
        <w:t>.</w:t>
      </w:r>
    </w:p>
    <w:p w14:paraId="34AD4275" w14:textId="23816C4F" w:rsidR="00BD3280" w:rsidRDefault="0007089F" w:rsidP="004A372C">
      <w:pPr>
        <w:pStyle w:val="ListParagraph"/>
      </w:pPr>
      <w:r>
        <w:t>Rates comprise about 60% of a local authority’s income but t</w:t>
      </w:r>
      <w:r w:rsidR="00BD3280">
        <w:t>he actual quantum of rates an individual ratepayer pays and whether that is affordable depends on a variety of factors relating to both the individual and the council. Underlying this from the council perspective are two key drivers.  The total amount of money that needs to be collected (which as noted above is driven by a council’s overall expenditure requirements) and the manner in which those costs are allocate</w:t>
      </w:r>
      <w:r w:rsidR="00921459">
        <w:t>d between ratepayers and users.</w:t>
      </w:r>
    </w:p>
    <w:p w14:paraId="30BC8E9B" w14:textId="413DBAA1" w:rsidR="00A87D08" w:rsidRDefault="00A87D08" w:rsidP="004A372C">
      <w:pPr>
        <w:pStyle w:val="ListParagraph"/>
      </w:pPr>
      <w:r>
        <w:t xml:space="preserve">This report provides an assessment on the current position of </w:t>
      </w:r>
      <w:r w:rsidR="007917C4">
        <w:t>local govern</w:t>
      </w:r>
      <w:r>
        <w:t xml:space="preserve">ment finances drawing on a selection of representative councils, uses published 2015 </w:t>
      </w:r>
      <w:r w:rsidR="00465FBD">
        <w:t>Long Term Plan</w:t>
      </w:r>
      <w:r>
        <w:t xml:space="preserve"> data, actual results for 2015 – 2017, draft 2018</w:t>
      </w:r>
      <w:r w:rsidR="00465FBD">
        <w:t xml:space="preserve"> Long Term Plan </w:t>
      </w:r>
      <w:r>
        <w:t>data as well as a number of other sources which are referred to throughout the report. It also considers the impacts of proposed rates rises and cost increases on the matters of ratepayer affordability and equity. The methodology is set out in Appendix A</w:t>
      </w:r>
      <w:r w:rsidR="007917C4">
        <w:t>.</w:t>
      </w:r>
    </w:p>
    <w:p w14:paraId="27DEE5BE" w14:textId="77777777" w:rsidR="0007089F" w:rsidRDefault="0007089F" w:rsidP="004A372C">
      <w:pPr>
        <w:pStyle w:val="ListParagraph"/>
      </w:pPr>
      <w:r>
        <w:t>The primary objectives of this report include:</w:t>
      </w:r>
    </w:p>
    <w:p w14:paraId="2D2062D2" w14:textId="11F3BBAE" w:rsidR="0007089F" w:rsidRPr="0095104C" w:rsidRDefault="004A372C" w:rsidP="009D38AF">
      <w:pPr>
        <w:pStyle w:val="Bulletpoint"/>
      </w:pPr>
      <w:r>
        <w:t>i</w:t>
      </w:r>
      <w:r w:rsidR="0007089F" w:rsidRPr="0095104C">
        <w:t>dentification of the primary cost pressures within local government and their intended responses</w:t>
      </w:r>
    </w:p>
    <w:p w14:paraId="4E7BDFFD" w14:textId="474A7B67" w:rsidR="0007089F" w:rsidRPr="0095104C" w:rsidRDefault="004A372C" w:rsidP="009D38AF">
      <w:pPr>
        <w:pStyle w:val="Bulletpoint"/>
      </w:pPr>
      <w:r>
        <w:t>a</w:t>
      </w:r>
      <w:r w:rsidR="0007089F" w:rsidRPr="0095104C">
        <w:t>nalysis on the affordability and equity of any rate increases or borrowing</w:t>
      </w:r>
    </w:p>
    <w:p w14:paraId="245216FA" w14:textId="1905597E" w:rsidR="00BD3280" w:rsidRDefault="00BD3280" w:rsidP="004A372C">
      <w:pPr>
        <w:pStyle w:val="ListParagraph"/>
      </w:pPr>
      <w:r>
        <w:t xml:space="preserve">We note that much has changed and is changing for local government since the 2015 LTPs including a particular focus on the infrastructure and services of the </w:t>
      </w:r>
      <w:r w:rsidR="00921459">
        <w:t>three wat</w:t>
      </w:r>
      <w:r>
        <w:t xml:space="preserve">ers. </w:t>
      </w:r>
      <w:r w:rsidRPr="005916AA">
        <w:t xml:space="preserve">We note that the full impact of this has yet to be seen. While this study considered the 2015-2025 LTPs, there is significant local government investment in infrastructure currently underway </w:t>
      </w:r>
      <w:r w:rsidR="00921459">
        <w:t>and proposed in 2018-2028 LTPs.</w:t>
      </w:r>
    </w:p>
    <w:p w14:paraId="064D2A9B" w14:textId="01EE9F56" w:rsidR="00EA0C78" w:rsidRDefault="0016032E" w:rsidP="00EA0C78">
      <w:pPr>
        <w:pStyle w:val="Heading1"/>
      </w:pPr>
      <w:bookmarkStart w:id="8" w:name="_Toc520703178"/>
      <w:r>
        <w:t xml:space="preserve">Council </w:t>
      </w:r>
      <w:r w:rsidR="0093638A">
        <w:t>R</w:t>
      </w:r>
      <w:r>
        <w:t>evenue</w:t>
      </w:r>
      <w:bookmarkEnd w:id="8"/>
    </w:p>
    <w:p w14:paraId="3167C762" w14:textId="3FDDA742" w:rsidR="00A75430" w:rsidRPr="00A75430" w:rsidRDefault="00657D00" w:rsidP="00A75430">
      <w:pPr>
        <w:pStyle w:val="Heading2"/>
      </w:pPr>
      <w:bookmarkStart w:id="9" w:name="_Toc520703179"/>
      <w:r>
        <w:t xml:space="preserve">Types of </w:t>
      </w:r>
      <w:r w:rsidR="00A75430">
        <w:t>Revenue</w:t>
      </w:r>
      <w:bookmarkEnd w:id="9"/>
    </w:p>
    <w:p w14:paraId="6C0EA2C7" w14:textId="4732CF93" w:rsidR="003C0D9D" w:rsidRDefault="003C0D9D" w:rsidP="004A372C">
      <w:pPr>
        <w:pStyle w:val="ListParagraph"/>
      </w:pPr>
      <w:r>
        <w:t xml:space="preserve">Councils are limited in the ways in which they receive funding. At its most basic, councils, like most </w:t>
      </w:r>
      <w:r w:rsidR="0016032E">
        <w:t>public-sector</w:t>
      </w:r>
      <w:r>
        <w:t xml:space="preserve"> organisations, are only able to receive their funding from:</w:t>
      </w:r>
    </w:p>
    <w:p w14:paraId="0887A9F4" w14:textId="439182C2" w:rsidR="003C0D9D" w:rsidRPr="00D43A86" w:rsidRDefault="003209A5" w:rsidP="009D38AF">
      <w:pPr>
        <w:pStyle w:val="Bulletpoint"/>
      </w:pPr>
      <w:r>
        <w:t>t</w:t>
      </w:r>
      <w:r w:rsidR="003C0D9D" w:rsidRPr="00D43A86">
        <w:t>axes – which in this case is rates</w:t>
      </w:r>
    </w:p>
    <w:p w14:paraId="578F9A48" w14:textId="32F94DC4" w:rsidR="003C0D9D" w:rsidRDefault="003209A5" w:rsidP="009D38AF">
      <w:pPr>
        <w:pStyle w:val="Bulletpoint"/>
      </w:pPr>
      <w:r>
        <w:t>f</w:t>
      </w:r>
      <w:r w:rsidR="003C0D9D" w:rsidRPr="00D43A86">
        <w:t>ees and charges –</w:t>
      </w:r>
      <w:r w:rsidR="003C0D9D">
        <w:t>such as</w:t>
      </w:r>
      <w:r w:rsidR="003C0D9D" w:rsidRPr="00D43A86">
        <w:t xml:space="preserve"> charges for services such as library fees and building consent fees, and water</w:t>
      </w:r>
    </w:p>
    <w:p w14:paraId="3B1E8F2D" w14:textId="114AE855" w:rsidR="003C0D9D" w:rsidRPr="00D43A86" w:rsidRDefault="003209A5" w:rsidP="007917C4">
      <w:pPr>
        <w:pStyle w:val="Bulletpoint"/>
      </w:pPr>
      <w:r>
        <w:t>g</w:t>
      </w:r>
      <w:r w:rsidR="003C0D9D" w:rsidRPr="00D43A86">
        <w:t>rants or subsidies – From NZTA, MBIE, or other government agencies. All usually ultimately funded from taxes co</w:t>
      </w:r>
      <w:r w:rsidR="003C0D9D">
        <w:t>llected by someone else, and often closely matched to expenditure (i.e. an increase in grants received is likely to be accompanied with an increase in costs)</w:t>
      </w:r>
    </w:p>
    <w:p w14:paraId="1D47F1A9" w14:textId="5809703E" w:rsidR="003C0D9D" w:rsidRDefault="003C0D9D" w:rsidP="009D38AF">
      <w:pPr>
        <w:pStyle w:val="Bulletpoint"/>
      </w:pPr>
      <w:r w:rsidRPr="00D43A86">
        <w:t>Investment revenue – e.g. from money invested in the bank, Council contro</w:t>
      </w:r>
      <w:r>
        <w:t>lled organisations, or property</w:t>
      </w:r>
      <w:r w:rsidR="008766A3">
        <w:t>.</w:t>
      </w:r>
    </w:p>
    <w:p w14:paraId="1C4CA0F4" w14:textId="69ADD823" w:rsidR="0016032E" w:rsidRPr="003246FA" w:rsidRDefault="0016032E" w:rsidP="004A372C">
      <w:pPr>
        <w:pStyle w:val="ListParagraph"/>
      </w:pPr>
      <w:r>
        <w:t>The level of income a council receives from each of the above will vary depending on a number of factors, including whether the council is experiencing high levels of growth and the extent to which a council considers that the services it provides should be ‘user pays’ or are ‘public good’. While no approach is specifically right or wrong, changing the level to which services are paid for by rates can influence how affordable rates are considered to be, particularly for those people that do not use many of the s</w:t>
      </w:r>
      <w:r w:rsidR="007917C4">
        <w:t>ervices provided by a council.</w:t>
      </w:r>
    </w:p>
    <w:p w14:paraId="2214FEC9" w14:textId="3A82B665" w:rsidR="00EA0B5E" w:rsidRDefault="00A75430" w:rsidP="004A372C">
      <w:pPr>
        <w:pStyle w:val="ListParagraph"/>
      </w:pPr>
      <w:r>
        <w:t>That means</w:t>
      </w:r>
      <w:r w:rsidR="001E3B8E">
        <w:t xml:space="preserve"> w</w:t>
      </w:r>
      <w:r w:rsidR="00EA0B5E">
        <w:t>hen considering rates affordability</w:t>
      </w:r>
      <w:r w:rsidR="001E3B8E">
        <w:t xml:space="preserve"> </w:t>
      </w:r>
      <w:r w:rsidR="00EA0B5E">
        <w:t>and the affordability of services provided by local government as a whole, it is important to look</w:t>
      </w:r>
      <w:r w:rsidR="001E3B8E">
        <w:t xml:space="preserve"> not just at rates but also </w:t>
      </w:r>
      <w:r w:rsidR="00EA0B5E">
        <w:t>the way in which c</w:t>
      </w:r>
      <w:r w:rsidR="007917C4">
        <w:t>ouncils receive their funding.</w:t>
      </w:r>
    </w:p>
    <w:p w14:paraId="7C413A29" w14:textId="7EF0D155" w:rsidR="0016032E" w:rsidRPr="00B836C4" w:rsidRDefault="0016032E" w:rsidP="007C0AF1">
      <w:pPr>
        <w:pStyle w:val="ListParagraph"/>
      </w:pPr>
      <w:r>
        <w:t xml:space="preserve">In </w:t>
      </w:r>
      <w:r>
        <w:fldChar w:fldCharType="begin"/>
      </w:r>
      <w:r>
        <w:instrText xml:space="preserve"> REF _Ref520300279 \h </w:instrText>
      </w:r>
      <w:r>
        <w:fldChar w:fldCharType="separate"/>
      </w:r>
      <w:r w:rsidR="00A00D18">
        <w:t xml:space="preserve">Figure </w:t>
      </w:r>
      <w:r w:rsidR="00A00D18">
        <w:rPr>
          <w:noProof/>
        </w:rPr>
        <w:t>3</w:t>
      </w:r>
      <w:r>
        <w:fldChar w:fldCharType="end"/>
      </w:r>
      <w:r w:rsidR="007C0AF1">
        <w:t>3</w:t>
      </w:r>
      <w:r>
        <w:t xml:space="preserve"> below, we show a breakdown of revenue by source for the </w:t>
      </w:r>
      <w:r w:rsidR="004457D7">
        <w:t>fifteen</w:t>
      </w:r>
      <w:r>
        <w:t xml:space="preserve"> councils included in our study. For the purposes of this analysis, revenue from development contributions, financial contributions and vested assets has been excluded as this revenue cannot be applied towards the day to day operations of council (and is closely linked to the capital expenditure which it funds).</w:t>
      </w:r>
    </w:p>
    <w:p w14:paraId="6189E5CE" w14:textId="5216FF3D" w:rsidR="001E3B8E" w:rsidRDefault="0016032E" w:rsidP="004A372C">
      <w:pPr>
        <w:pStyle w:val="ListParagraph"/>
      </w:pPr>
      <w:r>
        <w:t>The data suggests that councils typically collect around 60% of their revenue from rates, with an additional 15 – 30 % coming from ‘other income’. However, there is a large range, with councils receiving as little as 49% of their revenue from rates through to as much as 74%.</w:t>
      </w:r>
      <w:r w:rsidR="001E3B8E" w:rsidRPr="001E3B8E">
        <w:t xml:space="preserve"> </w:t>
      </w:r>
      <w:r w:rsidR="001E3B8E" w:rsidRPr="003246FA">
        <w:t>Interestingly, there appears to be no strong trend within local government to switch to a more or l</w:t>
      </w:r>
      <w:r w:rsidR="007917C4">
        <w:t>ess equitable method of rating.</w:t>
      </w:r>
    </w:p>
    <w:p w14:paraId="21AF8E37" w14:textId="7E4C633A" w:rsidR="001E3B8E" w:rsidRDefault="001E3B8E" w:rsidP="004A372C">
      <w:pPr>
        <w:pStyle w:val="ListParagraph"/>
      </w:pPr>
      <w:r w:rsidRPr="003246FA">
        <w:t xml:space="preserve">Within the 2018 draft </w:t>
      </w:r>
      <w:r w:rsidR="00465FBD">
        <w:t>Long Term P</w:t>
      </w:r>
      <w:r w:rsidR="007917C4">
        <w:t>la</w:t>
      </w:r>
      <w:r w:rsidR="00C74548">
        <w:t>ns</w:t>
      </w:r>
      <w:r w:rsidRPr="003246FA">
        <w:t>, we have observed councils both increasing and decreasing rates differentials and universal annual general charges for a variety of reasons</w:t>
      </w:r>
      <w:r>
        <w:t>.</w:t>
      </w:r>
      <w:r w:rsidRPr="003246FA">
        <w:t xml:space="preserve"> This has varying impacts on affordability for different groups, with high UAGCs meaning ratepayers with lower capital value properties paying proportionally more rates, and vice versa. Typically, rural councils appear to be more likely to set UAGCs at the maximum level of 30%, this may reflect the demographics of their rating base.</w:t>
      </w:r>
    </w:p>
    <w:p w14:paraId="3DF0AB1F" w14:textId="77777777" w:rsidR="007917C4" w:rsidRDefault="007917C4">
      <w:pPr>
        <w:spacing w:before="200" w:after="200" w:line="276" w:lineRule="auto"/>
        <w:rPr>
          <w:rFonts w:eastAsia="Times New Roman" w:cs="Times New Roman"/>
          <w:color w:val="404142" w:themeColor="accent3" w:themeShade="80"/>
          <w:lang w:val="en-AU"/>
        </w:rPr>
      </w:pPr>
      <w:r>
        <w:br w:type="page"/>
      </w:r>
    </w:p>
    <w:p w14:paraId="57278240" w14:textId="61BD8052" w:rsidR="00A75430" w:rsidRPr="00A75430" w:rsidRDefault="00A75430" w:rsidP="004A372C">
      <w:pPr>
        <w:pStyle w:val="ListParagraph"/>
      </w:pPr>
      <w:r w:rsidRPr="00A75430">
        <w:t>In communities with high levels of deprivation, where affordability of rates is a particularly pressing issue, challenges also exist in the manner in which fees and charges are increased. While some fees and charges (particularly in the regulatory and compliance areas of councils) are more likely to fall on those with the capacity to pay (e.g. businesses, house builders, and developers), increasing fees in other areas (e.g. library, community halls and swimming pools) may limit access to those facilities for those on fixed or lower incomes.</w:t>
      </w:r>
    </w:p>
    <w:p w14:paraId="4321878F" w14:textId="7E4F74B4" w:rsidR="0016032E" w:rsidRDefault="0016032E" w:rsidP="0016032E">
      <w:pPr>
        <w:pStyle w:val="Caption"/>
      </w:pPr>
      <w:bookmarkStart w:id="10" w:name="_Ref518309997"/>
      <w:bookmarkStart w:id="11" w:name="_Ref520300279"/>
      <w:bookmarkStart w:id="12" w:name="_Toc516746898"/>
      <w:bookmarkStart w:id="13" w:name="_Ref518309979"/>
      <w:bookmarkStart w:id="14" w:name="_Toc520900257"/>
      <w:r>
        <w:t xml:space="preserve">Figure </w:t>
      </w:r>
      <w:r>
        <w:fldChar w:fldCharType="begin"/>
      </w:r>
      <w:r>
        <w:instrText xml:space="preserve"> SEQ Figure \* ARABIC </w:instrText>
      </w:r>
      <w:r>
        <w:fldChar w:fldCharType="separate"/>
      </w:r>
      <w:r w:rsidR="00A00D18">
        <w:rPr>
          <w:noProof/>
        </w:rPr>
        <w:t>3</w:t>
      </w:r>
      <w:r>
        <w:fldChar w:fldCharType="end"/>
      </w:r>
      <w:bookmarkEnd w:id="10"/>
      <w:bookmarkEnd w:id="11"/>
      <w:r>
        <w:tab/>
        <w:t>Breakdown of revenue sources – average over LTP period, sorted by rates revenue</w:t>
      </w:r>
      <w:bookmarkEnd w:id="12"/>
      <w:bookmarkEnd w:id="13"/>
      <w:bookmarkEnd w:id="14"/>
    </w:p>
    <w:p w14:paraId="785A5615" w14:textId="77777777" w:rsidR="0016032E" w:rsidRDefault="0016032E" w:rsidP="0016032E">
      <w:pPr>
        <w:pStyle w:val="Body"/>
      </w:pPr>
      <w:r>
        <w:rPr>
          <w:noProof/>
          <w:lang w:eastAsia="en-NZ"/>
        </w:rPr>
        <w:drawing>
          <wp:inline distT="0" distB="0" distL="0" distR="0" wp14:anchorId="30EE37DF" wp14:editId="3DE22733">
            <wp:extent cx="6198781" cy="439440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8079" cy="4393904"/>
                    </a:xfrm>
                    <a:prstGeom prst="rect">
                      <a:avLst/>
                    </a:prstGeom>
                    <a:noFill/>
                  </pic:spPr>
                </pic:pic>
              </a:graphicData>
            </a:graphic>
          </wp:inline>
        </w:drawing>
      </w:r>
    </w:p>
    <w:p w14:paraId="2EAEE2D1" w14:textId="005CBB3B" w:rsidR="0016032E" w:rsidRDefault="001E3B8E" w:rsidP="007C0AF1">
      <w:pPr>
        <w:pStyle w:val="ListParagraph"/>
      </w:pPr>
      <w:r>
        <w:t>A</w:t>
      </w:r>
      <w:r w:rsidR="0016032E" w:rsidRPr="00E57C01">
        <w:t xml:space="preserve">nalysis of the 2015 LTP data shows councils typically maintaining, or increasing, the share of revenue that they receive from rates over time while decreasing their reliance on “other income” and grants and subsidies, as demonstrated in </w:t>
      </w:r>
      <w:r w:rsidR="00A8719B">
        <w:t>Figure</w:t>
      </w:r>
      <w:r w:rsidR="007C0AF1">
        <w:t>4</w:t>
      </w:r>
      <w:r w:rsidR="0016032E">
        <w:t xml:space="preserve"> </w:t>
      </w:r>
      <w:r w:rsidR="0016032E" w:rsidRPr="00E57C01">
        <w:t>below.</w:t>
      </w:r>
      <w:r>
        <w:t xml:space="preserve"> The compounding effect of this is to place further upward pressure on rates as an increasing share of increasing costs are funded by rates</w:t>
      </w:r>
      <w:r w:rsidR="003209A5">
        <w:t>.</w:t>
      </w:r>
    </w:p>
    <w:p w14:paraId="1CCBD4ED" w14:textId="77777777" w:rsidR="007917C4" w:rsidRDefault="007917C4">
      <w:pPr>
        <w:spacing w:before="200" w:after="200" w:line="276" w:lineRule="auto"/>
        <w:rPr>
          <w:rFonts w:asciiTheme="minorHAnsi" w:hAnsiTheme="minorHAnsi"/>
          <w:b/>
          <w:color w:val="404142" w:themeColor="accent3" w:themeShade="80"/>
          <w:szCs w:val="28"/>
        </w:rPr>
      </w:pPr>
      <w:bookmarkStart w:id="15" w:name="_Ref518310033"/>
      <w:bookmarkStart w:id="16" w:name="_Toc516746899"/>
      <w:r>
        <w:br w:type="page"/>
      </w:r>
    </w:p>
    <w:p w14:paraId="06403236" w14:textId="4B94AC9F" w:rsidR="0016032E" w:rsidRDefault="0016032E" w:rsidP="0016032E">
      <w:pPr>
        <w:pStyle w:val="Caption"/>
      </w:pPr>
      <w:bookmarkStart w:id="17" w:name="_Toc520900258"/>
      <w:r>
        <w:t xml:space="preserve">Figure </w:t>
      </w:r>
      <w:r>
        <w:fldChar w:fldCharType="begin"/>
      </w:r>
      <w:r>
        <w:instrText xml:space="preserve"> SEQ Figure \* ARABIC </w:instrText>
      </w:r>
      <w:r>
        <w:fldChar w:fldCharType="separate"/>
      </w:r>
      <w:r w:rsidR="00A00D18">
        <w:rPr>
          <w:noProof/>
        </w:rPr>
        <w:t>4</w:t>
      </w:r>
      <w:r>
        <w:fldChar w:fldCharType="end"/>
      </w:r>
      <w:bookmarkEnd w:id="15"/>
      <w:r>
        <w:tab/>
      </w:r>
      <w:r w:rsidRPr="00A863D3">
        <w:rPr>
          <w:lang w:val="en-US"/>
        </w:rPr>
        <w:t xml:space="preserve">Breakdown of revenue by source </w:t>
      </w:r>
      <w:r>
        <w:t>over time</w:t>
      </w:r>
      <w:bookmarkEnd w:id="16"/>
      <w:r>
        <w:rPr>
          <w:rStyle w:val="FootnoteReference"/>
        </w:rPr>
        <w:footnoteReference w:id="3"/>
      </w:r>
      <w:bookmarkEnd w:id="17"/>
    </w:p>
    <w:p w14:paraId="67D303A0" w14:textId="77777777" w:rsidR="0016032E" w:rsidRPr="00522576" w:rsidRDefault="0016032E" w:rsidP="0016032E">
      <w:pPr>
        <w:tabs>
          <w:tab w:val="left" w:pos="2977"/>
        </w:tabs>
      </w:pPr>
      <w:r>
        <w:rPr>
          <w:noProof/>
          <w:lang w:eastAsia="en-NZ"/>
        </w:rPr>
        <w:drawing>
          <wp:inline distT="0" distB="0" distL="0" distR="0" wp14:anchorId="2806AA6B" wp14:editId="726A0620">
            <wp:extent cx="6202018" cy="3843131"/>
            <wp:effectExtent l="0" t="0" r="27940" b="2413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37AEFD0" w14:textId="557D376D" w:rsidR="0016032E" w:rsidRDefault="0016032E" w:rsidP="004A372C">
      <w:pPr>
        <w:pStyle w:val="ListParagraph"/>
      </w:pPr>
      <w:r>
        <w:t>Similarly, councils appear to be predicting a slight decrease in their reliance on grants and subsidies, with an average reduction of 3.9% per annum in real terms</w:t>
      </w:r>
      <w:r w:rsidR="00A75430">
        <w:t xml:space="preserve"> across the group of councils</w:t>
      </w:r>
      <w:r>
        <w:t xml:space="preserve"> (and only three councils reporting an increase in per ratepayer grants and subsidies). Again, decreases in the amount received in the form of grants and subsidies will put upward pressure on rates, although because grants are often accompanied with increased expenditure, the impact of this is likely to be softened.</w:t>
      </w:r>
    </w:p>
    <w:p w14:paraId="4E4EE956" w14:textId="77777777" w:rsidR="0016032E" w:rsidRPr="009128F6" w:rsidRDefault="0016032E" w:rsidP="00A75430">
      <w:pPr>
        <w:pStyle w:val="Heading3"/>
      </w:pPr>
      <w:r w:rsidRPr="009128F6">
        <w:t>Section summary</w:t>
      </w:r>
    </w:p>
    <w:p w14:paraId="445A5BF0" w14:textId="7C7B8E61" w:rsidR="0016032E" w:rsidRDefault="0016032E" w:rsidP="004A372C">
      <w:pPr>
        <w:pStyle w:val="ListParagraph"/>
      </w:pPr>
      <w:r>
        <w:t xml:space="preserve">Councils are limited in the ways in which they are able </w:t>
      </w:r>
      <w:r w:rsidR="00A25FE1">
        <w:t xml:space="preserve">to </w:t>
      </w:r>
      <w:r>
        <w:t>fund their operations.  Funding options available to councils are typically limited to:</w:t>
      </w:r>
    </w:p>
    <w:p w14:paraId="5985DBE7" w14:textId="43210A5F" w:rsidR="0016032E" w:rsidRDefault="004A372C" w:rsidP="009D38AF">
      <w:pPr>
        <w:pStyle w:val="Bulletpoint"/>
      </w:pPr>
      <w:r>
        <w:t>taxes – specifically rates (including general and targeted rates)</w:t>
      </w:r>
    </w:p>
    <w:p w14:paraId="7F522553" w14:textId="485A49CD" w:rsidR="0016032E" w:rsidRDefault="004A372C" w:rsidP="009D38AF">
      <w:pPr>
        <w:pStyle w:val="Bulletpoint"/>
      </w:pPr>
      <w:r>
        <w:t>fees and charges – which typically relate to the provision of a specific service (e.g. building consent processing fees); these often have some level of matching cost</w:t>
      </w:r>
    </w:p>
    <w:p w14:paraId="0D6EDD63" w14:textId="5E9AD2A8" w:rsidR="0016032E" w:rsidRDefault="004A372C" w:rsidP="009D38AF">
      <w:pPr>
        <w:pStyle w:val="Bulletpoint"/>
      </w:pPr>
      <w:r>
        <w:t>grants and subsidies – which are often closely associated with an increase in costs as they are for specific purposes</w:t>
      </w:r>
    </w:p>
    <w:p w14:paraId="712FD8BB" w14:textId="669C7A9F" w:rsidR="0016032E" w:rsidRDefault="004A372C" w:rsidP="009D38AF">
      <w:pPr>
        <w:pStyle w:val="Bulletpoint"/>
      </w:pPr>
      <w:r>
        <w:t>inves</w:t>
      </w:r>
      <w:r w:rsidR="0016032E">
        <w:t>tment income – from subsidiaries’ operations or interest; this is usually very small</w:t>
      </w:r>
      <w:r>
        <w:t>.</w:t>
      </w:r>
    </w:p>
    <w:p w14:paraId="539A7FDC" w14:textId="30506E37" w:rsidR="0016032E" w:rsidRDefault="0016032E" w:rsidP="00A25FE1">
      <w:pPr>
        <w:pStyle w:val="ListParagraph"/>
      </w:pPr>
      <w:r>
        <w:t>Rates are the most significant of these revenue sources for councils</w:t>
      </w:r>
      <w:r w:rsidR="00A25FE1">
        <w:t>,</w:t>
      </w:r>
      <w:r>
        <w:t xml:space="preserve"> and are the revenue source that councils are most able to control and have th</w:t>
      </w:r>
      <w:r w:rsidR="007917C4">
        <w:t>e most guarantee of receiving.</w:t>
      </w:r>
    </w:p>
    <w:p w14:paraId="6927F38F" w14:textId="5F74D4C3" w:rsidR="0016032E" w:rsidRDefault="0016032E" w:rsidP="004A372C">
      <w:pPr>
        <w:pStyle w:val="ListParagraph"/>
      </w:pPr>
      <w:r>
        <w:t>Typically, rates comprise about 60% of a council’s income, but this varies significantly across different councils. This means changes in cost structures are likely to impact rates the most. Further, councils are projecting to become more and more reliant on rates as a source of revenue over time.</w:t>
      </w:r>
    </w:p>
    <w:p w14:paraId="3CB7B095" w14:textId="20133434" w:rsidR="0016032E" w:rsidRDefault="0016032E" w:rsidP="004A372C">
      <w:pPr>
        <w:pStyle w:val="ListParagraph"/>
      </w:pPr>
      <w:r>
        <w:t>While revenue from rates is projected to increase faster than inflation, this is not the case for revenue from fees and charges, grants, and other types of income. This is creating further upward pressure on rates.</w:t>
      </w:r>
    </w:p>
    <w:p w14:paraId="6DFE12BA" w14:textId="172A6AF4" w:rsidR="0016032E" w:rsidRDefault="0016032E" w:rsidP="004A372C">
      <w:pPr>
        <w:pStyle w:val="ListParagraph"/>
      </w:pPr>
      <w:r>
        <w:t xml:space="preserve">When considering the extent to which they intend to rely on rates as a founding source, councils must be mindful of equity issues. By increasing reliance on rates, councils are adopting an approach that a large portion of their activities are carried out for the public good. Where councils rely more heavily on fees and charges to fund operations, they have adopted an approach that suggests that users of services are the primary beneficiaries, and accordingly they should pay </w:t>
      </w:r>
      <w:r w:rsidR="007917C4">
        <w:t>for the services they receive.</w:t>
      </w:r>
    </w:p>
    <w:p w14:paraId="4721582A" w14:textId="28A68433" w:rsidR="0016032E" w:rsidRPr="00545792" w:rsidRDefault="0016032E" w:rsidP="004A372C">
      <w:pPr>
        <w:pStyle w:val="ListParagraph"/>
      </w:pPr>
      <w:r w:rsidRPr="00545792">
        <w:t xml:space="preserve">In some cases, fees and charges may also be altered in order to influence or alter behaviour. This may have an impact on the composition of a </w:t>
      </w:r>
      <w:r w:rsidR="007917C4" w:rsidRPr="00545792">
        <w:t>council’s</w:t>
      </w:r>
      <w:r w:rsidRPr="00545792">
        <w:t xml:space="preserve"> income source. Examples where this may occur include:</w:t>
      </w:r>
    </w:p>
    <w:p w14:paraId="654020FE" w14:textId="77777777" w:rsidR="0016032E" w:rsidRPr="00545792" w:rsidRDefault="0016032E" w:rsidP="009D38AF">
      <w:pPr>
        <w:pStyle w:val="Bulletpoint"/>
      </w:pPr>
      <w:r w:rsidRPr="00545792">
        <w:t>increasing fees for rubbish disposal to encourage recycling and diversion of waste</w:t>
      </w:r>
    </w:p>
    <w:p w14:paraId="683E9307" w14:textId="77777777" w:rsidR="0016032E" w:rsidRPr="00545792" w:rsidRDefault="0016032E" w:rsidP="009D38AF">
      <w:pPr>
        <w:pStyle w:val="Bulletpoint"/>
      </w:pPr>
      <w:r w:rsidRPr="00545792">
        <w:t>increasing late payment fees for dog registration or offering discounted fees for responsible owners, to encourage good behaviour</w:t>
      </w:r>
    </w:p>
    <w:p w14:paraId="439B5CD1" w14:textId="77777777" w:rsidR="0016032E" w:rsidRPr="00545792" w:rsidRDefault="0016032E" w:rsidP="009D38AF">
      <w:pPr>
        <w:pStyle w:val="Bulletpoint"/>
      </w:pPr>
      <w:r w:rsidRPr="00545792">
        <w:t>increasing parking fees or more rigorous enforcement behaviour to encourage turnover of parks in high traffic areas and to encourage payment of parking fees.</w:t>
      </w:r>
    </w:p>
    <w:p w14:paraId="3A449FA2" w14:textId="5155BE9F" w:rsidR="0016032E" w:rsidRPr="00545792" w:rsidRDefault="0016032E" w:rsidP="004A372C">
      <w:pPr>
        <w:pStyle w:val="ListParagraph"/>
      </w:pPr>
      <w:r w:rsidRPr="00545792">
        <w:t>The majority of the changes to fees and charges that we have observed as being accepted by politicians and the community relate to these types of behaviour influencing decisions. While these non-financial decisions alter the composition of revenue received by a council, they are not often the result of a conscious effort to broaden a revenue base.</w:t>
      </w:r>
    </w:p>
    <w:p w14:paraId="75ACDE4B" w14:textId="189001C9" w:rsidR="0016032E" w:rsidRPr="00545792" w:rsidRDefault="0016032E" w:rsidP="004A372C">
      <w:pPr>
        <w:pStyle w:val="ListParagraph"/>
      </w:pPr>
      <w:r w:rsidRPr="00545792">
        <w:t xml:space="preserve">We consider that the increased reliance on rates that we observed in our analysis of the sample councils is one of the factors that </w:t>
      </w:r>
      <w:r w:rsidR="007917C4">
        <w:t>are</w:t>
      </w:r>
      <w:r w:rsidRPr="00545792">
        <w:t xml:space="preserve"> contributing to the dec</w:t>
      </w:r>
      <w:r w:rsidR="007917C4">
        <w:t>reasing affordability of rates.</w:t>
      </w:r>
    </w:p>
    <w:p w14:paraId="2D4AB718" w14:textId="1EA631F5" w:rsidR="0016032E" w:rsidRDefault="00A75430" w:rsidP="0016032E">
      <w:pPr>
        <w:pStyle w:val="Heading2"/>
      </w:pPr>
      <w:bookmarkStart w:id="18" w:name="_Toc520703180"/>
      <w:r>
        <w:t>Rates</w:t>
      </w:r>
      <w:bookmarkEnd w:id="18"/>
    </w:p>
    <w:p w14:paraId="1C539855" w14:textId="67A14286" w:rsidR="004A3800" w:rsidRDefault="004A3800" w:rsidP="004A372C">
      <w:pPr>
        <w:pStyle w:val="ListParagraph"/>
      </w:pPr>
      <w:r>
        <w:t>Rates are the primary source of funding for all councils in New Zealand and are effectively set by reference to a council’s “funding gap”. That is, once a council has determined the costs that it will incur to deliver services to its community, and the amount of revenue it will receive from other sources, the total rates revenu</w:t>
      </w:r>
      <w:r w:rsidR="007917C4">
        <w:t>e required is then determined.</w:t>
      </w:r>
    </w:p>
    <w:p w14:paraId="27248117" w14:textId="561C7B7A" w:rsidR="004A3800" w:rsidRDefault="004A3800" w:rsidP="004A372C">
      <w:pPr>
        <w:pStyle w:val="ListParagraph"/>
      </w:pPr>
      <w:r>
        <w:t>While there is no legislative limit on the amount of rates a council may collect, or the annual percentage by which rates may be increased, rates rises must be accepted by the community and its elected representatives. The rates rises proposed for any year are set out in a council</w:t>
      </w:r>
      <w:r w:rsidR="004A372C">
        <w:t>’</w:t>
      </w:r>
      <w:r>
        <w:t>s draft</w:t>
      </w:r>
      <w:r w:rsidR="00465FBD">
        <w:t xml:space="preserve"> Long Term Pla</w:t>
      </w:r>
      <w:r>
        <w:t>n or annual plan, and put forward for consultation with the community. It is only after this consultation has occurred that councils agree final budgets and rates rises.</w:t>
      </w:r>
    </w:p>
    <w:p w14:paraId="6051399C" w14:textId="7BCE1AEA" w:rsidR="004A3800" w:rsidRDefault="008A3401" w:rsidP="004A372C">
      <w:pPr>
        <w:pStyle w:val="ListParagraph"/>
      </w:pPr>
      <w:r>
        <w:t xml:space="preserve">In this sense, the rates rises that are implemented by councils </w:t>
      </w:r>
      <w:r w:rsidR="007B361B">
        <w:t>are a product of the democratic system involving the community, elected members, and officials.</w:t>
      </w:r>
    </w:p>
    <w:p w14:paraId="3FFDDE1B" w14:textId="77777777" w:rsidR="007917C4" w:rsidRDefault="007917C4">
      <w:pPr>
        <w:spacing w:before="200" w:after="200" w:line="276" w:lineRule="auto"/>
        <w:rPr>
          <w:rFonts w:eastAsia="Times New Roman" w:cs="Times New Roman"/>
          <w:color w:val="404142" w:themeColor="accent3" w:themeShade="80"/>
          <w:lang w:val="en-AU"/>
        </w:rPr>
      </w:pPr>
      <w:r>
        <w:br w:type="page"/>
      </w:r>
    </w:p>
    <w:p w14:paraId="2B3C300E" w14:textId="28D2F496" w:rsidR="00EA0C78" w:rsidRPr="004D64FB" w:rsidRDefault="003E225F" w:rsidP="004A372C">
      <w:pPr>
        <w:pStyle w:val="ListParagraph"/>
      </w:pPr>
      <w:r>
        <w:t>A</w:t>
      </w:r>
      <w:r w:rsidR="00EA0C78" w:rsidRPr="0083227F">
        <w:t xml:space="preserve"> key underlying focus of this report is the issue of rates affordability and whether the current local government funding system is affordable and sustainable for communities throughout New Zealand. While the report discusses a number of issues including pressures on infrastructure costs from growth, tourism and </w:t>
      </w:r>
      <w:r w:rsidR="00EA0C78" w:rsidRPr="004D64FB">
        <w:t>climate change, these issues are considered in the context of the impact that those costs may have on rates.</w:t>
      </w:r>
    </w:p>
    <w:p w14:paraId="3F0C5DD5" w14:textId="045B8A23" w:rsidR="00EA0C78" w:rsidRDefault="00EA0C78" w:rsidP="004A372C">
      <w:pPr>
        <w:pStyle w:val="ListParagraph"/>
      </w:pPr>
      <w:r w:rsidRPr="004D64FB">
        <w:t xml:space="preserve">Measuring and assessing the affordability of rates in New Zealand is a complex challenge, and while we present a number of measures of affordability and discuss potential approaches, we do not attempt to make an assessment about whether rates </w:t>
      </w:r>
      <w:r>
        <w:t xml:space="preserve">as a whole </w:t>
      </w:r>
      <w:r w:rsidRPr="004D64FB">
        <w:t>are affordable or not.</w:t>
      </w:r>
    </w:p>
    <w:p w14:paraId="68966C1C" w14:textId="7699BA7D" w:rsidR="00B126F0" w:rsidRDefault="004412E5" w:rsidP="0016032E">
      <w:pPr>
        <w:pStyle w:val="Heading3"/>
      </w:pPr>
      <w:r>
        <w:t>Annual rate increases</w:t>
      </w:r>
    </w:p>
    <w:p w14:paraId="66F35A90" w14:textId="27DED64B" w:rsidR="009128F6" w:rsidRDefault="009128F6" w:rsidP="004A372C">
      <w:pPr>
        <w:pStyle w:val="ListParagraph"/>
      </w:pPr>
      <w:r>
        <w:t xml:space="preserve">One of the simplest ways of considering whether rates are affordable or not is to examine the annual increases in rates that are proposed by councils. Although a percentage rates rise alone is not sufficient to determine whether rates are becoming unaffordable (as a reference comparator is required), sustained increases in rates at levels that are likely to be above inflation will </w:t>
      </w:r>
      <w:r w:rsidR="00A75430">
        <w:t>eventually, be un</w:t>
      </w:r>
      <w:r w:rsidR="007917C4">
        <w:t>affordable.</w:t>
      </w:r>
    </w:p>
    <w:p w14:paraId="080D828D" w14:textId="68D56BE2" w:rsidR="00A67CB2" w:rsidRDefault="00A75430" w:rsidP="007C0AF1">
      <w:pPr>
        <w:pStyle w:val="ListParagraph"/>
      </w:pPr>
      <w:r>
        <w:t xml:space="preserve">Figure </w:t>
      </w:r>
      <w:r w:rsidR="007C0AF1">
        <w:t>5</w:t>
      </w:r>
      <w:r w:rsidR="00B126F0">
        <w:t xml:space="preserve"> below shows the distribution of year on year percentage increases in total rates revenue across the New Zealand local government sector. </w:t>
      </w:r>
    </w:p>
    <w:p w14:paraId="6DBE54E5" w14:textId="17E0B254" w:rsidR="00B126F0" w:rsidRDefault="00B126F0" w:rsidP="004A372C">
      <w:pPr>
        <w:pStyle w:val="ListParagraph"/>
      </w:pPr>
      <w:r>
        <w:t>It is important to note that while this chart may be indicative of the level of rates rises proposed in the 2015</w:t>
      </w:r>
      <w:r w:rsidR="004457D7">
        <w:t xml:space="preserve"> </w:t>
      </w:r>
      <w:r w:rsidR="00465FBD">
        <w:t>Long Term Plan</w:t>
      </w:r>
      <w:r w:rsidR="00C74548">
        <w:t>s</w:t>
      </w:r>
      <w:r>
        <w:t xml:space="preserve">, the data in this chart focuses specifically on total rates revenue and thus ignores the impact that growth and decline </w:t>
      </w:r>
      <w:r w:rsidR="00A67CB2">
        <w:t xml:space="preserve">have on </w:t>
      </w:r>
      <w:r w:rsidR="00A75430">
        <w:t xml:space="preserve">the amount an </w:t>
      </w:r>
      <w:r w:rsidR="00A67CB2">
        <w:t>individual</w:t>
      </w:r>
      <w:r w:rsidR="00A75430">
        <w:t xml:space="preserve"> household pays.</w:t>
      </w:r>
      <w:r w:rsidR="004412E5">
        <w:t xml:space="preserve"> It is also important to note that there is a compounding effect of year on year rate increases.</w:t>
      </w:r>
    </w:p>
    <w:p w14:paraId="39CBD685" w14:textId="77777777" w:rsidR="00B126F0" w:rsidRDefault="00B126F0" w:rsidP="004A372C">
      <w:pPr>
        <w:pStyle w:val="ListParagraph"/>
      </w:pPr>
      <w:r>
        <w:t>The chart also does not account for rises outside of rates, such as water fees and charges or charges for services delivered by the private sector (e.g. waste collection).</w:t>
      </w:r>
    </w:p>
    <w:p w14:paraId="3F2FA27D" w14:textId="77777777" w:rsidR="007917C4" w:rsidRDefault="007917C4">
      <w:pPr>
        <w:spacing w:before="200" w:after="200" w:line="276" w:lineRule="auto"/>
        <w:rPr>
          <w:rFonts w:asciiTheme="minorHAnsi" w:hAnsiTheme="minorHAnsi"/>
          <w:b/>
          <w:color w:val="404142" w:themeColor="accent3" w:themeShade="80"/>
          <w:szCs w:val="28"/>
        </w:rPr>
      </w:pPr>
      <w:bookmarkStart w:id="19" w:name="_Ref520299173"/>
      <w:bookmarkStart w:id="20" w:name="_Toc516746881"/>
      <w:r>
        <w:br w:type="page"/>
      </w:r>
    </w:p>
    <w:p w14:paraId="58E5DE89" w14:textId="5872E927" w:rsidR="00B126F0" w:rsidRDefault="00B126F0" w:rsidP="00B126F0">
      <w:pPr>
        <w:pStyle w:val="Caption"/>
      </w:pPr>
      <w:bookmarkStart w:id="21" w:name="_Toc520900259"/>
      <w:r>
        <w:t xml:space="preserve">Figure </w:t>
      </w:r>
      <w:r>
        <w:fldChar w:fldCharType="begin"/>
      </w:r>
      <w:r>
        <w:instrText xml:space="preserve"> SEQ Figure \* ARABIC </w:instrText>
      </w:r>
      <w:r>
        <w:fldChar w:fldCharType="separate"/>
      </w:r>
      <w:r w:rsidR="00A00D18">
        <w:rPr>
          <w:noProof/>
        </w:rPr>
        <w:t>5</w:t>
      </w:r>
      <w:r>
        <w:fldChar w:fldCharType="end"/>
      </w:r>
      <w:bookmarkEnd w:id="19"/>
      <w:r>
        <w:tab/>
        <w:t>Forecast year on year percentage increases in total rates revenue – all councils 2015 LTP</w:t>
      </w:r>
      <w:bookmarkEnd w:id="20"/>
      <w:bookmarkEnd w:id="21"/>
    </w:p>
    <w:p w14:paraId="0597019E" w14:textId="77777777" w:rsidR="00B126F0" w:rsidRDefault="00B126F0" w:rsidP="00B126F0">
      <w:r>
        <w:rPr>
          <w:noProof/>
          <w:lang w:eastAsia="en-NZ"/>
        </w:rPr>
        <w:drawing>
          <wp:inline distT="0" distB="0" distL="0" distR="0" wp14:anchorId="10D3BC62" wp14:editId="0ABBA054">
            <wp:extent cx="5950226" cy="3790122"/>
            <wp:effectExtent l="0" t="0" r="12700" b="2032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D25C7B1" w14:textId="7767F152" w:rsidR="00B126F0" w:rsidRDefault="00B126F0" w:rsidP="004A372C">
      <w:pPr>
        <w:pStyle w:val="ListParagraph"/>
      </w:pPr>
      <w:r w:rsidRPr="0095104C">
        <w:t>The chart shows a relatively tight distribution of increase in rates revenue, with an average annual increase of 3.7%</w:t>
      </w:r>
      <w:r w:rsidR="00A75430">
        <w:t xml:space="preserve">. </w:t>
      </w:r>
      <w:r w:rsidRPr="0095104C">
        <w:t xml:space="preserve">90% of </w:t>
      </w:r>
      <w:r w:rsidR="004412E5" w:rsidRPr="0095104C">
        <w:t>council’s</w:t>
      </w:r>
      <w:r w:rsidRPr="0095104C">
        <w:t xml:space="preserve"> average</w:t>
      </w:r>
      <w:r>
        <w:t xml:space="preserve"> annual increase</w:t>
      </w:r>
      <w:r w:rsidR="00A75430">
        <w:t xml:space="preserve"> </w:t>
      </w:r>
      <w:r>
        <w:t>in total rates</w:t>
      </w:r>
      <w:r w:rsidR="00A75430">
        <w:t xml:space="preserve"> is</w:t>
      </w:r>
      <w:r>
        <w:t xml:space="preserve"> between 2.38% and 5.04% over the life of the 2015 LTP. </w:t>
      </w:r>
      <w:r w:rsidR="00A75430">
        <w:t>The</w:t>
      </w:r>
      <w:r>
        <w:t xml:space="preserve"> select</w:t>
      </w:r>
      <w:r w:rsidR="00A75430">
        <w:t xml:space="preserve">ed councils are </w:t>
      </w:r>
      <w:r>
        <w:t xml:space="preserve">shown in </w:t>
      </w:r>
      <w:r w:rsidR="00A67CB2">
        <w:t>green</w:t>
      </w:r>
      <w:r w:rsidR="00A75430">
        <w:t xml:space="preserve"> and show </w:t>
      </w:r>
      <w:r>
        <w:t xml:space="preserve">a range </w:t>
      </w:r>
      <w:r w:rsidR="00A75430">
        <w:t xml:space="preserve">for those councils </w:t>
      </w:r>
      <w:r>
        <w:t xml:space="preserve">of </w:t>
      </w:r>
      <w:r w:rsidR="00A75430">
        <w:t xml:space="preserve">an </w:t>
      </w:r>
      <w:r>
        <w:t>average annual rise in total rates from 2.6% through to 6.8%.</w:t>
      </w:r>
      <w:r>
        <w:rPr>
          <w:rStyle w:val="FootnoteReference"/>
        </w:rPr>
        <w:footnoteReference w:id="4"/>
      </w:r>
    </w:p>
    <w:p w14:paraId="7D6A9B1A" w14:textId="77777777" w:rsidR="00B126F0" w:rsidRDefault="00B126F0" w:rsidP="004A372C">
      <w:pPr>
        <w:pStyle w:val="ListParagraph"/>
      </w:pPr>
      <w:r>
        <w:t>The relatively tight distribution of increases in total rates revenue across the sector is somewhat predictable as most councils apply the same price index assumptions when preparing budgets. Additionally, the low levels of variability in the data suggest that councils were typically:</w:t>
      </w:r>
    </w:p>
    <w:p w14:paraId="7DCD316C" w14:textId="77777777" w:rsidR="00B126F0" w:rsidRPr="00D43A86" w:rsidRDefault="00B126F0" w:rsidP="009D38AF">
      <w:pPr>
        <w:pStyle w:val="Bulletpoint"/>
      </w:pPr>
      <w:r>
        <w:t>seeking to keep ra</w:t>
      </w:r>
      <w:r w:rsidRPr="00D43A86">
        <w:t>tes within band of between 2% and 5% per annum</w:t>
      </w:r>
    </w:p>
    <w:p w14:paraId="43EDFB8A" w14:textId="77777777" w:rsidR="00B126F0" w:rsidRPr="00D43A86" w:rsidRDefault="00B126F0" w:rsidP="009D38AF">
      <w:pPr>
        <w:pStyle w:val="Bulletpoint"/>
      </w:pPr>
      <w:r w:rsidRPr="00D43A86">
        <w:t>refraining from making any major changes to revenue and financing policies (e.g. changes from land value to capital value rating, or increasing the extent to which depreciation is funded), which would show up as a ‘spike’ in the data. Where changes have been made, the data suggests that these have typically been phased in</w:t>
      </w:r>
    </w:p>
    <w:p w14:paraId="1BD7A7FD" w14:textId="77777777" w:rsidR="00B126F0" w:rsidRDefault="00B126F0" w:rsidP="009D38AF">
      <w:pPr>
        <w:pStyle w:val="Bulletpoint"/>
      </w:pPr>
      <w:r w:rsidRPr="00D43A86">
        <w:t>delivering similar l</w:t>
      </w:r>
      <w:r>
        <w:t>evels of service to their communities throughout the life of the LTP.</w:t>
      </w:r>
    </w:p>
    <w:p w14:paraId="2C069D2F" w14:textId="77777777" w:rsidR="00B126F0" w:rsidRDefault="00B126F0" w:rsidP="00B126F0">
      <w:pPr>
        <w:pStyle w:val="Heading3"/>
      </w:pPr>
      <w:r>
        <w:t>Impact of growth</w:t>
      </w:r>
    </w:p>
    <w:p w14:paraId="14C8F03D" w14:textId="11BDF417" w:rsidR="00B126F0" w:rsidRDefault="00B126F0" w:rsidP="004A372C">
      <w:pPr>
        <w:pStyle w:val="ListParagraph"/>
      </w:pPr>
      <w:r>
        <w:t xml:space="preserve">Where population growth has been incorporated into the budgeting process, and rates income has been adjusted to reflect growth in the number of rateable properties, it is expected that increases in total rates revenue would typically be higher than the national average. </w:t>
      </w:r>
      <w:r w:rsidR="004412E5">
        <w:t>Similarly,</w:t>
      </w:r>
      <w:r>
        <w:t xml:space="preserve"> where total rates revenue has been adjusted for population decline then increases in total revenue would be expected to be lower than the national average.</w:t>
      </w:r>
    </w:p>
    <w:p w14:paraId="7BB517AB" w14:textId="4293B0DB" w:rsidR="00B126F0" w:rsidRDefault="00B126F0" w:rsidP="007C0AF1">
      <w:pPr>
        <w:pStyle w:val="ListParagraph"/>
      </w:pPr>
      <w:r>
        <w:t xml:space="preserve">Indeed, as shown in the </w:t>
      </w:r>
      <w:r w:rsidR="004412E5">
        <w:t xml:space="preserve">Figure </w:t>
      </w:r>
      <w:r w:rsidR="007C0AF1">
        <w:t>6</w:t>
      </w:r>
      <w:r>
        <w:t xml:space="preserve"> below, it appears that high growth councils </w:t>
      </w:r>
      <w:r w:rsidR="004412E5">
        <w:t>demonstrate</w:t>
      </w:r>
      <w:r>
        <w:t xml:space="preserve"> an increased capacity to raise rates revenue compared to declining population</w:t>
      </w:r>
      <w:r w:rsidR="003246FA">
        <w:t xml:space="preserve"> or low growth</w:t>
      </w:r>
      <w:r>
        <w:t xml:space="preserve"> councils. </w:t>
      </w:r>
      <w:r w:rsidR="003246FA">
        <w:t xml:space="preserve"> </w:t>
      </w:r>
      <w:r>
        <w:t>The average annual increase in total rates revenue for growth councils is 4.6%, whilst the average for declining population councils is only 3.2%.</w:t>
      </w:r>
    </w:p>
    <w:p w14:paraId="5FD1C540" w14:textId="4FCECA90" w:rsidR="00B126F0" w:rsidRPr="003246FA" w:rsidRDefault="004412E5" w:rsidP="004A372C">
      <w:pPr>
        <w:pStyle w:val="ListParagraph"/>
      </w:pPr>
      <w:r>
        <w:t xml:space="preserve">Again, there is a compounding effect of the difference in revenue. </w:t>
      </w:r>
      <w:r w:rsidR="00B126F0">
        <w:t>Declining population councils will get less and less money to invest into services and assets than the high growth councils over time.</w:t>
      </w:r>
      <w:bookmarkStart w:id="22" w:name="_Toc516746882"/>
    </w:p>
    <w:p w14:paraId="0D89089C" w14:textId="50267C89" w:rsidR="00B126F0" w:rsidRDefault="00B126F0" w:rsidP="00B126F0">
      <w:pPr>
        <w:pStyle w:val="Caption"/>
      </w:pPr>
      <w:bookmarkStart w:id="23" w:name="_Toc520900260"/>
      <w:r>
        <w:t xml:space="preserve">Figure </w:t>
      </w:r>
      <w:r>
        <w:fldChar w:fldCharType="begin"/>
      </w:r>
      <w:r>
        <w:instrText xml:space="preserve"> SEQ Figure \* ARABIC </w:instrText>
      </w:r>
      <w:r>
        <w:fldChar w:fldCharType="separate"/>
      </w:r>
      <w:r w:rsidR="00A00D18">
        <w:rPr>
          <w:noProof/>
        </w:rPr>
        <w:t>6</w:t>
      </w:r>
      <w:r>
        <w:fldChar w:fldCharType="end"/>
      </w:r>
      <w:r>
        <w:tab/>
        <w:t>Annual increases in total rates revenue – all councils 2015 LTP data</w:t>
      </w:r>
      <w:bookmarkEnd w:id="22"/>
      <w:bookmarkEnd w:id="23"/>
    </w:p>
    <w:p w14:paraId="5D1C12C6" w14:textId="77777777" w:rsidR="00B126F0" w:rsidRDefault="00B126F0" w:rsidP="00B126F0">
      <w:pPr>
        <w:spacing w:before="200" w:after="200" w:line="276" w:lineRule="auto"/>
      </w:pPr>
      <w:r>
        <w:rPr>
          <w:noProof/>
          <w:lang w:eastAsia="en-NZ"/>
        </w:rPr>
        <w:drawing>
          <wp:inline distT="0" distB="0" distL="0" distR="0" wp14:anchorId="1DA35337" wp14:editId="5B025E9A">
            <wp:extent cx="6069496" cy="3644348"/>
            <wp:effectExtent l="0" t="0" r="26670" b="1333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607FB1" w14:textId="4870D9B3" w:rsidR="00B126F0" w:rsidRDefault="00B126F0" w:rsidP="00B126F0">
      <w:pPr>
        <w:pStyle w:val="Heading3"/>
      </w:pPr>
      <w:r>
        <w:t>Impact of population size</w:t>
      </w:r>
      <w:r w:rsidR="003246FA">
        <w:t xml:space="preserve"> and household income</w:t>
      </w:r>
    </w:p>
    <w:p w14:paraId="2C5C9546" w14:textId="5323FFBE" w:rsidR="003246FA" w:rsidRDefault="003246FA" w:rsidP="004A372C">
      <w:pPr>
        <w:pStyle w:val="ListParagraph"/>
      </w:pPr>
      <w:r>
        <w:t>We have also considered whether population size or household income ha</w:t>
      </w:r>
      <w:r w:rsidR="007917C4">
        <w:t>s</w:t>
      </w:r>
      <w:r>
        <w:t xml:space="preserve"> any bearing on the level of </w:t>
      </w:r>
      <w:r w:rsidR="004412E5">
        <w:t xml:space="preserve">total </w:t>
      </w:r>
      <w:r w:rsidR="007917C4">
        <w:t>rates set by councils.</w:t>
      </w:r>
    </w:p>
    <w:p w14:paraId="601E8528" w14:textId="0AF42DED" w:rsidR="00B126F0" w:rsidRDefault="004412E5" w:rsidP="004A372C">
      <w:pPr>
        <w:pStyle w:val="ListParagraph"/>
      </w:pPr>
      <w:r>
        <w:t>A r</w:t>
      </w:r>
      <w:r w:rsidR="00B126F0">
        <w:t>evie</w:t>
      </w:r>
      <w:r w:rsidR="003246FA">
        <w:t>w of 2015</w:t>
      </w:r>
      <w:r w:rsidR="004457D7">
        <w:t xml:space="preserve"> </w:t>
      </w:r>
      <w:r w:rsidR="00465FBD">
        <w:t>Long Term Plan</w:t>
      </w:r>
      <w:r w:rsidR="003246FA">
        <w:t xml:space="preserve"> data</w:t>
      </w:r>
      <w:r w:rsidR="00B126F0">
        <w:t xml:space="preserve"> suggest</w:t>
      </w:r>
      <w:r w:rsidR="003246FA">
        <w:t>s</w:t>
      </w:r>
      <w:r w:rsidR="00B126F0">
        <w:t xml:space="preserve"> that councils with populations in excess of 100,000 typically increase their total rates take by 4.5%, as compared to councils with populations of less than 10,000 which have average annual increases of only 3.3%. This could be the result of a number of factors:</w:t>
      </w:r>
    </w:p>
    <w:p w14:paraId="21795C4C" w14:textId="1DB9D50F" w:rsidR="007917C4" w:rsidRDefault="00B126F0" w:rsidP="009D38AF">
      <w:pPr>
        <w:pStyle w:val="Bulletpoint"/>
      </w:pPr>
      <w:r>
        <w:t>Higher l</w:t>
      </w:r>
      <w:r w:rsidRPr="00D43A86">
        <w:t>evel of service expectations for communities with large populations</w:t>
      </w:r>
      <w:r w:rsidR="004A372C">
        <w:t>.</w:t>
      </w:r>
    </w:p>
    <w:p w14:paraId="7AA63699" w14:textId="7D2F5CD7" w:rsidR="00B126F0" w:rsidRPr="00D43A86" w:rsidRDefault="00B126F0" w:rsidP="009D38AF">
      <w:pPr>
        <w:pStyle w:val="Bulletpoint"/>
      </w:pPr>
      <w:r w:rsidRPr="00D43A86">
        <w:t>Conflation of population size and levels of growth (larger councils are typically also high growth and smaller population councils often have declining populations)</w:t>
      </w:r>
      <w:r w:rsidR="004A372C">
        <w:t>.</w:t>
      </w:r>
    </w:p>
    <w:p w14:paraId="5589954D" w14:textId="77777777" w:rsidR="00B126F0" w:rsidRDefault="00B126F0" w:rsidP="009D38AF">
      <w:pPr>
        <w:pStyle w:val="Bulletpoint"/>
      </w:pPr>
      <w:r w:rsidRPr="00D43A86">
        <w:t>Comparative wealth between ratepayers in metropolitan councils and those in rural councils (which are typical small) m</w:t>
      </w:r>
      <w:r>
        <w:t>eaning a higher capacity to pay.</w:t>
      </w:r>
    </w:p>
    <w:p w14:paraId="33E06DD3" w14:textId="77777777" w:rsidR="007917C4" w:rsidRDefault="007917C4">
      <w:pPr>
        <w:spacing w:before="200" w:after="200" w:line="276" w:lineRule="auto"/>
        <w:rPr>
          <w:rFonts w:eastAsia="Times New Roman" w:cs="Times New Roman"/>
          <w:color w:val="404142" w:themeColor="accent3" w:themeShade="80"/>
          <w:lang w:val="en-AU"/>
        </w:rPr>
      </w:pPr>
      <w:r>
        <w:br w:type="page"/>
      </w:r>
    </w:p>
    <w:p w14:paraId="0E08AD81" w14:textId="2716FA0F" w:rsidR="003246FA" w:rsidRDefault="003246FA" w:rsidP="004A372C">
      <w:pPr>
        <w:pStyle w:val="ListParagraph"/>
      </w:pPr>
      <w:r>
        <w:t>Additionally,</w:t>
      </w:r>
      <w:r w:rsidR="00B126F0">
        <w:t xml:space="preserve"> analysis of the 2015 LTP data shows that communities with lower average household income have lower average annual increases in</w:t>
      </w:r>
      <w:r>
        <w:t xml:space="preserve"> total rates (3.5% versus 4.3%). This may suggest that:</w:t>
      </w:r>
    </w:p>
    <w:p w14:paraId="4C4824BC" w14:textId="639F5F4D" w:rsidR="00B126F0" w:rsidRDefault="007917C4" w:rsidP="009D38AF">
      <w:pPr>
        <w:pStyle w:val="Bulletpoint"/>
      </w:pPr>
      <w:r>
        <w:t>p</w:t>
      </w:r>
      <w:r w:rsidR="00B126F0" w:rsidRPr="009539D6">
        <w:t>olitical and society pressures, including the socioeconomic factors</w:t>
      </w:r>
      <w:r w:rsidR="00B126F0">
        <w:t>,</w:t>
      </w:r>
      <w:r w:rsidR="00B126F0" w:rsidRPr="009539D6">
        <w:t xml:space="preserve"> of a community are relevant when considering a council’s ability to levy </w:t>
      </w:r>
      <w:r>
        <w:t>rates revenue</w:t>
      </w:r>
    </w:p>
    <w:p w14:paraId="7E05A9C1" w14:textId="79C0815C" w:rsidR="003246FA" w:rsidRDefault="007917C4" w:rsidP="009D38AF">
      <w:pPr>
        <w:pStyle w:val="Bulletpoint"/>
      </w:pPr>
      <w:r>
        <w:t>s</w:t>
      </w:r>
      <w:r w:rsidR="003246FA">
        <w:t>trong correlations between household income levels and rates of growth may be distorting results</w:t>
      </w:r>
      <w:r>
        <w:t>.</w:t>
      </w:r>
    </w:p>
    <w:p w14:paraId="58CCF753" w14:textId="468999B3" w:rsidR="00EA0C78" w:rsidRDefault="004412E5" w:rsidP="004412E5">
      <w:pPr>
        <w:pStyle w:val="Heading3"/>
      </w:pPr>
      <w:r>
        <w:t xml:space="preserve">Broader </w:t>
      </w:r>
      <w:r w:rsidR="003246FA">
        <w:t>a</w:t>
      </w:r>
      <w:r w:rsidR="00B126F0">
        <w:t>ffordability measures</w:t>
      </w:r>
    </w:p>
    <w:p w14:paraId="1588B99C" w14:textId="57E9BE19" w:rsidR="003C0D9D" w:rsidRPr="003C0D9D" w:rsidRDefault="003C0D9D" w:rsidP="004A372C">
      <w:pPr>
        <w:pStyle w:val="ListParagraph"/>
      </w:pPr>
      <w:r w:rsidRPr="00D43A86">
        <w:t>Annual percentage increases in rates</w:t>
      </w:r>
      <w:r w:rsidR="004412E5">
        <w:t xml:space="preserve"> is quite a coarse view of the </w:t>
      </w:r>
      <w:r w:rsidRPr="00D43A86">
        <w:t xml:space="preserve">affordability equation.  </w:t>
      </w:r>
      <w:r>
        <w:t>T</w:t>
      </w:r>
      <w:r w:rsidRPr="00D43A86">
        <w:t xml:space="preserve">his report </w:t>
      </w:r>
      <w:r w:rsidR="0016032E">
        <w:t xml:space="preserve">also </w:t>
      </w:r>
      <w:r w:rsidRPr="00D43A86">
        <w:t xml:space="preserve">considers affordability by comparing average rates bills to household income </w:t>
      </w:r>
      <w:r w:rsidR="004412E5">
        <w:t>and to household</w:t>
      </w:r>
      <w:r w:rsidRPr="00D43A86">
        <w:t xml:space="preserve"> expenditure</w:t>
      </w:r>
      <w:r w:rsidR="007917C4">
        <w:t>.</w:t>
      </w:r>
    </w:p>
    <w:p w14:paraId="3D71A691" w14:textId="4373744D" w:rsidR="00E510DC" w:rsidRDefault="00EA0C78" w:rsidP="004A372C">
      <w:pPr>
        <w:pStyle w:val="ListParagraph"/>
      </w:pPr>
      <w:r w:rsidRPr="00370D99">
        <w:t xml:space="preserve">When average rates are compared to </w:t>
      </w:r>
      <w:r w:rsidRPr="00E510DC">
        <w:t>average</w:t>
      </w:r>
      <w:r w:rsidRPr="00370D99">
        <w:t xml:space="preserve"> household income, the majority of the councils that we modelled showed rates </w:t>
      </w:r>
      <w:r w:rsidR="0016032E">
        <w:t xml:space="preserve">as being </w:t>
      </w:r>
      <w:r w:rsidRPr="00370D99">
        <w:t xml:space="preserve">between 3.5% and 4.5% of average annual household income. </w:t>
      </w:r>
      <w:r w:rsidR="004412E5">
        <w:t>The</w:t>
      </w:r>
      <w:r w:rsidR="0016032E">
        <w:t xml:space="preserve"> </w:t>
      </w:r>
      <w:r w:rsidR="00E510DC" w:rsidRPr="008928BA">
        <w:t>review of rates as a percentage of household living costs shows rates typically comprising between 3</w:t>
      </w:r>
      <w:r w:rsidR="004412E5">
        <w:t>%</w:t>
      </w:r>
      <w:r w:rsidR="00E510DC" w:rsidRPr="008928BA">
        <w:t xml:space="preserve"> and 5% of</w:t>
      </w:r>
      <w:r w:rsidR="007917C4">
        <w:t xml:space="preserve"> a household’s living expenses.</w:t>
      </w:r>
    </w:p>
    <w:p w14:paraId="43AD8743" w14:textId="604551DF" w:rsidR="005209E2" w:rsidRPr="00A81A2F" w:rsidRDefault="0016032E" w:rsidP="007C0AF1">
      <w:pPr>
        <w:pStyle w:val="ListParagraph"/>
      </w:pPr>
      <w:r>
        <w:t xml:space="preserve">However, </w:t>
      </w:r>
      <w:r w:rsidR="005209E2">
        <w:t xml:space="preserve">over the </w:t>
      </w:r>
      <w:r w:rsidR="001C7477">
        <w:t>ten</w:t>
      </w:r>
      <w:r w:rsidR="00A81A2F">
        <w:t xml:space="preserve"> </w:t>
      </w:r>
      <w:r w:rsidR="005209E2">
        <w:t xml:space="preserve">year period of the 2015 LTPs, Figure </w:t>
      </w:r>
      <w:r w:rsidR="007C0AF1">
        <w:t>7</w:t>
      </w:r>
      <w:r w:rsidR="005209E2">
        <w:t xml:space="preserve"> below shows a</w:t>
      </w:r>
      <w:r w:rsidR="00E510DC">
        <w:t>ffordability</w:t>
      </w:r>
      <w:r>
        <w:t xml:space="preserve">, as measured by </w:t>
      </w:r>
      <w:r w:rsidR="005209E2">
        <w:t>both</w:t>
      </w:r>
      <w:r>
        <w:t xml:space="preserve"> measure</w:t>
      </w:r>
      <w:r w:rsidR="004A372C">
        <w:t>s</w:t>
      </w:r>
      <w:r w:rsidR="00E510DC">
        <w:t xml:space="preserve"> dec</w:t>
      </w:r>
      <w:r w:rsidR="005209E2">
        <w:t>lines</w:t>
      </w:r>
      <w:r>
        <w:t xml:space="preserve"> </w:t>
      </w:r>
      <w:r w:rsidR="00E510DC">
        <w:t>by an average of 0.35%.</w:t>
      </w:r>
      <w:r w:rsidR="005209E2">
        <w:t xml:space="preserve"> That is, rates are projected to use up a greater proportion of household income and household living cost</w:t>
      </w:r>
      <w:r w:rsidR="005209E2" w:rsidRPr="00A81A2F">
        <w:t>s.</w:t>
      </w:r>
    </w:p>
    <w:p w14:paraId="69AC5FD5" w14:textId="7D46F08A" w:rsidR="007917C4" w:rsidRPr="00A81A2F" w:rsidRDefault="005209E2" w:rsidP="004A372C">
      <w:pPr>
        <w:pStyle w:val="ListParagraph"/>
        <w:rPr>
          <w:rFonts w:asciiTheme="minorHAnsi" w:hAnsiTheme="minorHAnsi"/>
          <w:b/>
          <w:szCs w:val="28"/>
        </w:rPr>
      </w:pPr>
      <w:r>
        <w:t>Under both measures of affordability this means that there is a clear trend towards rates becoming less affordable overtime.</w:t>
      </w:r>
      <w:bookmarkStart w:id="24" w:name="_Toc516746901"/>
    </w:p>
    <w:p w14:paraId="259738EE" w14:textId="5AFFDBF4" w:rsidR="004D15F8" w:rsidRDefault="004D15F8" w:rsidP="004D15F8">
      <w:pPr>
        <w:pStyle w:val="Caption"/>
      </w:pPr>
      <w:bookmarkStart w:id="25" w:name="_Toc520900261"/>
      <w:r>
        <w:t xml:space="preserve">Figure </w:t>
      </w:r>
      <w:r>
        <w:fldChar w:fldCharType="begin"/>
      </w:r>
      <w:r>
        <w:instrText xml:space="preserve"> SEQ Figure \* ARABIC </w:instrText>
      </w:r>
      <w:r>
        <w:fldChar w:fldCharType="separate"/>
      </w:r>
      <w:r w:rsidR="00A00D18">
        <w:rPr>
          <w:noProof/>
        </w:rPr>
        <w:t>7</w:t>
      </w:r>
      <w:r>
        <w:fldChar w:fldCharType="end"/>
      </w:r>
      <w:r>
        <w:tab/>
        <w:t>Forecast rates as a percentage of average household living costs</w:t>
      </w:r>
      <w:bookmarkEnd w:id="24"/>
      <w:bookmarkEnd w:id="25"/>
    </w:p>
    <w:p w14:paraId="3C4A8178" w14:textId="387ACF11" w:rsidR="004D15F8" w:rsidRDefault="004D15F8" w:rsidP="004D15F8">
      <w:r>
        <w:rPr>
          <w:noProof/>
          <w:lang w:eastAsia="en-NZ"/>
        </w:rPr>
        <w:drawing>
          <wp:inline distT="0" distB="0" distL="0" distR="0" wp14:anchorId="5A668CA6" wp14:editId="04F4319A">
            <wp:extent cx="6202018" cy="3909391"/>
            <wp:effectExtent l="0" t="0" r="27940" b="152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08C5BB5" w14:textId="7C9C22AB" w:rsidR="009A194C" w:rsidRDefault="00EA0C78" w:rsidP="004A372C">
      <w:pPr>
        <w:pStyle w:val="ListParagraph"/>
      </w:pPr>
      <w:r w:rsidRPr="008928BA">
        <w:t>Property rates are also included within the household living costs price index that is monitored by S</w:t>
      </w:r>
      <w:r>
        <w:t>tatistics New Zealand.</w:t>
      </w:r>
      <w:r w:rsidR="005209E2">
        <w:t xml:space="preserve"> Analysis of the </w:t>
      </w:r>
      <w:r w:rsidRPr="008928BA">
        <w:t xml:space="preserve">Statistics New Zealand data </w:t>
      </w:r>
      <w:r w:rsidR="009A194C">
        <w:t xml:space="preserve">from 2008 to 2018 </w:t>
      </w:r>
      <w:r w:rsidRPr="008928BA">
        <w:t xml:space="preserve">shows </w:t>
      </w:r>
      <w:r w:rsidR="005209E2">
        <w:t>that this projected trend for rates to increase as a proportion of household expenditure and household income has been occurring.</w:t>
      </w:r>
    </w:p>
    <w:p w14:paraId="2154905F" w14:textId="2B555A6F" w:rsidR="009A194C" w:rsidRDefault="005209E2" w:rsidP="00A81A2F">
      <w:pPr>
        <w:pStyle w:val="Bulletpoint"/>
      </w:pPr>
      <w:r>
        <w:t>P</w:t>
      </w:r>
      <w:r w:rsidR="00EA0C78" w:rsidRPr="008928BA">
        <w:t>roperty rates compris</w:t>
      </w:r>
      <w:r>
        <w:t>ed</w:t>
      </w:r>
      <w:r w:rsidR="00EA0C78" w:rsidRPr="008928BA">
        <w:t xml:space="preserve"> 3.5% of household living costs in 2008</w:t>
      </w:r>
      <w:r>
        <w:t xml:space="preserve"> and this </w:t>
      </w:r>
      <w:r w:rsidR="00EA0C78" w:rsidRPr="008928BA">
        <w:t>increas</w:t>
      </w:r>
      <w:r>
        <w:t xml:space="preserve">ed </w:t>
      </w:r>
      <w:r w:rsidR="00EA0C78" w:rsidRPr="008928BA">
        <w:t>to 4.7% by 2018</w:t>
      </w:r>
      <w:r w:rsidR="009A194C">
        <w:rPr>
          <w:rStyle w:val="FootnoteReference"/>
        </w:rPr>
        <w:footnoteReference w:id="5"/>
      </w:r>
      <w:r w:rsidR="003209A5">
        <w:t>.</w:t>
      </w:r>
    </w:p>
    <w:p w14:paraId="4F8AC1F6" w14:textId="30E49E93" w:rsidR="009A194C" w:rsidRPr="009A194C" w:rsidRDefault="00EA0C78" w:rsidP="00A81A2F">
      <w:pPr>
        <w:pStyle w:val="Bulletpoint"/>
      </w:pPr>
      <w:r>
        <w:t xml:space="preserve">Statistics New Zealand data shows </w:t>
      </w:r>
      <w:r w:rsidRPr="008928BA">
        <w:t>the household living cost price index increased by 15.1%</w:t>
      </w:r>
      <w:r w:rsidR="009A194C">
        <w:t xml:space="preserve">. </w:t>
      </w:r>
      <w:r w:rsidR="00A81A2F">
        <w:t>Rates themselves increased by 43.5% over that same period. This demonstrates how much faster than other household costs rates have risen.</w:t>
      </w:r>
    </w:p>
    <w:p w14:paraId="052BF4DF" w14:textId="047B2626" w:rsidR="00FE6894" w:rsidRDefault="00EA0C78" w:rsidP="00A81A2F">
      <w:pPr>
        <w:pStyle w:val="Bulletpoint"/>
      </w:pPr>
      <w:r w:rsidRPr="008928BA">
        <w:t xml:space="preserve">For the lowest expenditure quintile, </w:t>
      </w:r>
      <w:r w:rsidR="006B4630">
        <w:t xml:space="preserve">the </w:t>
      </w:r>
      <w:r>
        <w:t xml:space="preserve">Statistics New Zealand data shows that </w:t>
      </w:r>
      <w:r w:rsidRPr="008928BA">
        <w:t>property rates increased from 5.8% of household expenditure to 7% of household expenditure.</w:t>
      </w:r>
      <w:r w:rsidR="00FE6894">
        <w:t xml:space="preserve"> This group </w:t>
      </w:r>
      <w:r w:rsidR="006B4630">
        <w:t>will be</w:t>
      </w:r>
      <w:r w:rsidR="00FE6894">
        <w:t xml:space="preserve"> particularly impacted by rates increasing </w:t>
      </w:r>
      <w:r w:rsidR="00A81A2F">
        <w:t>faster than wage growth and CPI</w:t>
      </w:r>
      <w:r w:rsidR="003209A5">
        <w:t>.</w:t>
      </w:r>
    </w:p>
    <w:p w14:paraId="038D166D" w14:textId="01DBCB8E" w:rsidR="006B4630" w:rsidRDefault="006B4630" w:rsidP="007C0AF1">
      <w:pPr>
        <w:pStyle w:val="ListParagraph"/>
      </w:pPr>
      <w:bookmarkStart w:id="26" w:name="_Toc516746902"/>
      <w:r>
        <w:t xml:space="preserve">Consideration of the </w:t>
      </w:r>
      <w:r w:rsidRPr="00655E31">
        <w:t xml:space="preserve">Statistics New Zealand data </w:t>
      </w:r>
      <w:r>
        <w:t xml:space="preserve">also </w:t>
      </w:r>
      <w:r w:rsidRPr="00655E31">
        <w:t xml:space="preserve">shows </w:t>
      </w:r>
      <w:r>
        <w:t xml:space="preserve">rates increasing faster than household living costs, wages, and </w:t>
      </w:r>
      <w:r w:rsidR="003418D6">
        <w:t>LGCI</w:t>
      </w:r>
      <w:r>
        <w:t xml:space="preserve">. This means that the rates are costing </w:t>
      </w:r>
      <w:r w:rsidR="003418D6">
        <w:t xml:space="preserve">households </w:t>
      </w:r>
      <w:r>
        <w:t>more, proportionally, than they did in the past</w:t>
      </w:r>
      <w:r w:rsidR="003418D6">
        <w:t xml:space="preserve"> and </w:t>
      </w:r>
      <w:r>
        <w:t xml:space="preserve">Figure </w:t>
      </w:r>
      <w:r w:rsidR="007C0AF1">
        <w:t>8</w:t>
      </w:r>
      <w:r>
        <w:t xml:space="preserve"> demonstrates the compounding effect as the gap grows over time.</w:t>
      </w:r>
    </w:p>
    <w:p w14:paraId="025DBCDF" w14:textId="5587A68B" w:rsidR="00EA0C78" w:rsidRDefault="00EA0C78" w:rsidP="001567EB">
      <w:pPr>
        <w:pStyle w:val="Caption"/>
      </w:pPr>
      <w:bookmarkStart w:id="27" w:name="_Toc520900262"/>
      <w:r>
        <w:t xml:space="preserve">Figure </w:t>
      </w:r>
      <w:r w:rsidR="00762E28">
        <w:fldChar w:fldCharType="begin"/>
      </w:r>
      <w:r w:rsidR="00762E28">
        <w:instrText xml:space="preserve"> SEQ Figure \* ARABIC </w:instrText>
      </w:r>
      <w:r w:rsidR="00762E28">
        <w:fldChar w:fldCharType="separate"/>
      </w:r>
      <w:r w:rsidR="00A00D18">
        <w:rPr>
          <w:noProof/>
        </w:rPr>
        <w:t>8</w:t>
      </w:r>
      <w:r w:rsidR="00762E28">
        <w:fldChar w:fldCharType="end"/>
      </w:r>
      <w:r>
        <w:tab/>
      </w:r>
      <w:r w:rsidR="0093638A">
        <w:t>Historical ho</w:t>
      </w:r>
      <w:r>
        <w:t>usehold living costs vs salary and wage growth vs rates growth</w:t>
      </w:r>
      <w:bookmarkEnd w:id="26"/>
      <w:bookmarkEnd w:id="27"/>
    </w:p>
    <w:p w14:paraId="612370C8" w14:textId="5F913C05" w:rsidR="00EA0C78" w:rsidRPr="00DD7B82" w:rsidRDefault="00FE6894" w:rsidP="00EA0C78">
      <w:r>
        <w:rPr>
          <w:noProof/>
          <w:lang w:eastAsia="en-NZ"/>
        </w:rPr>
        <w:drawing>
          <wp:inline distT="0" distB="0" distL="0" distR="0" wp14:anchorId="61B8667A" wp14:editId="38E1A6AB">
            <wp:extent cx="6029740" cy="3744000"/>
            <wp:effectExtent l="0" t="0" r="9525" b="2794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A8B231" w14:textId="30DE6C34" w:rsidR="008766A3" w:rsidRPr="003418D6" w:rsidRDefault="00655E31" w:rsidP="007C0AF1">
      <w:pPr>
        <w:pStyle w:val="ListParagraph"/>
        <w:rPr>
          <w:rFonts w:asciiTheme="minorHAnsi" w:hAnsiTheme="minorHAnsi"/>
          <w:b/>
          <w:szCs w:val="28"/>
        </w:rPr>
      </w:pPr>
      <w:r>
        <w:t xml:space="preserve">Analysis of the 2015 </w:t>
      </w:r>
      <w:r w:rsidR="00465FBD">
        <w:t>Long Term Plan</w:t>
      </w:r>
      <w:r>
        <w:t xml:space="preserve"> </w:t>
      </w:r>
      <w:r w:rsidR="003418D6">
        <w:t xml:space="preserve">in Figure </w:t>
      </w:r>
      <w:r w:rsidR="007C0AF1">
        <w:t>9</w:t>
      </w:r>
      <w:r w:rsidR="003418D6">
        <w:t xml:space="preserve"> below</w:t>
      </w:r>
      <w:r>
        <w:t xml:space="preserve"> </w:t>
      </w:r>
      <w:r w:rsidR="003418D6">
        <w:t xml:space="preserve">then </w:t>
      </w:r>
      <w:r>
        <w:t>shows that rates are forecast to continue to increase at faster</w:t>
      </w:r>
      <w:bookmarkStart w:id="28" w:name="_Ref518291751"/>
      <w:bookmarkStart w:id="29" w:name="_Ref520446501"/>
      <w:r w:rsidR="007917C4">
        <w:t xml:space="preserve"> rate than inflation.</w:t>
      </w:r>
    </w:p>
    <w:p w14:paraId="2517C666" w14:textId="77777777" w:rsidR="00921459" w:rsidRDefault="00921459">
      <w:pPr>
        <w:spacing w:before="200" w:after="200" w:line="276" w:lineRule="auto"/>
        <w:rPr>
          <w:rFonts w:asciiTheme="minorHAnsi" w:hAnsiTheme="minorHAnsi"/>
          <w:b/>
          <w:color w:val="404142" w:themeColor="accent3" w:themeShade="80"/>
          <w:szCs w:val="28"/>
        </w:rPr>
      </w:pPr>
      <w:r>
        <w:br w:type="page"/>
      </w:r>
    </w:p>
    <w:p w14:paraId="558EBC0D" w14:textId="3A960AD4" w:rsidR="00BF3325" w:rsidRDefault="009D195F" w:rsidP="001567EB">
      <w:pPr>
        <w:pStyle w:val="Caption"/>
      </w:pPr>
      <w:bookmarkStart w:id="30" w:name="_Toc520900263"/>
      <w:r>
        <w:t>F</w:t>
      </w:r>
      <w:r w:rsidR="00712B0E">
        <w:t xml:space="preserve">igure </w:t>
      </w:r>
      <w:r w:rsidR="00712B0E">
        <w:fldChar w:fldCharType="begin"/>
      </w:r>
      <w:r w:rsidR="00712B0E">
        <w:instrText xml:space="preserve"> SEQ Figure \* ARABIC </w:instrText>
      </w:r>
      <w:r w:rsidR="00712B0E">
        <w:fldChar w:fldCharType="separate"/>
      </w:r>
      <w:r w:rsidR="00A00D18">
        <w:rPr>
          <w:noProof/>
        </w:rPr>
        <w:t>9</w:t>
      </w:r>
      <w:r w:rsidR="00712B0E">
        <w:fldChar w:fldCharType="end"/>
      </w:r>
      <w:bookmarkEnd w:id="28"/>
      <w:bookmarkEnd w:id="29"/>
      <w:r w:rsidR="00712B0E">
        <w:tab/>
        <w:t xml:space="preserve">Real (uninflated) average rates forecast using 2015 </w:t>
      </w:r>
      <w:r w:rsidR="003D4C9F">
        <w:t>long term p</w:t>
      </w:r>
      <w:r w:rsidR="00712B0E">
        <w:t>lan data and LGCI projections</w:t>
      </w:r>
      <w:bookmarkEnd w:id="30"/>
    </w:p>
    <w:p w14:paraId="018F9AB9" w14:textId="5D047183" w:rsidR="004D15F8" w:rsidRPr="004D15F8" w:rsidRDefault="004D15F8" w:rsidP="004D15F8">
      <w:r>
        <w:rPr>
          <w:noProof/>
          <w:lang w:eastAsia="en-NZ"/>
        </w:rPr>
        <w:drawing>
          <wp:inline distT="0" distB="0" distL="0" distR="0" wp14:anchorId="0E838D4D" wp14:editId="3ACE61BF">
            <wp:extent cx="6030000" cy="3708000"/>
            <wp:effectExtent l="0" t="0" r="27940" b="260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60C5FB" w14:textId="3F99CC3B" w:rsidR="00E973FB" w:rsidRPr="00E973FB" w:rsidRDefault="00655E31" w:rsidP="004A372C">
      <w:pPr>
        <w:pStyle w:val="ListParagraph"/>
      </w:pPr>
      <w:r w:rsidRPr="00E973FB">
        <w:t xml:space="preserve">As seen in the chart, there is a consistent upward trend, showing rates becoming more expensive over </w:t>
      </w:r>
      <w:r w:rsidR="00FE6894" w:rsidRPr="00E973FB">
        <w:t>most</w:t>
      </w:r>
      <w:r w:rsidRPr="00E973FB">
        <w:t xml:space="preserve"> of </w:t>
      </w:r>
      <w:r w:rsidR="00465FBD">
        <w:t xml:space="preserve">the </w:t>
      </w:r>
      <w:r w:rsidR="00465FBD" w:rsidRPr="00E973FB">
        <w:t>Long Term Plan</w:t>
      </w:r>
      <w:r w:rsidR="00465FBD">
        <w:t>.</w:t>
      </w:r>
      <w:r w:rsidR="003418D6">
        <w:t xml:space="preserve"> The greatest </w:t>
      </w:r>
      <w:r w:rsidR="007917C4">
        <w:t xml:space="preserve">part of the </w:t>
      </w:r>
      <w:r w:rsidR="007917C4" w:rsidRPr="00E973FB">
        <w:t>increases occurs</w:t>
      </w:r>
      <w:r w:rsidR="003418D6">
        <w:t xml:space="preserve"> </w:t>
      </w:r>
      <w:r w:rsidR="00FE6894" w:rsidRPr="00E973FB">
        <w:t>in the first three or four years (and a slight reduction before inflation by year 10)</w:t>
      </w:r>
      <w:r w:rsidRPr="00E973FB">
        <w:t xml:space="preserve">. </w:t>
      </w:r>
      <w:r w:rsidR="00FE6894" w:rsidRPr="00E973FB">
        <w:t xml:space="preserve">The chart shows a </w:t>
      </w:r>
      <w:r w:rsidR="008436DE" w:rsidRPr="00E973FB">
        <w:t xml:space="preserve">12.5% increase in </w:t>
      </w:r>
      <w:r w:rsidR="007917C4" w:rsidRPr="00E973FB">
        <w:t>rates</w:t>
      </w:r>
      <w:r w:rsidR="008436DE" w:rsidRPr="00E973FB">
        <w:t xml:space="preserve"> before the compounding effect of inflation is added between 2015 and 2020 (inflation would add another 13.4%).</w:t>
      </w:r>
    </w:p>
    <w:p w14:paraId="245D670D" w14:textId="297941F4" w:rsidR="00E973FB" w:rsidRPr="00E973FB" w:rsidRDefault="00FE6894" w:rsidP="007C0AF1">
      <w:pPr>
        <w:pStyle w:val="ListParagraph"/>
      </w:pPr>
      <w:r w:rsidRPr="00E973FB">
        <w:t>This upward trend</w:t>
      </w:r>
      <w:r w:rsidR="003418D6">
        <w:t xml:space="preserve"> of rates</w:t>
      </w:r>
      <w:r w:rsidRPr="00E973FB">
        <w:t xml:space="preserve"> </w:t>
      </w:r>
      <w:r w:rsidR="003418D6">
        <w:t xml:space="preserve">also needs to be considered in the light of the </w:t>
      </w:r>
      <w:r w:rsidRPr="00E973FB">
        <w:t xml:space="preserve">effects of successive </w:t>
      </w:r>
      <w:r w:rsidR="003418D6" w:rsidRPr="00E973FB">
        <w:t>long-term</w:t>
      </w:r>
      <w:r w:rsidRPr="00E973FB">
        <w:t xml:space="preserve"> plans (including draft 2018 </w:t>
      </w:r>
      <w:r w:rsidR="00465FBD" w:rsidRPr="00E973FB">
        <w:t>Long Term Plan</w:t>
      </w:r>
      <w:r w:rsidRPr="00E973FB">
        <w:t xml:space="preserve"> data).</w:t>
      </w:r>
      <w:r w:rsidR="003D4C9F">
        <w:t xml:space="preserve"> Figure </w:t>
      </w:r>
      <w:r w:rsidR="007C0AF1">
        <w:t>10</w:t>
      </w:r>
      <w:r w:rsidR="003D4C9F">
        <w:t xml:space="preserve"> </w:t>
      </w:r>
      <w:r w:rsidRPr="00E973FB">
        <w:t>below</w:t>
      </w:r>
      <w:r w:rsidR="003418D6">
        <w:t xml:space="preserve"> shows</w:t>
      </w:r>
      <w:r w:rsidRPr="00E973FB">
        <w:t xml:space="preserve"> </w:t>
      </w:r>
      <w:r w:rsidR="00E973FB" w:rsidRPr="00E973FB">
        <w:t xml:space="preserve">there is a consistent </w:t>
      </w:r>
      <w:r w:rsidR="003418D6">
        <w:t>pattern</w:t>
      </w:r>
      <w:r w:rsidR="00E973FB" w:rsidRPr="00E973FB">
        <w:t xml:space="preserve"> for rate</w:t>
      </w:r>
      <w:r w:rsidR="003418D6">
        <w:t xml:space="preserve"> increases</w:t>
      </w:r>
      <w:r w:rsidR="00E973FB" w:rsidRPr="00E973FB">
        <w:t xml:space="preserve"> in the first three years to be projected to be higher than the remainder of the </w:t>
      </w:r>
      <w:r w:rsidR="003418D6" w:rsidRPr="00E973FB">
        <w:t>long-term</w:t>
      </w:r>
      <w:r w:rsidR="00E973FB" w:rsidRPr="00E973FB">
        <w:t xml:space="preserve"> plan</w:t>
      </w:r>
      <w:r w:rsidR="003418D6">
        <w:t>. S</w:t>
      </w:r>
      <w:r w:rsidR="00E973FB" w:rsidRPr="00E973FB">
        <w:t xml:space="preserve">ubsequent </w:t>
      </w:r>
      <w:r w:rsidR="003418D6" w:rsidRPr="00E973FB">
        <w:t>long-term</w:t>
      </w:r>
      <w:r w:rsidR="00E973FB" w:rsidRPr="00E973FB">
        <w:t xml:space="preserve"> plan</w:t>
      </w:r>
      <w:r w:rsidR="003418D6">
        <w:t>s</w:t>
      </w:r>
      <w:r w:rsidR="00E973FB" w:rsidRPr="00E973FB">
        <w:t xml:space="preserve"> repeat the cycle</w:t>
      </w:r>
      <w:r w:rsidR="003418D6">
        <w:t xml:space="preserve"> so that the lower rate rises of the outer years in the </w:t>
      </w:r>
      <w:r w:rsidR="00465FBD">
        <w:t>Long Term Plan</w:t>
      </w:r>
      <w:r w:rsidR="003418D6">
        <w:t xml:space="preserve"> do not eventuate.</w:t>
      </w:r>
    </w:p>
    <w:p w14:paraId="042FE233" w14:textId="77777777" w:rsidR="00921459" w:rsidRDefault="00921459">
      <w:pPr>
        <w:spacing w:before="200" w:after="200" w:line="276" w:lineRule="auto"/>
        <w:rPr>
          <w:rFonts w:asciiTheme="minorHAnsi" w:hAnsiTheme="minorHAnsi"/>
          <w:b/>
          <w:color w:val="404142" w:themeColor="accent3" w:themeShade="80"/>
          <w:szCs w:val="28"/>
        </w:rPr>
      </w:pPr>
      <w:bookmarkStart w:id="31" w:name="_Ref520298408"/>
      <w:r>
        <w:br w:type="page"/>
      </w:r>
    </w:p>
    <w:p w14:paraId="15B18909" w14:textId="1A00F3BA" w:rsidR="00E973FB" w:rsidRDefault="00E973FB" w:rsidP="00E973FB">
      <w:pPr>
        <w:pStyle w:val="Caption"/>
      </w:pPr>
      <w:bookmarkStart w:id="32" w:name="_Toc520900264"/>
      <w:r>
        <w:t xml:space="preserve">Figure </w:t>
      </w:r>
      <w:r>
        <w:fldChar w:fldCharType="begin"/>
      </w:r>
      <w:r>
        <w:instrText xml:space="preserve"> SEQ Figure \* ARABIC </w:instrText>
      </w:r>
      <w:r>
        <w:fldChar w:fldCharType="separate"/>
      </w:r>
      <w:r w:rsidR="00A00D18">
        <w:rPr>
          <w:noProof/>
        </w:rPr>
        <w:t>10</w:t>
      </w:r>
      <w:r>
        <w:fldChar w:fldCharType="end"/>
      </w:r>
      <w:bookmarkEnd w:id="31"/>
      <w:r>
        <w:tab/>
        <w:t>Annual change in rates for all councils – comparison of 2015 and</w:t>
      </w:r>
      <w:r w:rsidR="008D716F">
        <w:t xml:space="preserve"> draft</w:t>
      </w:r>
      <w:r>
        <w:t xml:space="preserve"> 2018 </w:t>
      </w:r>
      <w:r w:rsidR="003D4C9F">
        <w:t>long term pla</w:t>
      </w:r>
      <w:r w:rsidR="00C74548">
        <w:t>ns</w:t>
      </w:r>
      <w:bookmarkEnd w:id="32"/>
    </w:p>
    <w:p w14:paraId="4E5360AB" w14:textId="11110356" w:rsidR="00FE6894" w:rsidRPr="007A170A" w:rsidRDefault="008D716F" w:rsidP="007A170A">
      <w:pPr>
        <w:ind w:left="720"/>
        <w:rPr>
          <w:highlight w:val="yellow"/>
        </w:rPr>
      </w:pPr>
      <w:r>
        <w:rPr>
          <w:noProof/>
          <w:lang w:eastAsia="en-NZ"/>
        </w:rPr>
        <mc:AlternateContent>
          <mc:Choice Requires="wps">
            <w:drawing>
              <wp:anchor distT="0" distB="0" distL="114300" distR="114300" simplePos="0" relativeHeight="251674624" behindDoc="0" locked="0" layoutInCell="1" allowOverlap="1" wp14:anchorId="54B9BEBA" wp14:editId="7FF2657D">
                <wp:simplePos x="0" y="0"/>
                <wp:positionH relativeFrom="column">
                  <wp:posOffset>499562</wp:posOffset>
                </wp:positionH>
                <wp:positionV relativeFrom="paragraph">
                  <wp:posOffset>3186947</wp:posOffset>
                </wp:positionV>
                <wp:extent cx="2764024" cy="392414"/>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2764024" cy="392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7B540" w14:textId="77777777" w:rsidR="007C0AF1" w:rsidRPr="00A6118A" w:rsidRDefault="007C0AF1" w:rsidP="008D716F">
                            <w:pPr>
                              <w:rPr>
                                <w:b/>
                                <w:bCs/>
                                <w:color w:val="404142" w:themeColor="accent3" w:themeShade="80"/>
                              </w:rPr>
                            </w:pPr>
                            <w:r w:rsidRPr="00A6118A">
                              <w:rPr>
                                <w:b/>
                                <w:bCs/>
                                <w:i/>
                                <w:iCs/>
                                <w:color w:val="404142" w:themeColor="accent3" w:themeShade="80"/>
                              </w:rPr>
                              <w:t>Source: Department of Internal Affairs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1" o:spid="_x0000_s1046" type="#_x0000_t202" style="position:absolute;left:0;text-align:left;margin-left:39.35pt;margin-top:250.95pt;width:217.65pt;height:30.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TJggIAAG0FAAAOAAAAZHJzL2Uyb0RvYy54bWysVN9v2jAQfp+0/8Hy+wjQlA7UULFWTJOq&#10;thpMfTaOXaLZPs82JOyv79lJKGJ76bSX5Hz33fl+fOfrm0YrshfOV2AKOhoMKRGGQ1mZl4L+WC8/&#10;fabEB2ZKpsCIgh6Epzfzjx+uazsTY9iCKoUjGMT4WW0Lug3BzrLM863QzA/ACoNGCU6zgEf3kpWO&#10;1Rhdq2w8HE6yGlxpHXDhPWrvWiOdp/hSCh4epfQiEFVQzC2kr0vfTfxm82s2e3HMbivepcH+IQvN&#10;KoOXHkPdscDIzlV/hNIVd+BBhgEHnYGUFRepBqxmNDyrZrVlVqRasDneHtvk/19Y/rB/cqQqcXaT&#10;ESWGaRzSWjSBfIGGRB12qLZ+hsCVRWho0IDoXu9RGQtvpNPxjyURtGOvD8f+xnAcleOrST4c55Rw&#10;tF1Mx/koj2GyN2/rfPgqQJMoFNTh/FJb2f7ehxbaQ+JlBpaVUmmGypC6oJOLy2FyOFowuDIRKxIb&#10;ujCxojbzJIWDEhGjzHchsRupgKhIPBS3ypE9QwYxzoUJqfYUF9ERJTGJ9zh2+Les3uPc1tHfDCYc&#10;nXVlwKXqz9Iuf/YpyxaPPT+pO4qh2TSJBtN+sBsoDzhvB+3OeMuXFQ7lnvnwxBwuCY4YFz884kcq&#10;wOZDJ1GyBff7b/qIR+6ilZIal66g/teOOUGJ+maQ1dNRnsctTYf88mqMB3dq2ZxazE7fAk4FeYvZ&#10;JTHig+pF6UA/4/uwiLeiiRmOdxc09OJtaJ8CfF+4WCwSCPfSsnBvVpbH0HFIkXLr5pk52/EyIKMf&#10;oF9PNjujZ4uNngYWuwCyStyNfW672vUfdzqxv3t/4qNxek6ot1dy/goAAP//AwBQSwMEFAAGAAgA&#10;AAAhAII/aYDiAAAACgEAAA8AAABkcnMvZG93bnJldi54bWxMj8FOwzAMhu9IvENkJG4s7aBr1zWd&#10;pkoTEmKHjV24pU3WViROabKt8PSYE9xs+dPv7y/WkzXsokffOxQQzyJgGhunemwFHN+2DxkwHyQq&#10;aRxqAV/aw7q8vSlkrtwV9/pyCC2jEPS5FNCFMOSc+6bTVvqZGzTS7eRGKwOtY8vVKK8Ubg2fR9GC&#10;W9kjfejkoKtONx+HsxXwUm13cl/PbfZtqufX02b4PL4nQtzfTZsVsKCn8AfDrz6pQ0lOtTuj8swI&#10;SLOUSAFJFC+BEZDET1SupmHxmAIvC/6/QvkDAAD//wMAUEsBAi0AFAAGAAgAAAAhALaDOJL+AAAA&#10;4QEAABMAAAAAAAAAAAAAAAAAAAAAAFtDb250ZW50X1R5cGVzXS54bWxQSwECLQAUAAYACAAAACEA&#10;OP0h/9YAAACUAQAACwAAAAAAAAAAAAAAAAAvAQAAX3JlbHMvLnJlbHNQSwECLQAUAAYACAAAACEA&#10;u7oEyYICAABtBQAADgAAAAAAAAAAAAAAAAAuAgAAZHJzL2Uyb0RvYy54bWxQSwECLQAUAAYACAAA&#10;ACEAgj9pgOIAAAAKAQAADwAAAAAAAAAAAAAAAADcBAAAZHJzL2Rvd25yZXYueG1sUEsFBgAAAAAE&#10;AAQA8wAAAOsFAAAAAA==&#10;" filled="f" stroked="f" strokeweight=".5pt">
                <v:textbox>
                  <w:txbxContent>
                    <w:p w14:paraId="0297B540" w14:textId="77777777" w:rsidR="007C0AF1" w:rsidRPr="00A6118A" w:rsidRDefault="007C0AF1" w:rsidP="008D716F">
                      <w:pPr>
                        <w:rPr>
                          <w:b/>
                          <w:bCs/>
                          <w:color w:val="404142" w:themeColor="accent3" w:themeShade="80"/>
                        </w:rPr>
                      </w:pPr>
                      <w:r w:rsidRPr="00A6118A">
                        <w:rPr>
                          <w:b/>
                          <w:bCs/>
                          <w:i/>
                          <w:iCs/>
                          <w:color w:val="404142" w:themeColor="accent3" w:themeShade="80"/>
                        </w:rPr>
                        <w:t>Source: Department of Internal Affairs</w:t>
                      </w:r>
                    </w:p>
                  </w:txbxContent>
                </v:textbox>
              </v:shape>
            </w:pict>
          </mc:Fallback>
        </mc:AlternateContent>
      </w:r>
      <w:r w:rsidRPr="00EA408C">
        <w:rPr>
          <w:noProof/>
          <w:lang w:eastAsia="en-NZ"/>
        </w:rPr>
        <w:drawing>
          <wp:inline distT="0" distB="0" distL="0" distR="0" wp14:anchorId="547E09AD" wp14:editId="112C70D0">
            <wp:extent cx="4572000" cy="2743200"/>
            <wp:effectExtent l="438150" t="438150" r="438150" b="43815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5C612B09" w14:textId="3013D77F" w:rsidR="00137158" w:rsidRDefault="00137158" w:rsidP="004A372C">
      <w:pPr>
        <w:pStyle w:val="ListParagraph"/>
      </w:pPr>
      <w:r>
        <w:t>This increase in rates in real terms may indicate that councils are either increasing or improving the services that they provide, or that they are projecting costs to increase faster than the local government cost index predictions. Indeed, it is rare for a council to signal rates rises equal to, or less than, forecast local government cost index increments.</w:t>
      </w:r>
    </w:p>
    <w:p w14:paraId="3C7B9E74" w14:textId="6410AF5E" w:rsidR="00137158" w:rsidRPr="00655E31" w:rsidRDefault="00137158" w:rsidP="004A372C">
      <w:pPr>
        <w:pStyle w:val="ListParagraph"/>
      </w:pPr>
      <w:r>
        <w:t>While in many cases proposed rates rises were supported by large capital pro</w:t>
      </w:r>
      <w:r w:rsidR="003418D6">
        <w:t>grams</w:t>
      </w:r>
      <w:r>
        <w:t xml:space="preserve"> in draft </w:t>
      </w:r>
      <w:r w:rsidR="003418D6">
        <w:t>long-term</w:t>
      </w:r>
      <w:r>
        <w:t xml:space="preserve"> plans, these projects were often not substantially different, in terms of cost, from similar projects proposed in earlier </w:t>
      </w:r>
      <w:r w:rsidR="003418D6">
        <w:t>long-term</w:t>
      </w:r>
      <w:r>
        <w:t xml:space="preserve"> plans.</w:t>
      </w:r>
    </w:p>
    <w:p w14:paraId="27AA8439" w14:textId="240F64B9" w:rsidR="00EA0C78" w:rsidRPr="00E67444" w:rsidRDefault="008436DE" w:rsidP="00C74548">
      <w:pPr>
        <w:pStyle w:val="Heading3"/>
      </w:pPr>
      <w:r>
        <w:t>Section summary</w:t>
      </w:r>
    </w:p>
    <w:p w14:paraId="2093C160" w14:textId="39AEF7DC" w:rsidR="00B40251" w:rsidRDefault="00B126F0" w:rsidP="004A372C">
      <w:pPr>
        <w:pStyle w:val="ListParagraph"/>
      </w:pPr>
      <w:r>
        <w:t>R</w:t>
      </w:r>
      <w:r w:rsidR="00EA0C78" w:rsidRPr="00587BE6">
        <w:t>eview</w:t>
      </w:r>
      <w:r w:rsidR="00C74548">
        <w:t>ing</w:t>
      </w:r>
      <w:r w:rsidR="00EA0C78" w:rsidRPr="00587BE6">
        <w:t xml:space="preserve"> </w:t>
      </w:r>
      <w:r w:rsidR="00C74548">
        <w:t xml:space="preserve">the projected rates </w:t>
      </w:r>
      <w:r w:rsidR="00EA0C78" w:rsidRPr="00587BE6">
        <w:t>across the selected councils</w:t>
      </w:r>
      <w:r w:rsidR="00C74548">
        <w:t xml:space="preserve"> against </w:t>
      </w:r>
      <w:r w:rsidR="00C74548" w:rsidRPr="00587BE6">
        <w:t>various measures of affordability</w:t>
      </w:r>
      <w:r w:rsidR="00EA0C78" w:rsidRPr="00587BE6">
        <w:t>, and review</w:t>
      </w:r>
      <w:r w:rsidR="00C74548">
        <w:t>ing</w:t>
      </w:r>
      <w:r w:rsidR="00EA0C78" w:rsidRPr="00587BE6">
        <w:t xml:space="preserve"> of data held by Statistics New Zealand</w:t>
      </w:r>
      <w:r w:rsidR="00EA0C78">
        <w:t>,</w:t>
      </w:r>
      <w:r w:rsidR="00EA0C78" w:rsidRPr="00587BE6">
        <w:t xml:space="preserve"> makes it clear that rates have, and are continuing to, bec</w:t>
      </w:r>
      <w:r w:rsidR="00EA0C78">
        <w:t>ome less affordable over time.</w:t>
      </w:r>
    </w:p>
    <w:p w14:paraId="5F6E312D" w14:textId="0859FAEB" w:rsidR="00EA0C78" w:rsidRPr="00587BE6" w:rsidRDefault="003418D6" w:rsidP="004A372C">
      <w:pPr>
        <w:pStyle w:val="ListParagraph"/>
      </w:pPr>
      <w:r>
        <w:t>O</w:t>
      </w:r>
      <w:r w:rsidR="00EA0C78" w:rsidRPr="00587BE6">
        <w:t>ur modelling of 2015</w:t>
      </w:r>
      <w:r w:rsidR="00465FBD" w:rsidRPr="00587BE6">
        <w:t xml:space="preserve"> L</w:t>
      </w:r>
      <w:r w:rsidR="00465FBD">
        <w:t xml:space="preserve">ong </w:t>
      </w:r>
      <w:r w:rsidR="00465FBD" w:rsidRPr="00587BE6">
        <w:t>T</w:t>
      </w:r>
      <w:r w:rsidR="00465FBD">
        <w:t xml:space="preserve">erm </w:t>
      </w:r>
      <w:r w:rsidR="00465FBD" w:rsidRPr="00587BE6">
        <w:t>P</w:t>
      </w:r>
      <w:r w:rsidR="00465FBD">
        <w:t>lan</w:t>
      </w:r>
      <w:r w:rsidR="00EA0C78" w:rsidRPr="00587BE6">
        <w:t xml:space="preserve"> data (which </w:t>
      </w:r>
      <w:r>
        <w:t>considers future changes in rates</w:t>
      </w:r>
      <w:r w:rsidR="00EA0C78" w:rsidRPr="00587BE6">
        <w:t xml:space="preserve">) and Statistics New Zealand’s data </w:t>
      </w:r>
      <w:r>
        <w:t>(</w:t>
      </w:r>
      <w:r w:rsidR="00EA0C78" w:rsidRPr="00587BE6">
        <w:t xml:space="preserve">which </w:t>
      </w:r>
      <w:r>
        <w:t xml:space="preserve">considers historic changes in rates) </w:t>
      </w:r>
      <w:r w:rsidR="00EA0C78" w:rsidRPr="00587BE6">
        <w:t>demonstrate</w:t>
      </w:r>
      <w:r>
        <w:t>s</w:t>
      </w:r>
      <w:r w:rsidR="00EA0C78" w:rsidRPr="00587BE6">
        <w:t>:</w:t>
      </w:r>
    </w:p>
    <w:p w14:paraId="2161791F" w14:textId="77777777" w:rsidR="00EA0C78" w:rsidRPr="00D43A86" w:rsidRDefault="00EA0C78" w:rsidP="009D38AF">
      <w:pPr>
        <w:pStyle w:val="Bulletpoint"/>
      </w:pPr>
      <w:r>
        <w:t>a</w:t>
      </w:r>
      <w:r w:rsidRPr="00587BE6">
        <w:t xml:space="preserve"> la</w:t>
      </w:r>
      <w:r w:rsidRPr="00D43A86">
        <w:t>rge gap between rates increases and increases in consumer goods or household living costs</w:t>
      </w:r>
    </w:p>
    <w:p w14:paraId="337051B6" w14:textId="77777777" w:rsidR="00EA0C78" w:rsidRPr="00D43A86" w:rsidRDefault="00EA0C78" w:rsidP="009D38AF">
      <w:pPr>
        <w:pStyle w:val="Bulletpoint"/>
      </w:pPr>
      <w:r w:rsidRPr="00D43A86">
        <w:t>a large gap between rates increases and increases in household earnings</w:t>
      </w:r>
    </w:p>
    <w:p w14:paraId="76FB767A" w14:textId="77777777" w:rsidR="00EA0C78" w:rsidRPr="00587BE6" w:rsidRDefault="00EA0C78" w:rsidP="009D38AF">
      <w:pPr>
        <w:pStyle w:val="Bulletpoint"/>
      </w:pPr>
      <w:r w:rsidRPr="00D43A86">
        <w:t>consequ</w:t>
      </w:r>
      <w:r w:rsidRPr="00587BE6">
        <w:t>ential increases in rates as a percentage of both household income and living costs</w:t>
      </w:r>
      <w:r>
        <w:t>.</w:t>
      </w:r>
    </w:p>
    <w:p w14:paraId="27FD0B7A" w14:textId="5EB6DBE7" w:rsidR="00DB2D5B" w:rsidRDefault="00EA0C78" w:rsidP="004A372C">
      <w:pPr>
        <w:pStyle w:val="ListParagraph"/>
      </w:pPr>
      <w:r w:rsidRPr="008C548F">
        <w:t xml:space="preserve">Further, review of the 2018 draft </w:t>
      </w:r>
      <w:r w:rsidR="00465FBD">
        <w:t>Long Term Pla</w:t>
      </w:r>
      <w:r w:rsidR="00C74548">
        <w:t>ns</w:t>
      </w:r>
      <w:r w:rsidRPr="008C548F">
        <w:t xml:space="preserve"> issues by councils indicates that </w:t>
      </w:r>
      <w:r w:rsidR="001731A2">
        <w:t>future rate rises may be higher than were projected in the 2015</w:t>
      </w:r>
      <w:r w:rsidR="00465FBD">
        <w:t xml:space="preserve"> Long Term Plan</w:t>
      </w:r>
      <w:r w:rsidR="00C74548">
        <w:t>s</w:t>
      </w:r>
      <w:r w:rsidR="001731A2">
        <w:t xml:space="preserve">. </w:t>
      </w:r>
      <w:r w:rsidRPr="008C548F">
        <w:t xml:space="preserve">While the average rate rise for the selected councils between 2019 and 2021 in the 2015 </w:t>
      </w:r>
      <w:r w:rsidR="00465FBD">
        <w:t>Long Term Plan</w:t>
      </w:r>
      <w:r w:rsidR="00C74548">
        <w:t>s</w:t>
      </w:r>
      <w:r w:rsidRPr="008C548F">
        <w:t xml:space="preserve"> was 3.4%, this increased to 4.9% in draft 2018</w:t>
      </w:r>
      <w:r w:rsidR="00465FBD" w:rsidRPr="008C548F">
        <w:t xml:space="preserve"> </w:t>
      </w:r>
      <w:r w:rsidR="00465FBD">
        <w:t>Long Term Plans</w:t>
      </w:r>
      <w:r w:rsidRPr="008C548F">
        <w:t xml:space="preserve"> (with a range from 1.2% - 9.5%).</w:t>
      </w:r>
    </w:p>
    <w:p w14:paraId="31AE030A" w14:textId="6398A708" w:rsidR="00EA0C78" w:rsidRPr="003D4C9F" w:rsidRDefault="00EA0C78" w:rsidP="007C0AF1">
      <w:pPr>
        <w:pStyle w:val="ListParagraph"/>
      </w:pPr>
      <w:r w:rsidRPr="003D4C9F">
        <w:t xml:space="preserve">This is a common trend across local government, with </w:t>
      </w:r>
      <w:r w:rsidR="00465FBD" w:rsidRPr="003D4C9F">
        <w:t>Long Term Plan</w:t>
      </w:r>
      <w:r w:rsidR="00C74548" w:rsidRPr="003D4C9F">
        <w:t>s</w:t>
      </w:r>
      <w:r w:rsidRPr="003D4C9F">
        <w:t xml:space="preserve"> typically exhibiting less accuracy beyond year four. The shift in projected rates rises from the 2015</w:t>
      </w:r>
      <w:r w:rsidR="00465FBD" w:rsidRPr="003D4C9F">
        <w:t xml:space="preserve"> Long Term Pla</w:t>
      </w:r>
      <w:r w:rsidR="00C74548" w:rsidRPr="003D4C9F">
        <w:t>ns</w:t>
      </w:r>
      <w:r w:rsidRPr="003D4C9F">
        <w:t xml:space="preserve"> and the 2018 </w:t>
      </w:r>
      <w:r w:rsidR="00465FBD" w:rsidRPr="003D4C9F">
        <w:t>Long Term Plan</w:t>
      </w:r>
      <w:r w:rsidR="00C74548" w:rsidRPr="003D4C9F">
        <w:t>s</w:t>
      </w:r>
      <w:r w:rsidR="00577AB6" w:rsidRPr="003D4C9F">
        <w:t xml:space="preserve"> is demonstrated in</w:t>
      </w:r>
      <w:r w:rsidR="00B126F0" w:rsidRPr="003D4C9F">
        <w:t xml:space="preserve"> </w:t>
      </w:r>
      <w:r w:rsidR="003D4C9F" w:rsidRPr="003D4C9F">
        <w:t xml:space="preserve">Figure </w:t>
      </w:r>
      <w:r w:rsidR="007C0AF1">
        <w:t>10</w:t>
      </w:r>
      <w:r w:rsidRPr="003D4C9F">
        <w:t>, in data provided by the Department of Internal Affairs.</w:t>
      </w:r>
    </w:p>
    <w:p w14:paraId="7BB7678D" w14:textId="7C0C5D7A" w:rsidR="00EA0C78" w:rsidRDefault="00EA0C78" w:rsidP="004A372C">
      <w:pPr>
        <w:pStyle w:val="ListParagraph"/>
      </w:pPr>
      <w:r w:rsidRPr="00FF0941">
        <w:t>The gap between potential wage growth and rates rise appears to be growing</w:t>
      </w:r>
      <w:r>
        <w:t>,</w:t>
      </w:r>
      <w:r w:rsidRPr="00FF0941">
        <w:t xml:space="preserve"> and the compounding effect of the difference between wage growth and rates rises means that affordability of r</w:t>
      </w:r>
      <w:r>
        <w:t>ates is deteriorating.</w:t>
      </w:r>
    </w:p>
    <w:p w14:paraId="7B02B1F2" w14:textId="3D56925F" w:rsidR="00C447F9" w:rsidRPr="00C447F9" w:rsidRDefault="00C447F9" w:rsidP="004A372C">
      <w:pPr>
        <w:pStyle w:val="ListParagraph"/>
      </w:pPr>
      <w:r w:rsidRPr="00C447F9">
        <w:t xml:space="preserve">It is important to note that in preparing </w:t>
      </w:r>
      <w:r w:rsidR="00465FBD" w:rsidRPr="00C447F9">
        <w:t>Long Term Plans</w:t>
      </w:r>
      <w:r w:rsidRPr="00C447F9">
        <w:t xml:space="preserve"> and setting budgets, councils rely on the Local Government Cost Index (set by Business and Economic Research Limited for SOLGM) to determine the levels of inflation that may apply in future years. This is almost always a higher rate than the level of inflation experienced by consumers and households. Assuming that the Local Government Cost Index is an accurate portrayal of the cost incr</w:t>
      </w:r>
      <w:r w:rsidR="005A63A5">
        <w:t>eases faced by local government</w:t>
      </w:r>
      <w:r w:rsidR="00921459">
        <w:t>,</w:t>
      </w:r>
      <w:r w:rsidR="005A63A5">
        <w:t xml:space="preserve"> a</w:t>
      </w:r>
      <w:r w:rsidRPr="00C447F9">
        <w:t>ll else being equal</w:t>
      </w:r>
      <w:r w:rsidR="00921459">
        <w:t>,</w:t>
      </w:r>
      <w:r w:rsidRPr="00C447F9">
        <w:t xml:space="preserve"> it would be expected that local government costs, and consequently rates, will increase faster than other costs faced by households.</w:t>
      </w:r>
    </w:p>
    <w:p w14:paraId="339607CB" w14:textId="57AC09F5" w:rsidR="00B126F0" w:rsidRDefault="00B126F0" w:rsidP="004A372C">
      <w:pPr>
        <w:pStyle w:val="ListParagraph"/>
      </w:pPr>
      <w:r>
        <w:t xml:space="preserve">The increasing gap between wage growth and increases in rates is unlikely to simply be reflective of current economic conditions or a period of low wage inflation. </w:t>
      </w:r>
      <w:r w:rsidRPr="00FF0941">
        <w:t xml:space="preserve">In 23 years’ worth of data held by Statistics New Zealand, year on year wage growth has only exceeded 3% in four years (2006, 2007, 2008, and 2009). In contrast, average rates increase across our sample of councils from 2018 to 2025 average 3.3%, and range between </w:t>
      </w:r>
      <w:r>
        <w:t>-3</w:t>
      </w:r>
      <w:r w:rsidRPr="00FF0941">
        <w:t xml:space="preserve">% and </w:t>
      </w:r>
      <w:r>
        <w:t>7</w:t>
      </w:r>
      <w:r w:rsidRPr="00FF0941">
        <w:t>%</w:t>
      </w:r>
      <w:r>
        <w:t>, meaning it is unlikely that wage growth will ever exceed increases in rates.</w:t>
      </w:r>
      <w:r w:rsidRPr="00FF0941">
        <w:t xml:space="preserve"> </w:t>
      </w:r>
    </w:p>
    <w:p w14:paraId="06C09350" w14:textId="42616CE9" w:rsidR="00B126F0" w:rsidRDefault="00B126F0" w:rsidP="004A372C">
      <w:pPr>
        <w:pStyle w:val="ListParagraph"/>
      </w:pPr>
      <w:r>
        <w:t>The cause of this increase in rates is likely due to one of two broad issues:</w:t>
      </w:r>
    </w:p>
    <w:p w14:paraId="24E00D0D" w14:textId="037340C6" w:rsidR="00B126F0" w:rsidRDefault="00B126F0" w:rsidP="009D38AF">
      <w:pPr>
        <w:pStyle w:val="Bulletpoint"/>
      </w:pPr>
      <w:r>
        <w:t>Councils increasing their reliance on rates as a revenue source</w:t>
      </w:r>
      <w:r w:rsidR="003209A5">
        <w:t>.</w:t>
      </w:r>
    </w:p>
    <w:p w14:paraId="6B0A44B3" w14:textId="77888B8C" w:rsidR="00B126F0" w:rsidRDefault="00B126F0" w:rsidP="009D38AF">
      <w:pPr>
        <w:pStyle w:val="Bulletpoint"/>
      </w:pPr>
      <w:r>
        <w:t>Costs (capital or operating) increasing</w:t>
      </w:r>
      <w:r w:rsidR="003209A5">
        <w:t>.</w:t>
      </w:r>
    </w:p>
    <w:p w14:paraId="515B430A" w14:textId="3527A815" w:rsidR="003246FA" w:rsidRDefault="003246FA">
      <w:pPr>
        <w:spacing w:before="200" w:after="200" w:line="276" w:lineRule="auto"/>
        <w:rPr>
          <w:rFonts w:asciiTheme="minorHAnsi" w:hAnsiTheme="minorHAnsi"/>
          <w:color w:val="404142" w:themeColor="accent3" w:themeShade="80"/>
          <w:szCs w:val="28"/>
        </w:rPr>
      </w:pPr>
      <w:r>
        <w:br w:type="page"/>
      </w:r>
    </w:p>
    <w:p w14:paraId="46E1A657" w14:textId="31F7BEE0" w:rsidR="00222B08" w:rsidRDefault="003246FA" w:rsidP="00AA74DC">
      <w:pPr>
        <w:pStyle w:val="Heading1"/>
      </w:pPr>
      <w:bookmarkStart w:id="33" w:name="_Toc520703181"/>
      <w:r>
        <w:t xml:space="preserve">Councils’ </w:t>
      </w:r>
      <w:r w:rsidR="00E57C01">
        <w:t>Costs</w:t>
      </w:r>
      <w:bookmarkEnd w:id="33"/>
    </w:p>
    <w:p w14:paraId="3514C8AD" w14:textId="730D7A97" w:rsidR="00C74548" w:rsidRDefault="00222B08" w:rsidP="004A372C">
      <w:pPr>
        <w:pStyle w:val="ListParagraph"/>
      </w:pPr>
      <w:r w:rsidRPr="009431E2">
        <w:t xml:space="preserve">In </w:t>
      </w:r>
      <w:r w:rsidR="00237AAC">
        <w:t>this section of the report we consider costs and cost pressures faced by local governme</w:t>
      </w:r>
      <w:r w:rsidR="00573FCD">
        <w:t>n</w:t>
      </w:r>
      <w:r w:rsidR="00237AAC">
        <w:t>t</w:t>
      </w:r>
      <w:r w:rsidR="00573FCD">
        <w:t>.  Costs can be categorised as either capital (</w:t>
      </w:r>
      <w:r w:rsidR="00C74548">
        <w:t xml:space="preserve">e.g. </w:t>
      </w:r>
      <w:r w:rsidR="00573FCD">
        <w:t xml:space="preserve">constructing assets) or operating </w:t>
      </w:r>
      <w:r w:rsidR="002D351E">
        <w:t>(</w:t>
      </w:r>
      <w:r w:rsidR="00C74548">
        <w:t xml:space="preserve">e.g. </w:t>
      </w:r>
      <w:r w:rsidR="002D351E">
        <w:t>employee costs, maintenance, financing costs).</w:t>
      </w:r>
      <w:r w:rsidR="00C74548">
        <w:t xml:space="preserve"> </w:t>
      </w:r>
      <w:r>
        <w:t xml:space="preserve">Increases in </w:t>
      </w:r>
      <w:r w:rsidR="002D351E">
        <w:t>either</w:t>
      </w:r>
      <w:r>
        <w:t xml:space="preserve"> operating costs </w:t>
      </w:r>
      <w:r w:rsidR="002D351E">
        <w:t>or</w:t>
      </w:r>
      <w:r>
        <w:t xml:space="preserve"> capital expenditure will have an impact on the amount of </w:t>
      </w:r>
      <w:r w:rsidR="00C74548">
        <w:t>revenue required to be generate from a</w:t>
      </w:r>
      <w:r w:rsidR="005A63A5">
        <w:t xml:space="preserve"> community.</w:t>
      </w:r>
    </w:p>
    <w:p w14:paraId="42717CE9" w14:textId="1D404336" w:rsidR="00FB7AA4" w:rsidRDefault="00222B08" w:rsidP="004A372C">
      <w:pPr>
        <w:pStyle w:val="ListParagraph"/>
      </w:pPr>
      <w:r>
        <w:t xml:space="preserve">In preparing </w:t>
      </w:r>
      <w:r w:rsidR="00465FBD">
        <w:t>Long Term Pla</w:t>
      </w:r>
      <w:r w:rsidR="004457D7">
        <w:t>n</w:t>
      </w:r>
      <w:r w:rsidR="00C74548">
        <w:t>s</w:t>
      </w:r>
      <w:r>
        <w:t xml:space="preserve"> and setting budgets, councils rely on the </w:t>
      </w:r>
      <w:r w:rsidR="00C74548">
        <w:t>LGCI</w:t>
      </w:r>
      <w:r>
        <w:t xml:space="preserve"> (set by Business and Economic Research Limited</w:t>
      </w:r>
      <w:r w:rsidR="00B836C4">
        <w:t xml:space="preserve"> for SOLGM</w:t>
      </w:r>
      <w:r>
        <w:t>) to determine the levels of inflation that may apply in future years.</w:t>
      </w:r>
      <w:r w:rsidR="00C74548">
        <w:t xml:space="preserve"> </w:t>
      </w:r>
      <w:r w:rsidR="002D351E">
        <w:t>T</w:t>
      </w:r>
      <w:r>
        <w:t>his is often higher than the consumer price index which is used to measure inflation on a typical basket of consumer goods</w:t>
      </w:r>
      <w:r w:rsidR="00FB7AA4">
        <w:t>.</w:t>
      </w:r>
      <w:r w:rsidR="00C74548">
        <w:t xml:space="preserve"> While different, both measures have relevance for this report as we have to consider the council (where LGCI is expected to reflect future cost increases) and the community (where CPI is expected to reflect future cost increases)</w:t>
      </w:r>
      <w:r w:rsidR="005A63A5">
        <w:t>.</w:t>
      </w:r>
    </w:p>
    <w:p w14:paraId="04239E1E" w14:textId="52FC580B" w:rsidR="00E24DB9" w:rsidRDefault="00C74548" w:rsidP="008766A3">
      <w:pPr>
        <w:pStyle w:val="Heading3"/>
        <w:spacing w:before="240"/>
      </w:pPr>
      <w:r>
        <w:t>Future cost</w:t>
      </w:r>
      <w:r w:rsidR="00C447F9">
        <w:t xml:space="preserve"> projections</w:t>
      </w:r>
    </w:p>
    <w:p w14:paraId="7551A0AE" w14:textId="5E4DA5D7" w:rsidR="00FB7AA4" w:rsidRDefault="00FB7AA4" w:rsidP="004A372C">
      <w:pPr>
        <w:pStyle w:val="ListParagraph"/>
      </w:pPr>
      <w:r>
        <w:t xml:space="preserve">It is expected that </w:t>
      </w:r>
      <w:r w:rsidR="00921459">
        <w:t>local govern</w:t>
      </w:r>
      <w:r>
        <w:t xml:space="preserve">ment costs, like any costs, will increase over time with inflation and as the population served by a council gets larger. In order to distinguish this </w:t>
      </w:r>
      <w:r w:rsidR="00921459">
        <w:t>‘</w:t>
      </w:r>
      <w:r>
        <w:t>natural</w:t>
      </w:r>
      <w:r w:rsidR="00921459">
        <w:t>’</w:t>
      </w:r>
      <w:r>
        <w:t xml:space="preserve"> increase in costs from the other causes of cost increases (increasing levels of service, new costs for doing the same things, addition of new services), we have examined local government costs using uninflated (or “Real”) figures on a per ratepayer basis.</w:t>
      </w:r>
    </w:p>
    <w:p w14:paraId="2CBCE8E5" w14:textId="0876C3F8" w:rsidR="00222B08" w:rsidRPr="00F05AB5" w:rsidRDefault="00222B08" w:rsidP="00F05AB5">
      <w:pPr>
        <w:pStyle w:val="ListParagraph"/>
      </w:pPr>
      <w:r w:rsidRPr="00F05AB5">
        <w:t>We found that over tim</w:t>
      </w:r>
      <w:r w:rsidR="00905509" w:rsidRPr="00F05AB5">
        <w:t xml:space="preserve">e, between 2017 and 2025, real </w:t>
      </w:r>
      <w:r w:rsidRPr="00F05AB5">
        <w:t xml:space="preserve">expenditure per ratepayer is projected to decrease by </w:t>
      </w:r>
      <w:r w:rsidR="00FB7AA4" w:rsidRPr="00F05AB5">
        <w:t>15</w:t>
      </w:r>
      <w:r w:rsidRPr="00F05AB5">
        <w:t>% on average across our sample councils.</w:t>
      </w:r>
      <w:r w:rsidR="000F616C" w:rsidRPr="00F05AB5">
        <w:t xml:space="preserve"> However, real operating expenditure </w:t>
      </w:r>
      <w:r w:rsidR="00C74548" w:rsidRPr="00F05AB5">
        <w:t xml:space="preserve">actually </w:t>
      </w:r>
      <w:r w:rsidR="000F616C" w:rsidRPr="00F05AB5">
        <w:t xml:space="preserve">increased </w:t>
      </w:r>
      <w:r w:rsidR="00FB7AA4" w:rsidRPr="00F05AB5">
        <w:t xml:space="preserve">by an average of 8.8% </w:t>
      </w:r>
      <w:r w:rsidR="003209A5" w:rsidRPr="00F05AB5">
        <w:t xml:space="preserve">between 2015 and 2017. This is </w:t>
      </w:r>
      <w:r w:rsidR="000F616C" w:rsidRPr="00F05AB5">
        <w:t>the year</w:t>
      </w:r>
      <w:r w:rsidR="00FB7AA4" w:rsidRPr="00F05AB5">
        <w:t>s</w:t>
      </w:r>
      <w:r w:rsidR="000F616C" w:rsidRPr="00F05AB5">
        <w:t xml:space="preserve"> in which our </w:t>
      </w:r>
      <w:r w:rsidR="003209A5" w:rsidRPr="00F05AB5">
        <w:t>analysis</w:t>
      </w:r>
      <w:r w:rsidR="000F616C" w:rsidRPr="00F05AB5">
        <w:t xml:space="preserve"> was </w:t>
      </w:r>
      <w:r w:rsidR="00F05AB5" w:rsidRPr="00F05AB5">
        <w:t>of</w:t>
      </w:r>
      <w:r w:rsidR="000F616C" w:rsidRPr="00F05AB5">
        <w:t xml:space="preserve"> actual results.</w:t>
      </w:r>
    </w:p>
    <w:p w14:paraId="262DA521" w14:textId="57BA082B" w:rsidR="00222B08" w:rsidRPr="0095104C" w:rsidRDefault="000F616C" w:rsidP="001567EB">
      <w:pPr>
        <w:pStyle w:val="Caption"/>
      </w:pPr>
      <w:bookmarkStart w:id="34" w:name="_Toc520900265"/>
      <w:r w:rsidRPr="0095104C">
        <w:t>F</w:t>
      </w:r>
      <w:r w:rsidR="00222B08" w:rsidRPr="0095104C">
        <w:t xml:space="preserve">igure </w:t>
      </w:r>
      <w:r w:rsidR="00762E28" w:rsidRPr="0095104C">
        <w:fldChar w:fldCharType="begin"/>
      </w:r>
      <w:r w:rsidR="00762E28" w:rsidRPr="0095104C">
        <w:instrText xml:space="preserve"> SEQ Figure \* ARABIC </w:instrText>
      </w:r>
      <w:r w:rsidR="00762E28" w:rsidRPr="0095104C">
        <w:fldChar w:fldCharType="separate"/>
      </w:r>
      <w:r w:rsidR="00A00D18">
        <w:rPr>
          <w:noProof/>
        </w:rPr>
        <w:t>11</w:t>
      </w:r>
      <w:r w:rsidR="00762E28" w:rsidRPr="0095104C">
        <w:fldChar w:fldCharType="end"/>
      </w:r>
      <w:r w:rsidR="00222B08" w:rsidRPr="0095104C">
        <w:tab/>
        <w:t xml:space="preserve">Real expenditure per ratepayer – </w:t>
      </w:r>
      <w:r w:rsidR="00ED3BC5">
        <w:t>capital versus operating</w:t>
      </w:r>
      <w:bookmarkEnd w:id="34"/>
    </w:p>
    <w:p w14:paraId="4024B4CF" w14:textId="07A0296E" w:rsidR="00222B08" w:rsidRPr="0095104C" w:rsidRDefault="00ED3BC5" w:rsidP="00222B08">
      <w:r>
        <w:rPr>
          <w:noProof/>
          <w:lang w:eastAsia="en-NZ"/>
        </w:rPr>
        <w:drawing>
          <wp:inline distT="0" distB="0" distL="0" distR="0" wp14:anchorId="26620CCC" wp14:editId="04363FA8">
            <wp:extent cx="5724000" cy="3564000"/>
            <wp:effectExtent l="0" t="0" r="10160" b="1778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395086" w14:textId="1281A406" w:rsidR="00222B08" w:rsidRPr="0095104C" w:rsidRDefault="00222B08" w:rsidP="004A372C">
      <w:pPr>
        <w:pStyle w:val="ListParagraph"/>
      </w:pPr>
      <w:r w:rsidRPr="0095104C">
        <w:t xml:space="preserve">Similarly, our review of real capital expenditure over the same period suggested councils are decreasing their total capital expenditure per ratepayer by </w:t>
      </w:r>
      <w:r w:rsidR="00FB7AA4">
        <w:t>19</w:t>
      </w:r>
      <w:r w:rsidRPr="0095104C">
        <w:t>% in real terms, although this is less consistent across the sample.</w:t>
      </w:r>
      <w:r w:rsidR="00FB7AA4">
        <w:t xml:space="preserve"> </w:t>
      </w:r>
      <w:r w:rsidR="00C74548">
        <w:t>Again, however, t</w:t>
      </w:r>
      <w:r w:rsidR="00FB7AA4">
        <w:t xml:space="preserve">his decrease occurs following an increase in </w:t>
      </w:r>
      <w:r w:rsidR="00C74548">
        <w:t xml:space="preserve">capital </w:t>
      </w:r>
      <w:r w:rsidR="00FB7AA4">
        <w:t xml:space="preserve">expenditure that extends from 2015 through to 2018 (beyond the period of </w:t>
      </w:r>
      <w:r w:rsidR="001A0A10">
        <w:t>actual results being used).</w:t>
      </w:r>
    </w:p>
    <w:p w14:paraId="23647E48" w14:textId="3447E02D" w:rsidR="00222B08" w:rsidRDefault="00222B08" w:rsidP="004A372C">
      <w:pPr>
        <w:pStyle w:val="ListParagraph"/>
      </w:pPr>
      <w:r>
        <w:t xml:space="preserve">Arguably this indicates that the local government sector, as a whole, </w:t>
      </w:r>
      <w:r w:rsidR="00C550F1">
        <w:t>forecasts</w:t>
      </w:r>
      <w:r>
        <w:t xml:space="preserve"> becoming more e</w:t>
      </w:r>
      <w:r w:rsidR="001A0A10">
        <w:t>fficient in delivering services</w:t>
      </w:r>
      <w:r w:rsidR="00C550F1">
        <w:t>. I</w:t>
      </w:r>
      <w:r w:rsidR="001A0A10">
        <w:t xml:space="preserve">ncreases in the years of actual results </w:t>
      </w:r>
      <w:r w:rsidR="00C550F1">
        <w:t xml:space="preserve">analysed in this report however </w:t>
      </w:r>
      <w:r w:rsidR="001A0A10">
        <w:t>suggest that this may not be the case.</w:t>
      </w:r>
    </w:p>
    <w:p w14:paraId="3E2B2F5F" w14:textId="4BFBCB32" w:rsidR="00E24DB9" w:rsidRDefault="00E24DB9" w:rsidP="00E24DB9">
      <w:pPr>
        <w:pStyle w:val="Heading3"/>
      </w:pPr>
      <w:r>
        <w:t>Historic</w:t>
      </w:r>
      <w:r w:rsidR="00C74548">
        <w:t xml:space="preserve"> perspective of council costs </w:t>
      </w:r>
    </w:p>
    <w:p w14:paraId="22A9D2D3" w14:textId="040F6D9D" w:rsidR="001A0A10" w:rsidRDefault="009A7436" w:rsidP="007C0AF1">
      <w:pPr>
        <w:pStyle w:val="ListParagraph"/>
      </w:pPr>
      <w:r>
        <w:t>Notwithstanding the analysis of 2015</w:t>
      </w:r>
      <w:r w:rsidR="00465FBD">
        <w:t xml:space="preserve"> Long Term Plan </w:t>
      </w:r>
      <w:r>
        <w:t>data shown above, the Local Government Business Forum</w:t>
      </w:r>
      <w:r>
        <w:rPr>
          <w:rStyle w:val="FootnoteReference"/>
        </w:rPr>
        <w:footnoteReference w:id="6"/>
      </w:r>
      <w:r>
        <w:t xml:space="preserve"> has also considered real operating costs and real rates rises </w:t>
      </w:r>
      <w:r w:rsidR="000F616C">
        <w:t>per capita</w:t>
      </w:r>
      <w:r w:rsidR="00C74548">
        <w:t xml:space="preserve">. A reducing real operating cost arguably indicates an increasing efficiency </w:t>
      </w:r>
      <w:r w:rsidR="00D254FE">
        <w:t>over time.</w:t>
      </w:r>
      <w:r w:rsidR="000F616C">
        <w:t xml:space="preserve"> Their analysis</w:t>
      </w:r>
      <w:r w:rsidR="00C74548">
        <w:t xml:space="preserve"> show in Figure 1</w:t>
      </w:r>
      <w:r w:rsidR="007C0AF1">
        <w:t>2</w:t>
      </w:r>
      <w:r w:rsidR="00C74548">
        <w:t xml:space="preserve"> below</w:t>
      </w:r>
      <w:r w:rsidR="000F616C">
        <w:t>, while using a different cost index (the producers</w:t>
      </w:r>
      <w:r w:rsidR="00905509">
        <w:t>’</w:t>
      </w:r>
      <w:r w:rsidR="000F616C">
        <w:t xml:space="preserve"> price index for local government rather than the local government cost index), shows the costs, and revenues of local government increasing in real terms since 1994.</w:t>
      </w:r>
    </w:p>
    <w:p w14:paraId="552D8CAA" w14:textId="0CE40411" w:rsidR="00BB4411" w:rsidRPr="00190CF5" w:rsidRDefault="00BB4411" w:rsidP="008766A3">
      <w:pPr>
        <w:pStyle w:val="Caption"/>
        <w:spacing w:before="240" w:after="240"/>
      </w:pPr>
      <w:bookmarkStart w:id="35" w:name="_Toc520900266"/>
      <w:r>
        <w:t xml:space="preserve">Figure </w:t>
      </w:r>
      <w:r>
        <w:fldChar w:fldCharType="begin"/>
      </w:r>
      <w:r>
        <w:instrText xml:space="preserve"> SEQ Figure \* ARABIC </w:instrText>
      </w:r>
      <w:r>
        <w:fldChar w:fldCharType="separate"/>
      </w:r>
      <w:r w:rsidR="00A00D18">
        <w:rPr>
          <w:noProof/>
        </w:rPr>
        <w:t>12</w:t>
      </w:r>
      <w:r>
        <w:fldChar w:fldCharType="end"/>
      </w:r>
      <w:r>
        <w:tab/>
        <w:t>Historical rates and operating expenditure adjusted for population and local government costs</w:t>
      </w:r>
      <w:bookmarkEnd w:id="35"/>
    </w:p>
    <w:p w14:paraId="33DC7A3D" w14:textId="25963683" w:rsidR="00190CF5" w:rsidRDefault="00BB4411" w:rsidP="00E24DB9">
      <w:pPr>
        <w:pStyle w:val="Body"/>
      </w:pPr>
      <w:r>
        <w:rPr>
          <w:noProof/>
          <w:lang w:eastAsia="en-NZ"/>
        </w:rPr>
        <mc:AlternateContent>
          <mc:Choice Requires="wps">
            <w:drawing>
              <wp:anchor distT="0" distB="0" distL="114300" distR="114300" simplePos="0" relativeHeight="251650048" behindDoc="0" locked="0" layoutInCell="1" allowOverlap="1" wp14:anchorId="0EB60E1E" wp14:editId="1F08075F">
                <wp:simplePos x="0" y="0"/>
                <wp:positionH relativeFrom="column">
                  <wp:posOffset>39370</wp:posOffset>
                </wp:positionH>
                <wp:positionV relativeFrom="paragraph">
                  <wp:posOffset>3617856</wp:posOffset>
                </wp:positionV>
                <wp:extent cx="2764155" cy="395530"/>
                <wp:effectExtent l="0" t="0" r="0" b="5080"/>
                <wp:wrapNone/>
                <wp:docPr id="41" name="Text Box 41"/>
                <wp:cNvGraphicFramePr/>
                <a:graphic xmlns:a="http://schemas.openxmlformats.org/drawingml/2006/main">
                  <a:graphicData uri="http://schemas.microsoft.com/office/word/2010/wordprocessingShape">
                    <wps:wsp>
                      <wps:cNvSpPr txBox="1"/>
                      <wps:spPr>
                        <a:xfrm>
                          <a:off x="0" y="0"/>
                          <a:ext cx="2764155" cy="395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0A568" w14:textId="3910D0F8" w:rsidR="007C0AF1" w:rsidRPr="00A6118A" w:rsidRDefault="007C0AF1" w:rsidP="00BB4411">
                            <w:pPr>
                              <w:rPr>
                                <w:b/>
                                <w:bCs/>
                                <w:color w:val="404142" w:themeColor="accent3" w:themeShade="80"/>
                              </w:rPr>
                            </w:pPr>
                            <w:r w:rsidRPr="00A6118A">
                              <w:rPr>
                                <w:b/>
                                <w:bCs/>
                                <w:i/>
                                <w:iCs/>
                                <w:color w:val="404142" w:themeColor="accent3" w:themeShade="80"/>
                              </w:rPr>
                              <w:t xml:space="preserve">Source: </w:t>
                            </w:r>
                            <w:r>
                              <w:rPr>
                                <w:b/>
                                <w:bCs/>
                                <w:i/>
                                <w:iCs/>
                                <w:color w:val="404142" w:themeColor="accent3" w:themeShade="80"/>
                              </w:rPr>
                              <w:t>Local Government Business Forum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3.1pt;margin-top:284.85pt;width:217.65pt;height:3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OmgwIAAGwFAAAOAAAAZHJzL2Uyb0RvYy54bWysVE1PGzEQvVfqf7B8L5uEhJaIDUpBVJUQ&#10;oELF2fHaZFWvx7Wd7Ka/vs9ONoloL1S97I5n3ozn440vLrvGsLXyoSZb8uHJgDNlJVW1fSn596eb&#10;D584C1HYShiyquQbFfjl7P27i9ZN1YiWZCrlGYLYMG1dyZcxumlRBLlUjQgn5JSFUZNvRMTRvxSV&#10;Fy2iN6YYDQZnRUu+cp6kCgHa662Rz3J8rZWM91oHFZkpOXKL+evzd5G+xexCTF+8cMta7tIQ/5BF&#10;I2qLS/ehrkUUbOXrP0I1tfQUSMcTSU1BWtdS5RpQzXDwqprHpXAq14LmBLdvU/h/YeXd+sGzuir5&#10;eMiZFQ1m9KS6yD5Tx6BCf1oXpoA9OgBjBz3m3OsDlKnsTvsm/VEQgx2d3uy7m6JJKEcfz8bDyYQz&#10;Cdvp+WRymttfHLydD/GLooYloeQe08tNFevbEJEJoD0kXWbppjYmT9BY1pb87HQyyA57CzyMTViV&#10;ubALkyraZp6luDEqYYz9pjR6kQtIisxCdWU8WwvwR0ipbMy157hAJ5RGEm9x3OEPWb3FeVtHfzPZ&#10;uHduaks+V/8q7epHn7Le4tHIo7qTGLtFl0kwzCNJqgVVGwzc03ZlgpM3NaZyK0J8EB47ghlj7+M9&#10;PtoQuk87ibMl+V9/0yc8qAsrZy12ruTh50p4xZn5akHq8+F4nJY0H8aTjyMc/LFlcWyxq+aKMBbw&#10;FtllMeGj6UXtqXnG8zBPt8IkrMTdJY+9eBW3LwGeF6nm8wzCWjoRb+2jkyl0mlLi3FP3LLzbETOC&#10;0nfUb6eYvuLnFps8Lc1XkXSdyXvo6m4AWOnM6d3zk96M43NGHR7J2W8AAAD//wMAUEsDBBQABgAI&#10;AAAAIQAMH2Qw4QAAAAkBAAAPAAAAZHJzL2Rvd25yZXYueG1sTI9BT4NAEIXvJv6HzZh4s0uxYEWW&#10;piFpTIw9tPbibWCnQGRnkd226K93Pelx8r28902+mkwvzjS6zrKC+SwCQVxb3XGj4PC2uVuCcB5Z&#10;Y2+ZFHyRg1VxfZVjpu2Fd3Te+0aEEnYZKmi9HzIpXd2SQTezA3FgRzsa9OEcG6lHvIRy08s4ilJp&#10;sOOw0OJAZUv1x/5kFLyUmy3uqtgsv/vy+fW4Hj4P74lStzfT+gmEp8n/heFXP6hDEZwqe2LtRK8g&#10;jUNQQZI+PoAIfLGYJyCqAO7jCGSRy/8fFD8AAAD//wMAUEsBAi0AFAAGAAgAAAAhALaDOJL+AAAA&#10;4QEAABMAAAAAAAAAAAAAAAAAAAAAAFtDb250ZW50X1R5cGVzXS54bWxQSwECLQAUAAYACAAAACEA&#10;OP0h/9YAAACUAQAACwAAAAAAAAAAAAAAAAAvAQAAX3JlbHMvLnJlbHNQSwECLQAUAAYACAAAACEA&#10;+lBzpoMCAABsBQAADgAAAAAAAAAAAAAAAAAuAgAAZHJzL2Uyb0RvYy54bWxQSwECLQAUAAYACAAA&#10;ACEADB9kMOEAAAAJAQAADwAAAAAAAAAAAAAAAADdBAAAZHJzL2Rvd25yZXYueG1sUEsFBgAAAAAE&#10;AAQA8wAAAOsFAAAAAA==&#10;" filled="f" stroked="f" strokeweight=".5pt">
                <v:textbox>
                  <w:txbxContent>
                    <w:p w14:paraId="1CC0A568" w14:textId="3910D0F8" w:rsidR="007C0AF1" w:rsidRPr="00A6118A" w:rsidRDefault="007C0AF1" w:rsidP="00BB4411">
                      <w:pPr>
                        <w:rPr>
                          <w:b/>
                          <w:bCs/>
                          <w:color w:val="404142" w:themeColor="accent3" w:themeShade="80"/>
                        </w:rPr>
                      </w:pPr>
                      <w:r w:rsidRPr="00A6118A">
                        <w:rPr>
                          <w:b/>
                          <w:bCs/>
                          <w:i/>
                          <w:iCs/>
                          <w:color w:val="404142" w:themeColor="accent3" w:themeShade="80"/>
                        </w:rPr>
                        <w:t xml:space="preserve">Source: </w:t>
                      </w:r>
                      <w:r>
                        <w:rPr>
                          <w:b/>
                          <w:bCs/>
                          <w:i/>
                          <w:iCs/>
                          <w:color w:val="404142" w:themeColor="accent3" w:themeShade="80"/>
                        </w:rPr>
                        <w:t>Local Government Business Forum</w:t>
                      </w:r>
                    </w:p>
                  </w:txbxContent>
                </v:textbox>
              </v:shape>
            </w:pict>
          </mc:Fallback>
        </mc:AlternateContent>
      </w:r>
      <w:r w:rsidR="00190CF5">
        <w:rPr>
          <w:noProof/>
          <w:lang w:eastAsia="en-NZ"/>
        </w:rPr>
        <w:drawing>
          <wp:inline distT="0" distB="0" distL="0" distR="0" wp14:anchorId="70127984" wp14:editId="2F0F26AC">
            <wp:extent cx="5048607" cy="3193676"/>
            <wp:effectExtent l="438150" t="438150" r="438150" b="4451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contrast="40000"/>
                              </a14:imgEffect>
                            </a14:imgLayer>
                          </a14:imgProps>
                        </a:ext>
                      </a:extLst>
                    </a:blip>
                    <a:stretch>
                      <a:fillRect/>
                    </a:stretch>
                  </pic:blipFill>
                  <pic:spPr>
                    <a:xfrm>
                      <a:off x="0" y="0"/>
                      <a:ext cx="5063659" cy="3203197"/>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7DCDB0EB" w14:textId="2820B0C3" w:rsidR="00E24DB9" w:rsidRDefault="000F616C" w:rsidP="004A372C">
      <w:pPr>
        <w:pStyle w:val="ListParagraph"/>
      </w:pPr>
      <w:r>
        <w:t xml:space="preserve">This </w:t>
      </w:r>
      <w:r w:rsidR="001A0A10">
        <w:t>suggests</w:t>
      </w:r>
      <w:r>
        <w:t xml:space="preserve"> that while councils set budgets on the basis of </w:t>
      </w:r>
      <w:r w:rsidR="00C74548">
        <w:t xml:space="preserve">reducing costs over time or </w:t>
      </w:r>
      <w:r>
        <w:t>becoming more efficient over time, the reality is that operating costs are increasing for most councils in real terms. T</w:t>
      </w:r>
      <w:r w:rsidR="00E24DB9">
        <w:t>his could be the result of:</w:t>
      </w:r>
    </w:p>
    <w:p w14:paraId="147C8CF2" w14:textId="1E0A8AF4" w:rsidR="00E24DB9" w:rsidRDefault="00A81A2F" w:rsidP="009D38AF">
      <w:pPr>
        <w:pStyle w:val="Bulletpoint"/>
      </w:pPr>
      <w:r>
        <w:t>increasing levels of service being provided</w:t>
      </w:r>
    </w:p>
    <w:p w14:paraId="406FF593" w14:textId="21FAAA45" w:rsidR="00E24DB9" w:rsidRDefault="00A81A2F" w:rsidP="009D38AF">
      <w:pPr>
        <w:pStyle w:val="Bulletpoint"/>
      </w:pPr>
      <w:r>
        <w:t>more services being provided, or new costs (including compliance costs) introduced</w:t>
      </w:r>
    </w:p>
    <w:p w14:paraId="75F1E4F9" w14:textId="7202DA05" w:rsidR="001B10BC" w:rsidRPr="001A0A10" w:rsidRDefault="00A81A2F" w:rsidP="009D38AF">
      <w:pPr>
        <w:pStyle w:val="Bulletpoint"/>
      </w:pPr>
      <w:r>
        <w:t>services being delivered less efficiently</w:t>
      </w:r>
    </w:p>
    <w:p w14:paraId="61047458" w14:textId="71B0BCA9" w:rsidR="00137158" w:rsidRDefault="00A81A2F" w:rsidP="009D38AF">
      <w:pPr>
        <w:pStyle w:val="Bulletpoint"/>
      </w:pPr>
      <w:r>
        <w:t>growth introducing proportionally higher additional costs</w:t>
      </w:r>
    </w:p>
    <w:p w14:paraId="5E4A6160" w14:textId="2795F459" w:rsidR="000F616C" w:rsidRDefault="00A81A2F" w:rsidP="009D38AF">
      <w:pPr>
        <w:pStyle w:val="Bulletpoint"/>
      </w:pPr>
      <w:r>
        <w:t>loc</w:t>
      </w:r>
      <w:r w:rsidR="00E24DB9">
        <w:t>al government inflation rates exceeding the rates used to remove the impa</w:t>
      </w:r>
      <w:r w:rsidR="000F616C">
        <w:t>ct of inflation in the analysis</w:t>
      </w:r>
      <w:r>
        <w:t>.</w:t>
      </w:r>
    </w:p>
    <w:p w14:paraId="7C667EBC" w14:textId="32058EA8" w:rsidR="00C550F1" w:rsidRDefault="00C550F1" w:rsidP="004A372C">
      <w:pPr>
        <w:pStyle w:val="ListParagraph"/>
      </w:pPr>
      <w:r>
        <w:t xml:space="preserve">While it is likely that a number of the above points as well as other factors may combine to explain the increasing costs faced by local government, what is clear is that </w:t>
      </w:r>
      <w:r w:rsidR="00465FBD">
        <w:t>Long Term Pla</w:t>
      </w:r>
      <w:r>
        <w:t>ns have not been successful (on the whole) at reflecting the actual operating costs for local government, projected rate rises or future debt levels.</w:t>
      </w:r>
    </w:p>
    <w:p w14:paraId="3501C426" w14:textId="7BD9DD07" w:rsidR="001A0A10" w:rsidRDefault="00C302DB" w:rsidP="004A372C">
      <w:pPr>
        <w:pStyle w:val="ListParagraph"/>
      </w:pPr>
      <w:r>
        <w:t xml:space="preserve">This </w:t>
      </w:r>
      <w:r w:rsidR="00A8719B">
        <w:t>‘</w:t>
      </w:r>
      <w:r>
        <w:t>flip</w:t>
      </w:r>
      <w:r w:rsidR="00A8719B">
        <w:t>’</w:t>
      </w:r>
      <w:r>
        <w:t xml:space="preserve"> from a projected decrease in costs in real terms to an actual increase in costs in real terms occurs relatively quickly, suggesting that a number of the factors that may be increasing cost</w:t>
      </w:r>
      <w:r w:rsidR="00A8719B">
        <w:t>s are unplanned or unbudgeted.</w:t>
      </w:r>
    </w:p>
    <w:p w14:paraId="172A4CBE" w14:textId="0FDE280C" w:rsidR="00C302DB" w:rsidRDefault="001A0A10" w:rsidP="007C0AF1">
      <w:pPr>
        <w:pStyle w:val="ListParagraph"/>
      </w:pPr>
      <w:r>
        <w:fldChar w:fldCharType="begin"/>
      </w:r>
      <w:r>
        <w:instrText xml:space="preserve"> REF _Ref520360241 \h </w:instrText>
      </w:r>
      <w:r>
        <w:fldChar w:fldCharType="separate"/>
      </w:r>
      <w:r w:rsidR="00A00D18">
        <w:t xml:space="preserve">Figure </w:t>
      </w:r>
      <w:r w:rsidR="00A00D18">
        <w:rPr>
          <w:noProof/>
        </w:rPr>
        <w:t>13</w:t>
      </w:r>
      <w:r>
        <w:fldChar w:fldCharType="end"/>
      </w:r>
      <w:r w:rsidR="007C0AF1">
        <w:t>3</w:t>
      </w:r>
      <w:r>
        <w:t xml:space="preserve"> </w:t>
      </w:r>
      <w:r w:rsidR="00C302DB">
        <w:t xml:space="preserve">below shows the average real operating cost per ratepayer across our sample councils as forecast in their 2015 </w:t>
      </w:r>
      <w:r w:rsidR="00465FBD">
        <w:t>Long Term Pla</w:t>
      </w:r>
      <w:r w:rsidR="00C74548">
        <w:t>ns</w:t>
      </w:r>
      <w:r w:rsidR="00C302DB">
        <w:t xml:space="preserve"> (2015 values are actuals) versus the actual average real operating cost per ratepayer.</w:t>
      </w:r>
      <w:r>
        <w:t xml:space="preserve"> It shows actual expenditure exceeding projected expenditure in </w:t>
      </w:r>
      <w:r w:rsidR="00465FBD">
        <w:t>Long Term Pla</w:t>
      </w:r>
      <w:r w:rsidR="00A81A2F">
        <w:t>n</w:t>
      </w:r>
      <w:r w:rsidR="00C74548">
        <w:t>s</w:t>
      </w:r>
      <w:r>
        <w:t xml:space="preserve"> by 3.3% in 2016, and the impact of this accumulating to create a gap of 7% by 2017. This is a significant difference for a period of just two years.</w:t>
      </w:r>
    </w:p>
    <w:p w14:paraId="6FB92733" w14:textId="3DA944F7" w:rsidR="00D13FDB" w:rsidRDefault="00D13FDB" w:rsidP="008766A3">
      <w:pPr>
        <w:pStyle w:val="Caption"/>
        <w:spacing w:before="240"/>
      </w:pPr>
      <w:bookmarkStart w:id="36" w:name="_Ref520360241"/>
      <w:bookmarkStart w:id="37" w:name="_Toc520900267"/>
      <w:r>
        <w:t xml:space="preserve">Figure </w:t>
      </w:r>
      <w:r>
        <w:fldChar w:fldCharType="begin"/>
      </w:r>
      <w:r>
        <w:instrText xml:space="preserve"> SEQ Figure \* ARABIC </w:instrText>
      </w:r>
      <w:r>
        <w:fldChar w:fldCharType="separate"/>
      </w:r>
      <w:r w:rsidR="00A00D18">
        <w:rPr>
          <w:noProof/>
        </w:rPr>
        <w:t>13</w:t>
      </w:r>
      <w:r>
        <w:fldChar w:fldCharType="end"/>
      </w:r>
      <w:bookmarkEnd w:id="36"/>
      <w:r>
        <w:tab/>
        <w:t>Real expenditure per ratepayer actuals versus LTP 2015 to 2017</w:t>
      </w:r>
      <w:bookmarkEnd w:id="37"/>
    </w:p>
    <w:p w14:paraId="395C656E" w14:textId="58D78318" w:rsidR="008766A3" w:rsidRDefault="00C302DB" w:rsidP="00921459">
      <w:pPr>
        <w:jc w:val="center"/>
        <w:rPr>
          <w:rFonts w:asciiTheme="majorHAnsi" w:hAnsiTheme="majorHAnsi"/>
          <w:b/>
          <w:color w:val="84AC2F"/>
          <w:sz w:val="28"/>
          <w:szCs w:val="28"/>
        </w:rPr>
      </w:pPr>
      <w:r w:rsidRPr="0070585A">
        <w:rPr>
          <w:noProof/>
          <w:lang w:eastAsia="en-NZ"/>
        </w:rPr>
        <w:drawing>
          <wp:inline distT="0" distB="0" distL="0" distR="0" wp14:anchorId="21B746E4" wp14:editId="43100689">
            <wp:extent cx="6048000" cy="3492000"/>
            <wp:effectExtent l="0" t="0" r="10160"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8766A3">
        <w:br w:type="page"/>
      </w:r>
    </w:p>
    <w:p w14:paraId="6E234BC6" w14:textId="6A361F51" w:rsidR="009128F6" w:rsidRPr="00CD1045" w:rsidRDefault="009128F6" w:rsidP="00C550F1">
      <w:pPr>
        <w:pStyle w:val="Heading3"/>
      </w:pPr>
      <w:r>
        <w:t>Section Summary</w:t>
      </w:r>
    </w:p>
    <w:p w14:paraId="73D76000" w14:textId="7001622E" w:rsidR="000D6297" w:rsidRDefault="000D6297" w:rsidP="004A372C">
      <w:pPr>
        <w:pStyle w:val="ListParagraph"/>
      </w:pPr>
      <w:r>
        <w:t>Because rates, and the total amount of revenue required by a council, are set using a cost based model, increases in either operating costs or capital expenditure will have an impact on the amount of rates required from a community. When considering why rates are becoming more unaffordable over time, it is therefore necessary to examine what is happening to costs.</w:t>
      </w:r>
    </w:p>
    <w:p w14:paraId="135529B1" w14:textId="416325E5" w:rsidR="000D6297" w:rsidRDefault="000D6297" w:rsidP="004A372C">
      <w:pPr>
        <w:pStyle w:val="ListParagraph"/>
      </w:pPr>
      <w:r>
        <w:t>In order to distinguish</w:t>
      </w:r>
      <w:r w:rsidR="00C447F9">
        <w:t xml:space="preserve"> between</w:t>
      </w:r>
      <w:r>
        <w:t xml:space="preserve"> th</w:t>
      </w:r>
      <w:r w:rsidR="00C447F9">
        <w:t>e inflationary</w:t>
      </w:r>
      <w:r>
        <w:t xml:space="preserve"> increase in costs from the other causes of cost increases (such as increasing levels of service, new costs for doing the same things, addition of new services), we have examined local government costs using uninflated (or “Real”) figures on a per ratepayer basis.</w:t>
      </w:r>
    </w:p>
    <w:p w14:paraId="5B1EEE21" w14:textId="0D01BCE8" w:rsidR="009128F6" w:rsidRPr="001D608A" w:rsidRDefault="000D6297" w:rsidP="004A372C">
      <w:pPr>
        <w:pStyle w:val="ListParagraph"/>
      </w:pPr>
      <w:r>
        <w:t xml:space="preserve">We found that over time, between 2017 and 2025, real expenditure per ratepayer is planned to </w:t>
      </w:r>
      <w:r w:rsidRPr="00AD5F5F">
        <w:t xml:space="preserve">decrease by </w:t>
      </w:r>
      <w:r>
        <w:t>15</w:t>
      </w:r>
      <w:r w:rsidRPr="00AD5F5F">
        <w:t>% on average across our</w:t>
      </w:r>
      <w:r>
        <w:t xml:space="preserve"> sample councils. </w:t>
      </w:r>
      <w:r w:rsidRPr="0095104C">
        <w:t xml:space="preserve">However, real operating expenditure increased </w:t>
      </w:r>
      <w:r>
        <w:t xml:space="preserve">by an average of 8.8% </w:t>
      </w:r>
      <w:r w:rsidRPr="0095104C">
        <w:t xml:space="preserve">between 2015 </w:t>
      </w:r>
      <w:r w:rsidR="008766A3">
        <w:t>and</w:t>
      </w:r>
      <w:r w:rsidRPr="0095104C">
        <w:t xml:space="preserve"> 2017, or the year</w:t>
      </w:r>
      <w:r>
        <w:t>s</w:t>
      </w:r>
      <w:r w:rsidRPr="0095104C">
        <w:t xml:space="preserve"> in which our model was populated with actual results.</w:t>
      </w:r>
      <w:r w:rsidR="00C447F9">
        <w:t xml:space="preserve"> F</w:t>
      </w:r>
      <w:r>
        <w:t>urther analysis of historical expenditure and comparison of actual results with budgeted performance shows that</w:t>
      </w:r>
      <w:r w:rsidR="00A8719B">
        <w:t xml:space="preserve"> </w:t>
      </w:r>
      <w:r w:rsidR="00465FBD">
        <w:t>Long Term Pla</w:t>
      </w:r>
      <w:r w:rsidR="00C74548">
        <w:t>ns</w:t>
      </w:r>
      <w:r w:rsidR="009128F6">
        <w:t xml:space="preserve"> have not been successful (on the whole) at reflecting actual operating costs for local government, as reductions in costs forecast in </w:t>
      </w:r>
      <w:r w:rsidR="00465FBD">
        <w:t>Long Term Pla</w:t>
      </w:r>
      <w:r w:rsidR="00A8719B">
        <w:t>n</w:t>
      </w:r>
      <w:r w:rsidR="00C74548">
        <w:t>s</w:t>
      </w:r>
      <w:r w:rsidR="009128F6">
        <w:t xml:space="preserve"> do not appear to come to fruition.</w:t>
      </w:r>
    </w:p>
    <w:p w14:paraId="76F9268D" w14:textId="5F81BB57" w:rsidR="009128F6" w:rsidRDefault="009128F6" w:rsidP="004A372C">
      <w:pPr>
        <w:pStyle w:val="ListParagraph"/>
      </w:pPr>
      <w:r>
        <w:t xml:space="preserve">This suggests that while councils set budgets on the basis of </w:t>
      </w:r>
      <w:r w:rsidR="00C447F9">
        <w:t xml:space="preserve">costs reducing </w:t>
      </w:r>
      <w:r>
        <w:t>over time, the reality is that operating costs are increasing for most councils in real terms. This could be the result of:</w:t>
      </w:r>
    </w:p>
    <w:p w14:paraId="4F48EEE6" w14:textId="446E939E" w:rsidR="009128F6" w:rsidRDefault="00921459" w:rsidP="009D38AF">
      <w:pPr>
        <w:pStyle w:val="Bulletpoint"/>
      </w:pPr>
      <w:r>
        <w:t>increasing levels of service being provided</w:t>
      </w:r>
    </w:p>
    <w:p w14:paraId="3C01DB2D" w14:textId="6C0E3F3A" w:rsidR="009128F6" w:rsidRDefault="00921459" w:rsidP="009D38AF">
      <w:pPr>
        <w:pStyle w:val="Bulletpoint"/>
      </w:pPr>
      <w:r>
        <w:t>more services being provided, or new costs (including compliance costs) introduced</w:t>
      </w:r>
    </w:p>
    <w:p w14:paraId="2E421D39" w14:textId="07868C75" w:rsidR="009128F6" w:rsidRPr="001A0A10" w:rsidRDefault="00921459" w:rsidP="009D38AF">
      <w:pPr>
        <w:pStyle w:val="Bulletpoint"/>
      </w:pPr>
      <w:r>
        <w:t>services being delivered less efficiently</w:t>
      </w:r>
    </w:p>
    <w:p w14:paraId="3967DF4F" w14:textId="3C7B6084" w:rsidR="009128F6" w:rsidRDefault="00921459" w:rsidP="009D38AF">
      <w:pPr>
        <w:pStyle w:val="Bulletpoint"/>
      </w:pPr>
      <w:r>
        <w:t>growth introducing proportionally higher additional costs than the costs to service existing properties, or</w:t>
      </w:r>
    </w:p>
    <w:p w14:paraId="28811454" w14:textId="45F82F03" w:rsidR="009128F6" w:rsidRDefault="00921459" w:rsidP="009D38AF">
      <w:pPr>
        <w:pStyle w:val="Bulletpoint"/>
      </w:pPr>
      <w:r>
        <w:t>ac</w:t>
      </w:r>
      <w:r w:rsidR="00607C43">
        <w:t>tual inflation experienced by local government exceeding the rates that have been projected</w:t>
      </w:r>
      <w:r>
        <w:t>.</w:t>
      </w:r>
    </w:p>
    <w:p w14:paraId="6191E452" w14:textId="187B30A8" w:rsidR="00607C43" w:rsidRDefault="00607C43" w:rsidP="004A372C">
      <w:pPr>
        <w:pStyle w:val="ListParagraph"/>
      </w:pPr>
      <w:r>
        <w:t xml:space="preserve">The </w:t>
      </w:r>
      <w:r w:rsidR="00A8719B">
        <w:t>‘</w:t>
      </w:r>
      <w:r>
        <w:t>flip</w:t>
      </w:r>
      <w:r w:rsidR="00A8719B">
        <w:t>’</w:t>
      </w:r>
      <w:r>
        <w:t xml:space="preserve"> from </w:t>
      </w:r>
      <w:r w:rsidR="00465FBD">
        <w:t>Long Term Plan</w:t>
      </w:r>
      <w:r w:rsidR="00C74548">
        <w:t>s</w:t>
      </w:r>
      <w:r>
        <w:t xml:space="preserve"> projecting a </w:t>
      </w:r>
      <w:r w:rsidR="00A8719B">
        <w:t>decrease in costs in real terms</w:t>
      </w:r>
      <w:r>
        <w:t xml:space="preserve"> to an actual increase in costs in real terms, occurs relatively quickly suggesting that a number of the factors that may be increasing cost</w:t>
      </w:r>
      <w:r w:rsidR="00A8719B">
        <w:t>s are unplanned or unbudgeted.</w:t>
      </w:r>
    </w:p>
    <w:p w14:paraId="000F5095" w14:textId="4132A361" w:rsidR="00777737" w:rsidRDefault="00847364" w:rsidP="00C447F9">
      <w:pPr>
        <w:pStyle w:val="Heading2"/>
      </w:pPr>
      <w:bookmarkStart w:id="38" w:name="_Toc520703182"/>
      <w:r>
        <w:t>Renewal costs and depreciation</w:t>
      </w:r>
      <w:bookmarkEnd w:id="38"/>
    </w:p>
    <w:p w14:paraId="59E30FE5" w14:textId="77777777" w:rsidR="00590F30" w:rsidRDefault="00590F30" w:rsidP="004A372C">
      <w:pPr>
        <w:pStyle w:val="ListParagraph"/>
      </w:pPr>
      <w:r>
        <w:t>One of the primary functions of a local authority in New Zealand is to develop and maintain infrastructure for the delivery of public services. Consequently, local authorities in New Zealand have significant investments in infrastructural assets.</w:t>
      </w:r>
    </w:p>
    <w:p w14:paraId="76E5ADB0" w14:textId="4B0FF8AD" w:rsidR="00590F30" w:rsidRDefault="00590F30" w:rsidP="004A372C">
      <w:pPr>
        <w:pStyle w:val="ListParagraph"/>
      </w:pPr>
      <w:r>
        <w:t xml:space="preserve">According to 2015 </w:t>
      </w:r>
      <w:r w:rsidR="00465FBD">
        <w:t>Long Term Plan</w:t>
      </w:r>
      <w:r>
        <w:t xml:space="preserve"> data, the net book value of all fixed assets held by New Zealand councils totalled $121 billion of fixed assets in 2016. The full replacement cost of those assets is likely substantially higher than that, however this is difficult to quantify as disclosure of this value is not consistent across councils. This compares to a total national rates take of $5.3 billion in the same year.</w:t>
      </w:r>
    </w:p>
    <w:p w14:paraId="66DC2F93" w14:textId="77777777" w:rsidR="00A8719B" w:rsidRDefault="00A8719B">
      <w:pPr>
        <w:spacing w:before="200" w:after="200" w:line="276" w:lineRule="auto"/>
        <w:rPr>
          <w:rFonts w:eastAsia="Times New Roman" w:cs="Times New Roman"/>
          <w:color w:val="404142" w:themeColor="accent3" w:themeShade="80"/>
          <w:lang w:val="en-AU"/>
        </w:rPr>
      </w:pPr>
      <w:r>
        <w:br w:type="page"/>
      </w:r>
    </w:p>
    <w:p w14:paraId="4D3DFC61" w14:textId="69D93301" w:rsidR="00590F30" w:rsidRDefault="00590F30" w:rsidP="004A372C">
      <w:pPr>
        <w:pStyle w:val="ListParagraph"/>
      </w:pPr>
      <w:r>
        <w:t xml:space="preserve">While not all of these assets are likely to need replacing at once, as they vary in age and condition, the potential costs associated with renewing assets are typically the largest single type of expenditure facing most councils. </w:t>
      </w:r>
    </w:p>
    <w:p w14:paraId="4BCFC6FC" w14:textId="3BEBCCDB" w:rsidR="00C447F9" w:rsidRDefault="00C447F9" w:rsidP="00C447F9">
      <w:pPr>
        <w:pStyle w:val="Heading3"/>
      </w:pPr>
      <w:bookmarkStart w:id="39" w:name="_Toc516829048"/>
      <w:r>
        <w:t>Depreciation</w:t>
      </w:r>
      <w:bookmarkEnd w:id="39"/>
      <w:r>
        <w:t xml:space="preserve"> expenditure </w:t>
      </w:r>
    </w:p>
    <w:p w14:paraId="790FEE8B" w14:textId="77777777" w:rsidR="004571B8" w:rsidRDefault="004571B8" w:rsidP="004A372C">
      <w:pPr>
        <w:pStyle w:val="ListParagraph"/>
      </w:pPr>
      <w:r>
        <w:t>Councils, like most businesses, provide for future renewals of assets by charging depreciation on the assets that they own</w:t>
      </w:r>
      <w:r>
        <w:rPr>
          <w:rStyle w:val="FootnoteReference"/>
        </w:rPr>
        <w:footnoteReference w:id="7"/>
      </w:r>
      <w:r>
        <w:t>. When a council has a balanced budget, it will typically collect sufficient revenue to cover all of its day to day outgoings plus the depreciation charge on its assets. Typically, the revenue collected for depreciation charges is used to fund the renewal of assets, or is set aside to be able to fund the renewal of assets at a future date.</w:t>
      </w:r>
    </w:p>
    <w:p w14:paraId="65F12305" w14:textId="7EEAFA61" w:rsidR="003209A5" w:rsidRDefault="003209A5" w:rsidP="004A372C">
      <w:pPr>
        <w:pStyle w:val="ListParagraph"/>
      </w:pPr>
      <w:r>
        <w:t>Depreciation charges accounted for a total of $2.3 billion of expenditure in New Zealand councils in 2017 (per annual report data collected by the Department of Internal Affairs). That is equivalent to 43% of total rates and typically accounts for 25% of total expenditure of a council.</w:t>
      </w:r>
    </w:p>
    <w:p w14:paraId="3B0EAC20" w14:textId="6ED952C0" w:rsidR="00DF439E" w:rsidRDefault="00DF439E" w:rsidP="004A372C">
      <w:pPr>
        <w:pStyle w:val="ListParagraph"/>
      </w:pPr>
      <w:r>
        <w:t xml:space="preserve">In this section we look at depreciation and renewals expenditure specifically. While capital expenditure may also include upgrades or </w:t>
      </w:r>
      <w:r w:rsidR="00C447F9">
        <w:t>growth-related</w:t>
      </w:r>
      <w:r>
        <w:t xml:space="preserve"> capital expenditure, this type of expenditure typically relies on debt in the short to medium term (which is addressed elsewhere), with the repayment of that debt being funded by rates or develo</w:t>
      </w:r>
      <w:r w:rsidR="00A8719B">
        <w:t>pment contributions over time.</w:t>
      </w:r>
    </w:p>
    <w:p w14:paraId="45C150E1" w14:textId="3C4BDBFA" w:rsidR="00DF439E" w:rsidRDefault="00DF439E" w:rsidP="004A372C">
      <w:pPr>
        <w:pStyle w:val="ListParagraph"/>
      </w:pPr>
      <w:r>
        <w:t>The</w:t>
      </w:r>
      <w:r w:rsidR="004571B8">
        <w:t xml:space="preserve"> first thing we have examined is whether councils are collecting enough revenue to be able to fund depreciation and therefore the renewal of their assets. We have used the </w:t>
      </w:r>
      <w:r>
        <w:t xml:space="preserve">depreciation funding ratio </w:t>
      </w:r>
      <w:r w:rsidR="004571B8">
        <w:t xml:space="preserve">for this purpose. The ratio </w:t>
      </w:r>
      <w:r>
        <w:t>measures cash flows from operating activities (i.e. cash flows before borrowing, investment and capital expenditure) against the d</w:t>
      </w:r>
      <w:r w:rsidR="00A8719B">
        <w:t>epreciation on existing assets.</w:t>
      </w:r>
    </w:p>
    <w:p w14:paraId="7B956E88" w14:textId="695FB5F8" w:rsidR="00DF439E" w:rsidRDefault="00DF439E" w:rsidP="007C0AF1">
      <w:pPr>
        <w:pStyle w:val="ListParagraph"/>
      </w:pPr>
      <w:r>
        <w:t xml:space="preserve">The </w:t>
      </w:r>
      <w:r w:rsidR="004571B8">
        <w:t>analysis</w:t>
      </w:r>
      <w:r>
        <w:t xml:space="preserve"> for the s</w:t>
      </w:r>
      <w:r w:rsidR="004571B8">
        <w:t xml:space="preserve">elected </w:t>
      </w:r>
      <w:r>
        <w:t xml:space="preserve">councils shows that </w:t>
      </w:r>
      <w:r w:rsidR="004571B8">
        <w:t>they</w:t>
      </w:r>
      <w:r>
        <w:t xml:space="preserve"> are typically collecting enough revenue to cover their day to day expenses and to fund the renewal (deprecation) of their assets. </w:t>
      </w:r>
      <w:r w:rsidR="004571B8">
        <w:t>Figure 1</w:t>
      </w:r>
      <w:r w:rsidR="007C0AF1">
        <w:t>4</w:t>
      </w:r>
      <w:r w:rsidR="004571B8">
        <w:t xml:space="preserve"> below</w:t>
      </w:r>
      <w:r>
        <w:t xml:space="preserve"> shows the depreciation funding ratio</w:t>
      </w:r>
      <w:r w:rsidR="00157A91">
        <w:t xml:space="preserve"> (adjusted to remove capital grants and grant funded depreciation)</w:t>
      </w:r>
      <w:r>
        <w:t xml:space="preserve"> for the s</w:t>
      </w:r>
      <w:r w:rsidR="004571B8">
        <w:t>elected</w:t>
      </w:r>
      <w:r>
        <w:t xml:space="preserve"> councils</w:t>
      </w:r>
      <w:r w:rsidR="004571B8">
        <w:t>. M</w:t>
      </w:r>
      <w:r>
        <w:t>ost council</w:t>
      </w:r>
      <w:r w:rsidR="00157A91">
        <w:t>s</w:t>
      </w:r>
      <w:r w:rsidR="004A372C">
        <w:t>,</w:t>
      </w:r>
      <w:r>
        <w:t xml:space="preserve"> </w:t>
      </w:r>
      <w:r w:rsidR="004571B8">
        <w:t>as expected</w:t>
      </w:r>
      <w:r w:rsidR="004A372C">
        <w:t>,</w:t>
      </w:r>
      <w:r w:rsidR="004571B8">
        <w:t xml:space="preserve"> </w:t>
      </w:r>
      <w:r>
        <w:t>sit near or above 100%</w:t>
      </w:r>
      <w:r w:rsidR="00A8719B">
        <w:t>.</w:t>
      </w:r>
    </w:p>
    <w:p w14:paraId="796259BD" w14:textId="77777777" w:rsidR="00A8719B" w:rsidRDefault="00A8719B">
      <w:pPr>
        <w:spacing w:before="200" w:after="200" w:line="276" w:lineRule="auto"/>
        <w:rPr>
          <w:rFonts w:asciiTheme="minorHAnsi" w:hAnsiTheme="minorHAnsi"/>
          <w:b/>
          <w:color w:val="404142" w:themeColor="accent3" w:themeShade="80"/>
          <w:szCs w:val="28"/>
        </w:rPr>
      </w:pPr>
      <w:bookmarkStart w:id="40" w:name="_Ref520363072"/>
      <w:r>
        <w:br w:type="page"/>
      </w:r>
    </w:p>
    <w:p w14:paraId="2EBE52BD" w14:textId="332D5628" w:rsidR="00DF439E" w:rsidRDefault="00DF439E" w:rsidP="008766A3">
      <w:pPr>
        <w:pStyle w:val="Caption"/>
        <w:spacing w:before="240"/>
      </w:pPr>
      <w:bookmarkStart w:id="41" w:name="_Toc520900268"/>
      <w:r w:rsidRPr="00555D0D">
        <w:t xml:space="preserve">Figure </w:t>
      </w:r>
      <w:r>
        <w:fldChar w:fldCharType="begin"/>
      </w:r>
      <w:r>
        <w:instrText xml:space="preserve"> SEQ Figure \* ARABIC </w:instrText>
      </w:r>
      <w:r>
        <w:fldChar w:fldCharType="separate"/>
      </w:r>
      <w:r w:rsidR="00A00D18">
        <w:rPr>
          <w:noProof/>
        </w:rPr>
        <w:t>14</w:t>
      </w:r>
      <w:r>
        <w:fldChar w:fldCharType="end"/>
      </w:r>
      <w:bookmarkEnd w:id="40"/>
      <w:r w:rsidRPr="00555D0D">
        <w:tab/>
        <w:t>Depreciation</w:t>
      </w:r>
      <w:r>
        <w:t xml:space="preserve"> funding ratio – selected councils 2015 LTP data</w:t>
      </w:r>
      <w:bookmarkEnd w:id="41"/>
    </w:p>
    <w:p w14:paraId="0DE29054" w14:textId="77777777" w:rsidR="00DF439E" w:rsidRDefault="00DF439E" w:rsidP="00DF439E">
      <w:r>
        <w:rPr>
          <w:noProof/>
          <w:lang w:eastAsia="en-NZ"/>
        </w:rPr>
        <w:drawing>
          <wp:inline distT="0" distB="0" distL="0" distR="0" wp14:anchorId="013D091D" wp14:editId="5B847166">
            <wp:extent cx="6048000" cy="3636000"/>
            <wp:effectExtent l="0" t="0" r="10160" b="2222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85C2D4C" w14:textId="77777777" w:rsidR="004571B8" w:rsidRDefault="004571B8" w:rsidP="004A372C">
      <w:pPr>
        <w:pStyle w:val="ListParagraph"/>
      </w:pPr>
      <w:r>
        <w:t>Where councils are not achieving a depreciation funding ratio of 100% or higher, this could be due to a number of reasons:</w:t>
      </w:r>
    </w:p>
    <w:p w14:paraId="361CD712" w14:textId="5C84C91A" w:rsidR="00A8719B" w:rsidRDefault="004571B8" w:rsidP="007C0AF1">
      <w:pPr>
        <w:pStyle w:val="Bulletpoint"/>
      </w:pPr>
      <w:r>
        <w:t xml:space="preserve">In years showing actual performance, other operating expenses may have exceeded budgets (hence the larger proportion of councils with a depreciation funding ratio below 100% between 2015 and 2017 in </w:t>
      </w:r>
      <w:r w:rsidR="00A8719B">
        <w:t>Figure 1</w:t>
      </w:r>
      <w:r w:rsidR="007C0AF1">
        <w:t>4</w:t>
      </w:r>
      <w:r w:rsidR="00A8719B">
        <w:t>)</w:t>
      </w:r>
      <w:r w:rsidR="003209A5">
        <w:t>.</w:t>
      </w:r>
    </w:p>
    <w:p w14:paraId="46F54C1D" w14:textId="3305FE78" w:rsidR="004571B8" w:rsidRDefault="004571B8" w:rsidP="009D38AF">
      <w:pPr>
        <w:pStyle w:val="Bulletpoint"/>
      </w:pPr>
      <w:r>
        <w:t>Council has adopted a strategy of reinvesting depreciation such that interest savings or investment returns are “topping up” the depreciation funding deficit</w:t>
      </w:r>
      <w:r w:rsidR="003209A5">
        <w:t>.</w:t>
      </w:r>
    </w:p>
    <w:p w14:paraId="4B75C2D6" w14:textId="080012D2" w:rsidR="004571B8" w:rsidRDefault="004571B8" w:rsidP="009D38AF">
      <w:pPr>
        <w:pStyle w:val="Bulletpoint"/>
      </w:pPr>
      <w:r>
        <w:t>The council does not intend to fund the replacement of all of its assets</w:t>
      </w:r>
      <w:r w:rsidR="003209A5">
        <w:t>.</w:t>
      </w:r>
    </w:p>
    <w:p w14:paraId="7FC05E76" w14:textId="77777777" w:rsidR="004571B8" w:rsidRDefault="004571B8" w:rsidP="009D38AF">
      <w:pPr>
        <w:pStyle w:val="Bulletpoint"/>
      </w:pPr>
      <w:r>
        <w:t>The community cannot afford to fully fund depreciation, or the rates impact of switching to a “fully funded” model may be too large.</w:t>
      </w:r>
    </w:p>
    <w:p w14:paraId="7CBE7371" w14:textId="1069556B" w:rsidR="004571B8" w:rsidRDefault="00895326" w:rsidP="004A372C">
      <w:pPr>
        <w:pStyle w:val="ListParagraph"/>
      </w:pPr>
      <w:r>
        <w:t>It is important to note that t</w:t>
      </w:r>
      <w:r w:rsidR="004571B8">
        <w:t>he ratio does not measure whether that cash flow is actually used for the replacement of existing assets, and some of this cash may be used by councils to invest in level of service or gr</w:t>
      </w:r>
      <w:r w:rsidR="00A8719B">
        <w:t>owth assets.</w:t>
      </w:r>
    </w:p>
    <w:p w14:paraId="011D7B33" w14:textId="7704BC40" w:rsidR="00C83F07" w:rsidRPr="00633DB4" w:rsidRDefault="00C83F07" w:rsidP="00C83F07">
      <w:pPr>
        <w:rPr>
          <w:b/>
        </w:rPr>
      </w:pPr>
      <w:r w:rsidRPr="00633DB4">
        <w:rPr>
          <w:b/>
        </w:rPr>
        <w:t>Depreciation Expense</w:t>
      </w:r>
    </w:p>
    <w:p w14:paraId="238A7478" w14:textId="2E1625B1" w:rsidR="00DF439E" w:rsidRPr="00633DB4" w:rsidRDefault="00DF439E" w:rsidP="004A372C">
      <w:pPr>
        <w:pStyle w:val="ListParagraph"/>
      </w:pPr>
      <w:r w:rsidRPr="00633DB4">
        <w:t>Depreciation is simply an estimate however, based on the estimated replacement cost of an asset (using today’s technology, and at today’s prices) spread over the estimated useful life of the asset. Where assets deteriorate faster than anticipated, depreciation collected will be insufficient to replace the asset.</w:t>
      </w:r>
      <w:r w:rsidR="00157A91" w:rsidRPr="00633DB4">
        <w:t xml:space="preserve"> </w:t>
      </w:r>
      <w:r w:rsidRPr="00633DB4">
        <w:t>Similarly, where an asset lasts longer than its estimated life a council may collect depreciation</w:t>
      </w:r>
      <w:r w:rsidR="004A372C">
        <w:t xml:space="preserve"> too quickly</w:t>
      </w:r>
      <w:r w:rsidRPr="00633DB4">
        <w:t>.</w:t>
      </w:r>
      <w:r w:rsidRPr="00633DB4">
        <w:rPr>
          <w:noProof/>
          <w:lang w:eastAsia="en-NZ"/>
        </w:rPr>
        <w:t xml:space="preserve"> </w:t>
      </w:r>
      <w:r w:rsidR="00157A91" w:rsidRPr="00633DB4">
        <w:rPr>
          <w:noProof/>
          <w:lang w:eastAsia="en-NZ"/>
        </w:rPr>
        <w:t>Changes in technology may also impact whether depreciation is sufficient to fund the future replacement of the asset.</w:t>
      </w:r>
    </w:p>
    <w:p w14:paraId="11A2EA27" w14:textId="68D17573" w:rsidR="00DF439E" w:rsidRPr="00633DB4" w:rsidRDefault="00DF439E" w:rsidP="004A372C">
      <w:pPr>
        <w:pStyle w:val="ListParagraph"/>
      </w:pPr>
      <w:r w:rsidRPr="00633DB4">
        <w:t>Our analysis of the sample councils’ 2015 LTP data shows depreciation typically comprising 25% of a council’s annual expenditure.</w:t>
      </w:r>
      <w:r w:rsidR="00C83F07" w:rsidRPr="00633DB4">
        <w:t xml:space="preserve"> The size of depreciation expense </w:t>
      </w:r>
      <w:r w:rsidR="003209A5">
        <w:t>means that it typically</w:t>
      </w:r>
      <w:r w:rsidR="00C83F07" w:rsidRPr="00633DB4">
        <w:t xml:space="preserve"> has a major impact on the amount of rates that need to be collected.</w:t>
      </w:r>
    </w:p>
    <w:p w14:paraId="31FD8361" w14:textId="29E6410E" w:rsidR="00DF439E" w:rsidRPr="00633DB4" w:rsidRDefault="00DF439E" w:rsidP="00DF439E">
      <w:pPr>
        <w:pStyle w:val="Caption"/>
      </w:pPr>
      <w:bookmarkStart w:id="42" w:name="_Toc520900269"/>
      <w:r w:rsidRPr="00633DB4">
        <w:t xml:space="preserve">Figure </w:t>
      </w:r>
      <w:r w:rsidRPr="00633DB4">
        <w:fldChar w:fldCharType="begin"/>
      </w:r>
      <w:r w:rsidRPr="00633DB4">
        <w:instrText xml:space="preserve"> SEQ Figure \* ARABIC </w:instrText>
      </w:r>
      <w:r w:rsidRPr="00633DB4">
        <w:fldChar w:fldCharType="separate"/>
      </w:r>
      <w:r w:rsidR="00A00D18">
        <w:rPr>
          <w:noProof/>
        </w:rPr>
        <w:t>15</w:t>
      </w:r>
      <w:r w:rsidRPr="00633DB4">
        <w:fldChar w:fldCharType="end"/>
      </w:r>
      <w:r w:rsidRPr="00633DB4">
        <w:tab/>
        <w:t>Depreciation as a percentage of total expenditure over time</w:t>
      </w:r>
      <w:bookmarkEnd w:id="42"/>
    </w:p>
    <w:p w14:paraId="65A5F654" w14:textId="77777777" w:rsidR="00DF439E" w:rsidRPr="00633DB4" w:rsidRDefault="00DF439E" w:rsidP="00DF439E">
      <w:pPr>
        <w:pStyle w:val="Body"/>
        <w:rPr>
          <w:b/>
        </w:rPr>
      </w:pPr>
      <w:r w:rsidRPr="00633DB4">
        <w:rPr>
          <w:noProof/>
          <w:lang w:eastAsia="en-NZ"/>
        </w:rPr>
        <w:drawing>
          <wp:inline distT="0" distB="0" distL="0" distR="0" wp14:anchorId="39F3569B" wp14:editId="6D66B610">
            <wp:extent cx="6202018" cy="3856382"/>
            <wp:effectExtent l="0" t="0" r="27940" b="1079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DF1FC0C" w14:textId="71187B9A" w:rsidR="00DF439E" w:rsidRPr="00633DB4" w:rsidRDefault="00DF439E" w:rsidP="004A372C">
      <w:pPr>
        <w:pStyle w:val="ListParagraph"/>
      </w:pPr>
      <w:r w:rsidRPr="00633DB4">
        <w:t xml:space="preserve">Unlike total expenditure, depreciation is forecast to increase slightly (0.7% per annum) in real terms per ratepayer over the life of the 2015 </w:t>
      </w:r>
      <w:r w:rsidR="00465FBD" w:rsidRPr="00633DB4">
        <w:t>Long Term Plan</w:t>
      </w:r>
      <w:r w:rsidR="00C74548" w:rsidRPr="00633DB4">
        <w:t>s</w:t>
      </w:r>
      <w:r w:rsidRPr="00633DB4">
        <w:t xml:space="preserve">. This is indicative of the increased costs associated with servicing and maintaining new assets, and increases in the cost of replacing assets (the capital component of the local government cost index is typically higher </w:t>
      </w:r>
      <w:r w:rsidR="00A8719B">
        <w:t>than the operating component).</w:t>
      </w:r>
    </w:p>
    <w:p w14:paraId="675F13DA" w14:textId="6BF6075B" w:rsidR="00DF439E" w:rsidRPr="00633DB4" w:rsidRDefault="00DF439E" w:rsidP="004A372C">
      <w:pPr>
        <w:pStyle w:val="ListParagraph"/>
      </w:pPr>
      <w:r w:rsidRPr="00633DB4">
        <w:t>When looking at 2015 – 2017 alone, depreciation costs increased even faster than projected, showing an increase of 3% over the two year period (or an annual increase of around 1.5%).</w:t>
      </w:r>
    </w:p>
    <w:p w14:paraId="58850F64" w14:textId="181767E1" w:rsidR="00633DB4" w:rsidRPr="00633DB4" w:rsidRDefault="00633DB4" w:rsidP="00633DB4">
      <w:pPr>
        <w:rPr>
          <w:b/>
        </w:rPr>
      </w:pPr>
      <w:r w:rsidRPr="00633DB4">
        <w:rPr>
          <w:b/>
        </w:rPr>
        <w:t>Future renewal costs</w:t>
      </w:r>
    </w:p>
    <w:p w14:paraId="5E07EC01" w14:textId="7891E9BF" w:rsidR="00C81F3E" w:rsidRDefault="00590F30" w:rsidP="004A372C">
      <w:pPr>
        <w:pStyle w:val="ListParagraph"/>
      </w:pPr>
      <w:r>
        <w:t xml:space="preserve">For some time, there has been discussion around local government that the sector is facing </w:t>
      </w:r>
      <w:r w:rsidR="00895326">
        <w:t xml:space="preserve">a large number of assets beginning to reach the end of the estimated useful lives. This is often referred to as the </w:t>
      </w:r>
      <w:r>
        <w:t>renewals hump or wave</w:t>
      </w:r>
      <w:r w:rsidR="00895326">
        <w:t>. D</w:t>
      </w:r>
      <w:r>
        <w:t>iscussion about a potential renewals hump or wave has been raised by the Office of the Auditor General for a number of years, and most recently in their publication “Local Government: Results of the 2016/17 Audits”.</w:t>
      </w:r>
    </w:p>
    <w:p w14:paraId="5E834DCD" w14:textId="77777777" w:rsidR="00C81F3E" w:rsidRDefault="00C81F3E" w:rsidP="00C81F3E">
      <w:pPr>
        <w:pStyle w:val="Body"/>
        <w:rPr>
          <w:rFonts w:eastAsia="Times New Roman" w:cs="Times New Roman"/>
          <w:lang w:val="en-AU"/>
        </w:rPr>
      </w:pPr>
      <w:r>
        <w:br w:type="page"/>
      </w:r>
    </w:p>
    <w:p w14:paraId="731E21B8" w14:textId="37770CE6" w:rsidR="00607C43" w:rsidRDefault="00607C43" w:rsidP="004A372C">
      <w:pPr>
        <w:pStyle w:val="ListParagraph"/>
      </w:pPr>
      <w:r>
        <w:t>Understanding how much money a council is actually spending on renewals is important, because a portion of rates are collected for the ultimate purpose of developing the financial capacity to renew assets.  Where this funding is not ultimately applied towards that purpose, future generations will be required to contribute more at a later date. Additionally, failure to renew assets when required may lead to additional reactive maintenance costs, or deterioration in the condition of, and service provided by, the asset.</w:t>
      </w:r>
    </w:p>
    <w:p w14:paraId="07CB59D4" w14:textId="22B0C9E0" w:rsidR="009F33CC" w:rsidRDefault="00895326" w:rsidP="004A372C">
      <w:pPr>
        <w:pStyle w:val="ListParagraph"/>
      </w:pPr>
      <w:r>
        <w:t>O</w:t>
      </w:r>
      <w:r w:rsidRPr="009539D6">
        <w:t>ver time renewals expenditure should be e</w:t>
      </w:r>
      <w:r>
        <w:t>xpected to equal depreciation b</w:t>
      </w:r>
      <w:r w:rsidRPr="009539D6">
        <w:t>ecause depreciation is a charge representing the use or deterioration of an asset</w:t>
      </w:r>
      <w:r>
        <w:t>. In a number of jurisdictions councils must report on variations of benchmarks or ratios built around this assumption</w:t>
      </w:r>
      <w:r w:rsidR="00B957C2">
        <w:rPr>
          <w:rStyle w:val="FootnoteReference"/>
        </w:rPr>
        <w:footnoteReference w:id="8"/>
      </w:r>
      <w:r>
        <w:t xml:space="preserve">. </w:t>
      </w:r>
      <w:r w:rsidR="009F33CC" w:rsidRPr="009539D6">
        <w:t xml:space="preserve">The renewals ratio </w:t>
      </w:r>
      <w:r>
        <w:t xml:space="preserve">used in this report </w:t>
      </w:r>
      <w:r w:rsidR="009F33CC" w:rsidRPr="009539D6">
        <w:t>measures the amount of money a council is planning to spend on asset replacement</w:t>
      </w:r>
      <w:r w:rsidR="009F33CC">
        <w:t xml:space="preserve"> or renewal</w:t>
      </w:r>
      <w:r w:rsidR="009F33CC" w:rsidRPr="009539D6">
        <w:t xml:space="preserve"> as compared to the</w:t>
      </w:r>
      <w:r w:rsidR="00A81A2F">
        <w:t>ir annual depreciation expense.</w:t>
      </w:r>
    </w:p>
    <w:p w14:paraId="1F41BC43" w14:textId="0FDE29F0" w:rsidR="009F33CC" w:rsidRPr="009539D6" w:rsidRDefault="009F33CC" w:rsidP="004A372C">
      <w:pPr>
        <w:pStyle w:val="ListParagraph"/>
      </w:pPr>
      <w:r w:rsidRPr="009539D6">
        <w:t xml:space="preserve">In practice, it would be unusual for renewals expenditure to be exactly 100% of depreciation expenditure as depreciation is typically allocated evenly over the life of an asset while renewals expenditure </w:t>
      </w:r>
      <w:r>
        <w:t>usually occurs</w:t>
      </w:r>
      <w:r w:rsidRPr="009539D6">
        <w:t xml:space="preserve"> when an asset reaches the end of its useful life</w:t>
      </w:r>
      <w:r>
        <w:t xml:space="preserve"> or otherwise fails</w:t>
      </w:r>
      <w:r w:rsidRPr="009539D6">
        <w:t xml:space="preserve">. However, in mature organisations where assets have been built up over time, one would expect to see a </w:t>
      </w:r>
      <w:r w:rsidR="00895326" w:rsidRPr="009539D6">
        <w:t>long-term</w:t>
      </w:r>
      <w:r w:rsidRPr="009539D6">
        <w:t xml:space="preserve"> trend of renewals expenditure sitting near 100% of depreciation.</w:t>
      </w:r>
      <w:r>
        <w:t xml:space="preserve"> </w:t>
      </w:r>
      <w:r w:rsidR="002911C6">
        <w:t>In our view, performance in the renewals ratio between 90% and 110% would indicate that a council has a mature asset base and is renewing its assets at a predictable rate</w:t>
      </w:r>
      <w:r w:rsidR="002911C6">
        <w:rPr>
          <w:rStyle w:val="FootnoteReference"/>
        </w:rPr>
        <w:footnoteReference w:id="9"/>
      </w:r>
      <w:r w:rsidR="00A81A2F">
        <w:t>.</w:t>
      </w:r>
    </w:p>
    <w:p w14:paraId="37E00A31" w14:textId="442C8969" w:rsidR="009F33CC" w:rsidRDefault="007C0AF1" w:rsidP="004A372C">
      <w:pPr>
        <w:pStyle w:val="ListParagraph"/>
      </w:pPr>
      <w:r>
        <w:t>Figure 16</w:t>
      </w:r>
      <w:r w:rsidR="009057C7">
        <w:t xml:space="preserve"> </w:t>
      </w:r>
      <w:r w:rsidR="009F33CC">
        <w:t>shows the distribution of all New Zealand councils budgeted performance against the renewals ratio.</w:t>
      </w:r>
      <w:r w:rsidR="009057C7">
        <w:t xml:space="preserve"> Over the life of the 2015 LTP</w:t>
      </w:r>
      <w:r w:rsidR="009057C7" w:rsidRPr="009539D6">
        <w:t>s, average performance across all New Zealand councils for the renewals ratio is 78%, with 75% of councils having average performance below 87%.</w:t>
      </w:r>
      <w:r w:rsidR="009057C7">
        <w:t xml:space="preserve"> </w:t>
      </w:r>
      <w:r w:rsidR="009057C7" w:rsidRPr="009539D6">
        <w:t xml:space="preserve">The councils selected for analysis in this study (shown in </w:t>
      </w:r>
      <w:r w:rsidR="009057C7">
        <w:t>green</w:t>
      </w:r>
      <w:r w:rsidR="009057C7" w:rsidRPr="009539D6">
        <w:t>) are representative of the national distribution against this ratio</w:t>
      </w:r>
      <w:r w:rsidR="009057C7">
        <w:t>.</w:t>
      </w:r>
    </w:p>
    <w:p w14:paraId="4544C41F" w14:textId="77777777" w:rsidR="00A81A2F" w:rsidRDefault="00A81A2F">
      <w:pPr>
        <w:spacing w:before="200" w:after="200" w:line="276" w:lineRule="auto"/>
        <w:rPr>
          <w:rFonts w:asciiTheme="minorHAnsi" w:hAnsiTheme="minorHAnsi"/>
          <w:b/>
          <w:color w:val="404142" w:themeColor="accent3" w:themeShade="80"/>
          <w:szCs w:val="28"/>
        </w:rPr>
      </w:pPr>
      <w:bookmarkStart w:id="43" w:name="_Toc516746886"/>
      <w:r>
        <w:br w:type="page"/>
      </w:r>
    </w:p>
    <w:p w14:paraId="2B4AA06D" w14:textId="529B1E04" w:rsidR="009F33CC" w:rsidRDefault="009F33CC" w:rsidP="009F33CC">
      <w:pPr>
        <w:pStyle w:val="Caption"/>
      </w:pPr>
      <w:bookmarkStart w:id="44" w:name="_Toc520900270"/>
      <w:r>
        <w:t xml:space="preserve">Figure </w:t>
      </w:r>
      <w:r>
        <w:fldChar w:fldCharType="begin"/>
      </w:r>
      <w:r>
        <w:instrText xml:space="preserve"> SEQ Figure \* ARABIC </w:instrText>
      </w:r>
      <w:r>
        <w:fldChar w:fldCharType="separate"/>
      </w:r>
      <w:r w:rsidR="00A00D18">
        <w:rPr>
          <w:noProof/>
        </w:rPr>
        <w:t>16</w:t>
      </w:r>
      <w:r>
        <w:fldChar w:fldCharType="end"/>
      </w:r>
      <w:r>
        <w:tab/>
        <w:t>Renewals ratio – all councils 2015 LTP data</w:t>
      </w:r>
      <w:bookmarkEnd w:id="43"/>
      <w:bookmarkEnd w:id="44"/>
    </w:p>
    <w:p w14:paraId="68F945B2" w14:textId="77777777" w:rsidR="009F33CC" w:rsidRPr="002C0364" w:rsidRDefault="009F33CC" w:rsidP="009F33CC">
      <w:r>
        <w:rPr>
          <w:noProof/>
          <w:lang w:eastAsia="en-NZ"/>
        </w:rPr>
        <w:drawing>
          <wp:inline distT="0" distB="0" distL="0" distR="0" wp14:anchorId="32E31C91" wp14:editId="46939DE2">
            <wp:extent cx="6048000" cy="3781587"/>
            <wp:effectExtent l="0" t="0" r="10160" b="9525"/>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9A0DCF" w14:textId="00E65F71" w:rsidR="009F33CC" w:rsidRDefault="009F33CC" w:rsidP="004A372C">
      <w:pPr>
        <w:pStyle w:val="ListParagraph"/>
      </w:pPr>
      <w:r>
        <w:t>The</w:t>
      </w:r>
      <w:r w:rsidR="00895326">
        <w:t xml:space="preserve"> result</w:t>
      </w:r>
      <w:r>
        <w:t xml:space="preserve"> above is </w:t>
      </w:r>
      <w:r w:rsidR="00895326">
        <w:t>consistent with a</w:t>
      </w:r>
      <w:r>
        <w:t>nalysis of annual report data collected by the Department of Internal Affairs which shows that nationally all New Zealand councils only spent 79% of their deprecation on renewals on average between 2015 and 2017. As councils appear to be collecting enough revenue to be able to fund the renewal of their assets</w:t>
      </w:r>
      <w:r w:rsidR="00895326">
        <w:t xml:space="preserve"> but not reporting similar levels of expenditure</w:t>
      </w:r>
      <w:r>
        <w:t>, this would suggest that either:</w:t>
      </w:r>
    </w:p>
    <w:p w14:paraId="3410BA95" w14:textId="0CD751B2" w:rsidR="009F33CC" w:rsidRPr="007C2823" w:rsidRDefault="009F33CC" w:rsidP="009D38AF">
      <w:pPr>
        <w:pStyle w:val="Bulletpoint"/>
      </w:pPr>
      <w:r w:rsidRPr="007C2823">
        <w:t>councils are deferring ren</w:t>
      </w:r>
      <w:r w:rsidRPr="009057C7">
        <w:t>ewals of assets beyond their useful lives</w:t>
      </w:r>
      <w:r w:rsidR="009057C7" w:rsidRPr="009057C7">
        <w:t xml:space="preserve"> and councils are ‘sweating their assets’</w:t>
      </w:r>
    </w:p>
    <w:p w14:paraId="00D2ADB1" w14:textId="77777777" w:rsidR="009F33CC" w:rsidRPr="007C2823" w:rsidRDefault="009F33CC" w:rsidP="009D38AF">
      <w:pPr>
        <w:pStyle w:val="Bulletpoint"/>
      </w:pPr>
      <w:r w:rsidRPr="007C2823">
        <w:t>infrastructure assets have not generally reached the end of their useful lies</w:t>
      </w:r>
    </w:p>
    <w:p w14:paraId="2D5DFE53" w14:textId="77777777" w:rsidR="009F33CC" w:rsidRPr="007C2823" w:rsidRDefault="009F33CC" w:rsidP="009D38AF">
      <w:pPr>
        <w:pStyle w:val="Bulletpoint"/>
      </w:pPr>
      <w:r w:rsidRPr="007C2823">
        <w:t>depreciation funding is being applied elsewhere or used to reduce debt, or</w:t>
      </w:r>
    </w:p>
    <w:p w14:paraId="09F27147" w14:textId="77777777" w:rsidR="009F33CC" w:rsidRPr="007C2823" w:rsidRDefault="009F33CC" w:rsidP="009D38AF">
      <w:pPr>
        <w:pStyle w:val="Bulletpoint"/>
      </w:pPr>
      <w:r w:rsidRPr="007C2823">
        <w:t>depreciation is too high.</w:t>
      </w:r>
    </w:p>
    <w:p w14:paraId="3663183F" w14:textId="10023AA4" w:rsidR="0064661A" w:rsidRPr="002911C6" w:rsidRDefault="0064661A" w:rsidP="004A372C">
      <w:pPr>
        <w:pStyle w:val="ListParagraph"/>
      </w:pPr>
      <w:r w:rsidRPr="002911C6">
        <w:t>Indeed some councils noted that depreciation estimates and asset renewal planning has previously been conservative, allowing councils opportunities to defer renewals expenditure. In some councils examination of failure data or asset condition data (for example from CCTV monitoring) has shown assets to be in a better condition than their estimated useful lives would otherwise suggest. This may indicate that in some instance</w:t>
      </w:r>
      <w:r w:rsidR="004A372C">
        <w:t>s depreciation may be too high</w:t>
      </w:r>
      <w:r w:rsidRPr="002911C6">
        <w:t xml:space="preserve"> or that councils are responsibly delaying investment in the replacement of their assets.</w:t>
      </w:r>
    </w:p>
    <w:p w14:paraId="62D6FE88" w14:textId="77777777" w:rsidR="009F33CC" w:rsidRDefault="009F33CC" w:rsidP="009F33CC">
      <w:pPr>
        <w:pStyle w:val="Heading3"/>
      </w:pPr>
      <w:r>
        <w:t>Impact of growth</w:t>
      </w:r>
    </w:p>
    <w:p w14:paraId="47135204" w14:textId="77777777" w:rsidR="009057C7" w:rsidRDefault="009F33CC" w:rsidP="004A372C">
      <w:pPr>
        <w:pStyle w:val="ListParagraph"/>
      </w:pPr>
      <w:r w:rsidRPr="00527120">
        <w:t>Councils that have experienced sustained levels of high growth in recent times may be expected to have a higher proportion of young assets in their total asset base, and accordingly may have a lower renewals ratio than those that have experienced low levels of growth or decline.</w:t>
      </w:r>
      <w:r>
        <w:t xml:space="preserve"> This would be due to a higher level of expenditure on new assets.</w:t>
      </w:r>
    </w:p>
    <w:p w14:paraId="03CC0263" w14:textId="62D0AA5F" w:rsidR="009F33CC" w:rsidRDefault="00C84A6D" w:rsidP="007C0AF1">
      <w:pPr>
        <w:pStyle w:val="ListParagraph"/>
      </w:pPr>
      <w:r>
        <w:fldChar w:fldCharType="begin"/>
      </w:r>
      <w:r>
        <w:instrText xml:space="preserve"> REF _Ref520364878 \h </w:instrText>
      </w:r>
      <w:r>
        <w:fldChar w:fldCharType="separate"/>
      </w:r>
      <w:r w:rsidR="00A00D18">
        <w:t xml:space="preserve">Figure </w:t>
      </w:r>
      <w:r w:rsidR="00A00D18">
        <w:rPr>
          <w:noProof/>
        </w:rPr>
        <w:t>17</w:t>
      </w:r>
      <w:r>
        <w:fldChar w:fldCharType="end"/>
      </w:r>
      <w:r w:rsidR="009057C7">
        <w:t xml:space="preserve"> shows the renewal ratio of high, medium, low growth and declining population councils within the selected group separately. H</w:t>
      </w:r>
      <w:r w:rsidR="009F33CC" w:rsidRPr="00527120">
        <w:t>igh growth councils have an average renewals ratio of 68.4%, with most high growth councils showing a renewals rat</w:t>
      </w:r>
      <w:r>
        <w:t>io much lower than that average.</w:t>
      </w:r>
      <w:bookmarkStart w:id="45" w:name="_Toc516746888"/>
      <w:r>
        <w:t xml:space="preserve"> Meanwhile, declining population councils demonstrate an average renewals ratio of 83.7%, which is higher than the national average.</w:t>
      </w:r>
    </w:p>
    <w:p w14:paraId="78383FC9" w14:textId="7A24E888" w:rsidR="009F33CC" w:rsidRDefault="009F33CC" w:rsidP="009F33CC">
      <w:pPr>
        <w:pStyle w:val="Caption"/>
      </w:pPr>
      <w:bookmarkStart w:id="46" w:name="_Ref520364878"/>
      <w:bookmarkStart w:id="47" w:name="_Toc520900271"/>
      <w:r>
        <w:t xml:space="preserve">Figure </w:t>
      </w:r>
      <w:r>
        <w:fldChar w:fldCharType="begin"/>
      </w:r>
      <w:r>
        <w:instrText xml:space="preserve"> SEQ Figure \* ARABIC </w:instrText>
      </w:r>
      <w:r>
        <w:fldChar w:fldCharType="separate"/>
      </w:r>
      <w:r w:rsidR="00A00D18">
        <w:rPr>
          <w:noProof/>
        </w:rPr>
        <w:t>17</w:t>
      </w:r>
      <w:r>
        <w:fldChar w:fldCharType="end"/>
      </w:r>
      <w:bookmarkEnd w:id="46"/>
      <w:r>
        <w:tab/>
        <w:t>Renewals ratio by growth rate</w:t>
      </w:r>
      <w:bookmarkEnd w:id="45"/>
      <w:bookmarkEnd w:id="47"/>
    </w:p>
    <w:p w14:paraId="4AC704BC" w14:textId="77777777" w:rsidR="009F33CC" w:rsidRPr="00E94FB7" w:rsidRDefault="009F33CC" w:rsidP="009F33CC">
      <w:pPr>
        <w:pStyle w:val="Caption"/>
      </w:pPr>
      <w:r>
        <w:rPr>
          <w:noProof/>
          <w:lang w:eastAsia="en-NZ"/>
        </w:rPr>
        <w:drawing>
          <wp:inline distT="0" distB="0" distL="0" distR="0" wp14:anchorId="2A24E420" wp14:editId="19747A15">
            <wp:extent cx="6084000" cy="3882390"/>
            <wp:effectExtent l="0" t="0" r="12065" b="2286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B133EAA" w14:textId="3458A01D" w:rsidR="009F33CC" w:rsidRDefault="009F33CC" w:rsidP="009F33CC">
      <w:pPr>
        <w:pStyle w:val="Heading3"/>
      </w:pPr>
      <w:r>
        <w:t>Impact of population size</w:t>
      </w:r>
      <w:r w:rsidR="00C84A6D">
        <w:t xml:space="preserve"> and household income</w:t>
      </w:r>
    </w:p>
    <w:p w14:paraId="6B1D1D26" w14:textId="7FB04514" w:rsidR="000444FD" w:rsidRDefault="00C84A6D" w:rsidP="004A372C">
      <w:pPr>
        <w:pStyle w:val="ListParagraph"/>
      </w:pPr>
      <w:r>
        <w:t>We also considered whether local population size or average household incomes had any bearing on the amount council</w:t>
      </w:r>
      <w:r w:rsidR="00A81A2F">
        <w:t>s invested in renewals.</w:t>
      </w:r>
    </w:p>
    <w:p w14:paraId="5154F7BC" w14:textId="0009EBAC" w:rsidR="00C84A6D" w:rsidRDefault="00C84A6D" w:rsidP="004A372C">
      <w:pPr>
        <w:pStyle w:val="ListParagraph"/>
      </w:pPr>
      <w:r>
        <w:t>There is no clear rationale as to why these factors would influence a council’s approach to investment in the renewal of its assets.</w:t>
      </w:r>
      <w:r w:rsidR="000444FD">
        <w:t xml:space="preserve"> </w:t>
      </w:r>
      <w:r>
        <w:t>However, our analysis found that low income and low population regions appeared to have higher renewals ratios than their respective high income and</w:t>
      </w:r>
      <w:r w:rsidR="00A81A2F">
        <w:t xml:space="preserve"> high population counterparts.</w:t>
      </w:r>
    </w:p>
    <w:p w14:paraId="0C57F89F" w14:textId="17A2DEBB" w:rsidR="009F33CC" w:rsidRDefault="000444FD" w:rsidP="004A372C">
      <w:pPr>
        <w:pStyle w:val="ListParagraph"/>
      </w:pPr>
      <w:r>
        <w:t>In our view a</w:t>
      </w:r>
      <w:r w:rsidR="009F33CC">
        <w:t>ny correlation between population size and renewals ratio performance is likely to be due to the strong nexus between levels of growth and population.</w:t>
      </w:r>
      <w:r w:rsidR="00C84A6D">
        <w:t xml:space="preserve"> However, additional explanations may include:</w:t>
      </w:r>
    </w:p>
    <w:p w14:paraId="25E99EB7" w14:textId="6C5ABBFD" w:rsidR="009F33CC" w:rsidRDefault="008766A3" w:rsidP="009D38AF">
      <w:pPr>
        <w:pStyle w:val="Bulletpoint"/>
      </w:pPr>
      <w:r>
        <w:t>l</w:t>
      </w:r>
      <w:r w:rsidR="009F33CC">
        <w:t xml:space="preserve">arger population councils </w:t>
      </w:r>
      <w:r w:rsidR="009F33CC">
        <w:rPr>
          <w:i/>
        </w:rPr>
        <w:t>may</w:t>
      </w:r>
      <w:r w:rsidR="009F33CC">
        <w:t xml:space="preserve"> have higher level of service expectations which may redirect some spending from renewals infrastructure towards level of service expenditure if the capi</w:t>
      </w:r>
      <w:r w:rsidR="00C84A6D">
        <w:t>tal works budget is constrained</w:t>
      </w:r>
    </w:p>
    <w:p w14:paraId="4DC8F928" w14:textId="1EE5C74D" w:rsidR="008766A3" w:rsidRDefault="008766A3" w:rsidP="009D38AF">
      <w:pPr>
        <w:pStyle w:val="Bulletpoint"/>
      </w:pPr>
      <w:r>
        <w:t>c</w:t>
      </w:r>
      <w:r w:rsidR="009F33CC">
        <w:t xml:space="preserve">ouncils serving low income communities </w:t>
      </w:r>
      <w:r w:rsidR="00C84A6D">
        <w:t>may prioritise investment on</w:t>
      </w:r>
      <w:r w:rsidR="009F33CC">
        <w:t xml:space="preserve"> core infrastructure</w:t>
      </w:r>
      <w:r w:rsidR="00C84A6D">
        <w:t xml:space="preserve"> and renewal of assets as</w:t>
      </w:r>
      <w:r>
        <w:t xml:space="preserve"> they face funding constraints.</w:t>
      </w:r>
    </w:p>
    <w:p w14:paraId="55CB3D93" w14:textId="4265CD0E" w:rsidR="009F33CC" w:rsidRDefault="009F33CC" w:rsidP="000444FD">
      <w:pPr>
        <w:pStyle w:val="Heading3"/>
      </w:pPr>
      <w:r w:rsidRPr="00B1642A">
        <w:t>Renewal</w:t>
      </w:r>
      <w:r w:rsidR="00DA0C47">
        <w:t xml:space="preserve"> expenditure on </w:t>
      </w:r>
      <w:r w:rsidRPr="00B1642A">
        <w:t>specific council a</w:t>
      </w:r>
      <w:r w:rsidR="00194C27">
        <w:t>sset groups</w:t>
      </w:r>
    </w:p>
    <w:p w14:paraId="2CBCB5DE" w14:textId="538153B1" w:rsidR="00FD5B2C" w:rsidRPr="00FD5B2C" w:rsidRDefault="00FD5B2C" w:rsidP="007C0AF1">
      <w:pPr>
        <w:pStyle w:val="ListParagraph"/>
      </w:pPr>
      <w:r>
        <w:t xml:space="preserve">While consideration of the renewals ratio at a whole of council level gives some useful insight into </w:t>
      </w:r>
      <w:r w:rsidR="000444FD">
        <w:t>council’s</w:t>
      </w:r>
      <w:r>
        <w:t xml:space="preserve"> investment decisions</w:t>
      </w:r>
      <w:r w:rsidR="000444FD">
        <w:t xml:space="preserve"> </w:t>
      </w:r>
      <w:r>
        <w:t xml:space="preserve">it </w:t>
      </w:r>
      <w:r w:rsidR="000444FD">
        <w:t xml:space="preserve">does not effectively demonstrate the rate at which core network assets are being renewed and </w:t>
      </w:r>
      <w:r>
        <w:t>may</w:t>
      </w:r>
      <w:r w:rsidR="000444FD">
        <w:t xml:space="preserve"> for example</w:t>
      </w:r>
      <w:r>
        <w:t xml:space="preserve"> be distorted by depreciation on </w:t>
      </w:r>
      <w:r w:rsidR="000444FD">
        <w:t>assets</w:t>
      </w:r>
      <w:r>
        <w:t xml:space="preserve"> that will not be renewed</w:t>
      </w:r>
      <w:r w:rsidR="000444FD">
        <w:t xml:space="preserve">. </w:t>
      </w:r>
      <w:r w:rsidR="00DA0C47">
        <w:t>W</w:t>
      </w:r>
      <w:r>
        <w:t xml:space="preserve">e </w:t>
      </w:r>
      <w:r w:rsidR="00DA0C47">
        <w:t xml:space="preserve">therefore </w:t>
      </w:r>
      <w:r>
        <w:t>analysed the renewals ratio for four key activities carried out by councils</w:t>
      </w:r>
      <w:r w:rsidR="00DA0C47">
        <w:t xml:space="preserve">; </w:t>
      </w:r>
      <w:r>
        <w:t xml:space="preserve">roads, water, wastewater, and stormwater. The results are presented in </w:t>
      </w:r>
      <w:r w:rsidR="00921459">
        <w:t>Figure 1</w:t>
      </w:r>
      <w:r w:rsidR="007C0AF1">
        <w:t>8</w:t>
      </w:r>
      <w:r w:rsidR="00921459">
        <w:t xml:space="preserve"> </w:t>
      </w:r>
      <w:r>
        <w:t>below.</w:t>
      </w:r>
    </w:p>
    <w:p w14:paraId="710611F5" w14:textId="2A6E09B6" w:rsidR="009F33CC" w:rsidRPr="00270672" w:rsidRDefault="009F33CC" w:rsidP="009F33CC">
      <w:pPr>
        <w:pStyle w:val="Caption"/>
      </w:pPr>
      <w:bookmarkStart w:id="48" w:name="_Ref520365701"/>
      <w:bookmarkStart w:id="49" w:name="_Toc520900272"/>
      <w:r w:rsidRPr="00DD3142">
        <w:t xml:space="preserve">Figure </w:t>
      </w:r>
      <w:r>
        <w:fldChar w:fldCharType="begin"/>
      </w:r>
      <w:r>
        <w:instrText xml:space="preserve"> SEQ Figure \* ARABIC </w:instrText>
      </w:r>
      <w:r>
        <w:fldChar w:fldCharType="separate"/>
      </w:r>
      <w:r w:rsidR="00A00D18">
        <w:rPr>
          <w:noProof/>
        </w:rPr>
        <w:t>18</w:t>
      </w:r>
      <w:r>
        <w:fldChar w:fldCharType="end"/>
      </w:r>
      <w:bookmarkEnd w:id="48"/>
      <w:r>
        <w:tab/>
      </w:r>
      <w:r w:rsidRPr="00DD3142">
        <w:t>Renewals</w:t>
      </w:r>
      <w:r>
        <w:t xml:space="preserve"> ratio by activity type</w:t>
      </w:r>
      <w:bookmarkEnd w:id="49"/>
    </w:p>
    <w:p w14:paraId="10EBD0E1" w14:textId="77777777" w:rsidR="009F33CC" w:rsidRPr="00270672" w:rsidRDefault="009F33CC" w:rsidP="007C0AF1">
      <w:pPr>
        <w:spacing w:before="240"/>
      </w:pPr>
      <w:r>
        <w:rPr>
          <w:noProof/>
          <w:lang w:eastAsia="en-NZ"/>
        </w:rPr>
        <w:drawing>
          <wp:inline distT="0" distB="0" distL="0" distR="0" wp14:anchorId="78CB0AF2" wp14:editId="7B34737A">
            <wp:extent cx="6120000" cy="3806825"/>
            <wp:effectExtent l="0" t="0" r="14605" b="22225"/>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B8F85E" w14:textId="0F5ECCA1" w:rsidR="009F33CC" w:rsidRDefault="009F33CC" w:rsidP="004A372C">
      <w:pPr>
        <w:pStyle w:val="ListParagraph"/>
      </w:pPr>
      <w:r w:rsidRPr="003D779B">
        <w:t>Unsurprisingly, councils are renewing roads faster t</w:t>
      </w:r>
      <w:r w:rsidR="003D779B">
        <w:t>han the other three activities</w:t>
      </w:r>
      <w:r w:rsidRPr="003D779B">
        <w:t>, with an average renewals ratio of 78% (compared to an average renewals ratio across all assets of 69%</w:t>
      </w:r>
      <w:r w:rsidR="00FD5B2C" w:rsidRPr="003D779B">
        <w:t xml:space="preserve"> for our sample councils</w:t>
      </w:r>
      <w:r w:rsidRPr="003D779B">
        <w:t xml:space="preserve">). </w:t>
      </w:r>
      <w:r w:rsidR="00DA0C47">
        <w:t>We believe that t</w:t>
      </w:r>
      <w:r w:rsidRPr="003D779B">
        <w:t>his is reflective of the role that NZTA plays in co-funding renewals expenditure on roads and potentially the increased visibility and ease at which the condition of roads can be assessed.</w:t>
      </w:r>
    </w:p>
    <w:p w14:paraId="279E405C" w14:textId="50DF005B" w:rsidR="003D779B" w:rsidRPr="003D779B" w:rsidRDefault="003D779B" w:rsidP="004A372C">
      <w:pPr>
        <w:pStyle w:val="ListParagraph"/>
      </w:pPr>
      <w:r>
        <w:t>Sim</w:t>
      </w:r>
      <w:r w:rsidRPr="00B1642A">
        <w:t xml:space="preserve">ilarly, </w:t>
      </w:r>
      <w:r w:rsidR="00E13812" w:rsidRPr="00B1642A">
        <w:t>councils were typically planning on replacing water assets at 75% of</w:t>
      </w:r>
      <w:r w:rsidR="001C7477">
        <w:t xml:space="preserve"> the</w:t>
      </w:r>
      <w:r w:rsidR="00E13812" w:rsidRPr="00B1642A">
        <w:t xml:space="preserve"> rate that they are depreciating. </w:t>
      </w:r>
      <w:r w:rsidR="00DA0C47">
        <w:t>W</w:t>
      </w:r>
      <w:r w:rsidR="00E13812" w:rsidRPr="00B1642A">
        <w:t>ater reticulation assets typically represent some of the oldest infrastructure in a community</w:t>
      </w:r>
      <w:r w:rsidR="00DA0C47">
        <w:t>. G</w:t>
      </w:r>
      <w:r w:rsidR="00E13812" w:rsidRPr="00B1642A">
        <w:t>iven</w:t>
      </w:r>
      <w:r w:rsidR="00E13812">
        <w:t xml:space="preserve"> the importance of safe water assets on health and the consequences associated with pipe failure it is unsurprising that this activity has the highest renewals ratio of the three waters.</w:t>
      </w:r>
    </w:p>
    <w:p w14:paraId="480E340B" w14:textId="33D6568D" w:rsidR="009F33CC" w:rsidRPr="00E13812" w:rsidRDefault="009F33CC" w:rsidP="004A372C">
      <w:pPr>
        <w:pStyle w:val="ListParagraph"/>
      </w:pPr>
      <w:r w:rsidRPr="00E13812">
        <w:t xml:space="preserve">The </w:t>
      </w:r>
      <w:r w:rsidR="00DA0C47">
        <w:t>analysis</w:t>
      </w:r>
      <w:r w:rsidRPr="00E13812">
        <w:t xml:space="preserve"> shows that councils, on average, are investing only 58% of their depreciation on wastewater assets o</w:t>
      </w:r>
      <w:r w:rsidR="00DA0C47">
        <w:t xml:space="preserve">n </w:t>
      </w:r>
      <w:r w:rsidRPr="00E13812">
        <w:t xml:space="preserve">the renewal of those assets. However, it is worth noting that 23% of wastewater assets relate to wastewater treatment plants which may be renewed, </w:t>
      </w:r>
      <w:r w:rsidR="001C7477">
        <w:t>but</w:t>
      </w:r>
      <w:r w:rsidRPr="00E13812">
        <w:t xml:space="preserve"> upgrades to these plants may often be classified as level of service expenditure rather than renewal.</w:t>
      </w:r>
    </w:p>
    <w:p w14:paraId="05086C55" w14:textId="77777777" w:rsidR="00A81A2F" w:rsidRDefault="00A81A2F">
      <w:pPr>
        <w:spacing w:before="200" w:after="200" w:line="276" w:lineRule="auto"/>
        <w:rPr>
          <w:rFonts w:eastAsia="Times New Roman" w:cs="Times New Roman"/>
          <w:color w:val="404142" w:themeColor="accent3" w:themeShade="80"/>
          <w:lang w:val="en-AU"/>
        </w:rPr>
      </w:pPr>
      <w:r>
        <w:br w:type="page"/>
      </w:r>
    </w:p>
    <w:p w14:paraId="63EF6F72" w14:textId="02BB7645" w:rsidR="009F33CC" w:rsidRPr="00E13812" w:rsidRDefault="009F33CC" w:rsidP="004A372C">
      <w:pPr>
        <w:pStyle w:val="ListParagraph"/>
      </w:pPr>
      <w:r w:rsidRPr="00E13812">
        <w:t xml:space="preserve">When wastewater treatment plants are required to be upgraded the costs can be large. Treatment plant upgrades signalled in the draft </w:t>
      </w:r>
      <w:r w:rsidR="00465FBD">
        <w:t>Long Term Plan</w:t>
      </w:r>
      <w:r w:rsidR="00C74548">
        <w:t>s</w:t>
      </w:r>
      <w:r w:rsidRPr="00E13812">
        <w:t xml:space="preserve"> that we reviewed comprise between 20 – 30% of the relevant councils’ annual rates take.</w:t>
      </w:r>
      <w:r w:rsidR="0064661A">
        <w:t xml:space="preserve"> Wastewater is the only asset group that shows any peak of renewals over the </w:t>
      </w:r>
      <w:r w:rsidR="001C7477">
        <w:t>ten</w:t>
      </w:r>
      <w:r w:rsidR="0064661A">
        <w:t xml:space="preserve"> year period of the LTP.</w:t>
      </w:r>
    </w:p>
    <w:p w14:paraId="7393665E" w14:textId="771ECFAF" w:rsidR="009F33CC" w:rsidRDefault="009F33CC" w:rsidP="004A372C">
      <w:pPr>
        <w:pStyle w:val="ListParagraph"/>
      </w:pPr>
      <w:r w:rsidRPr="00E13812">
        <w:t>Planned renewals in the stormwater system in 2015</w:t>
      </w:r>
      <w:r w:rsidR="00A81A2F" w:rsidRPr="00E13812">
        <w:t xml:space="preserve"> </w:t>
      </w:r>
      <w:r w:rsidR="00465FBD">
        <w:t>Long Term Pla</w:t>
      </w:r>
      <w:r w:rsidR="00C74548">
        <w:t>ns</w:t>
      </w:r>
      <w:r w:rsidRPr="00E13812">
        <w:t xml:space="preserve"> </w:t>
      </w:r>
      <w:r w:rsidR="00DA0C47">
        <w:t>are</w:t>
      </w:r>
      <w:r w:rsidRPr="00E13812">
        <w:t xml:space="preserve"> low</w:t>
      </w:r>
      <w:r w:rsidR="00DA0C47">
        <w:t xml:space="preserve"> in comparison with other asset classes. M</w:t>
      </w:r>
      <w:r w:rsidRPr="00E13812">
        <w:t xml:space="preserve">ost councils </w:t>
      </w:r>
      <w:r w:rsidR="00DA0C47">
        <w:t xml:space="preserve">forecast </w:t>
      </w:r>
      <w:r w:rsidRPr="00E13812">
        <w:t>invest</w:t>
      </w:r>
      <w:r w:rsidR="00DA0C47">
        <w:t>ment of</w:t>
      </w:r>
      <w:r w:rsidRPr="00E13812">
        <w:t xml:space="preserve"> less than 40% of stormwater depreciation in the renewal of stormwater assets (the average across our sample was 38.3%). </w:t>
      </w:r>
      <w:r w:rsidR="00E13812">
        <w:t>This suggests underinvestment in stormwater assets.</w:t>
      </w:r>
    </w:p>
    <w:p w14:paraId="4D270B6E" w14:textId="102E3141" w:rsidR="0064661A" w:rsidRPr="002911C6" w:rsidRDefault="0064661A" w:rsidP="004A372C">
      <w:pPr>
        <w:pStyle w:val="ListParagraph"/>
      </w:pPr>
      <w:r w:rsidRPr="002911C6">
        <w:t>Our review of draft 2018</w:t>
      </w:r>
      <w:r w:rsidR="001C7477" w:rsidRPr="002911C6">
        <w:t xml:space="preserve"> Long Term Plans</w:t>
      </w:r>
      <w:r w:rsidRPr="002911C6">
        <w:t xml:space="preserve"> and infrastructure strategies and our conversations with various councils has indicated that councils are typically still yet to face major renewals costs. In many cases, infrastructure strategies are suggesting a large increase in renewals expenditure as being required around 2040 – 2045, although some councils are dealing with the renewal of specific network infrastructure in the later years of the 2018 </w:t>
      </w:r>
      <w:r w:rsidR="001C7477" w:rsidRPr="002911C6">
        <w:t>Long Term Pla</w:t>
      </w:r>
      <w:r w:rsidRPr="002911C6">
        <w:t>n.</w:t>
      </w:r>
    </w:p>
    <w:p w14:paraId="6DEE6249" w14:textId="77777777" w:rsidR="0064661A" w:rsidRPr="002911C6" w:rsidRDefault="0064661A" w:rsidP="004A372C">
      <w:pPr>
        <w:pStyle w:val="ListParagraph"/>
      </w:pPr>
      <w:r w:rsidRPr="002911C6">
        <w:t>The renewals waves or peaks that are typically seen in infrastructure strategies that we reviewed were significant, however often equate to less than a single years’ depreciation (across all activities). The challenge is that these renewals peaks (for a single asset class) often represent expenditure over and above the ‘normal’ capital works programme of a council. Additionally, many of these peaks relate to a significant portion of the network and are likely to be disruptive and impact on levels of service delivered to the community.</w:t>
      </w:r>
    </w:p>
    <w:p w14:paraId="6D3D76DD" w14:textId="77777777" w:rsidR="0064661A" w:rsidRPr="002911C6" w:rsidRDefault="0064661A" w:rsidP="004A372C">
      <w:pPr>
        <w:pStyle w:val="ListParagraph"/>
      </w:pPr>
      <w:r w:rsidRPr="002911C6">
        <w:t>These renewals peaks, or waves, do not typically appear unaffordable if councils are prudent in provisioning funds to cover these costs.</w:t>
      </w:r>
    </w:p>
    <w:p w14:paraId="30064A16" w14:textId="28F12556" w:rsidR="009F33CC" w:rsidRPr="009F33CC" w:rsidRDefault="009F33CC" w:rsidP="004571B8">
      <w:pPr>
        <w:pStyle w:val="Heading3"/>
      </w:pPr>
      <w:r>
        <w:t>Developing capacity to renew assets in the future</w:t>
      </w:r>
    </w:p>
    <w:p w14:paraId="6E7B14C9" w14:textId="40904C77" w:rsidR="00590F30" w:rsidRDefault="00157A91" w:rsidP="004A372C">
      <w:pPr>
        <w:pStyle w:val="ListParagraph"/>
      </w:pPr>
      <w:r>
        <w:t>T</w:t>
      </w:r>
      <w:r w:rsidR="00590F30">
        <w:t>he renewals ratio only measures the investment in the renew</w:t>
      </w:r>
      <w:r>
        <w:t>al of assets at a point in time.</w:t>
      </w:r>
      <w:r w:rsidR="00590F30">
        <w:t xml:space="preserve"> </w:t>
      </w:r>
      <w:r>
        <w:t xml:space="preserve"> I</w:t>
      </w:r>
      <w:r w:rsidR="00590F30">
        <w:t xml:space="preserve">t </w:t>
      </w:r>
      <w:r>
        <w:t>does not</w:t>
      </w:r>
      <w:r w:rsidR="00590F30">
        <w:t xml:space="preserve"> identify whether councils are able to fund the future replacement of their assets, or what impact this may otherwise have on rates. In order to consider this, we compared the sum of renewals expenditure, increases (or decreases) in cash or investments and decreases (or increases) in external borrowings to depreciation. The purpose of this measure was to identify whether councils are typically building the capacity to address future renewals requirements over time (assuming depreciation is correct).</w:t>
      </w:r>
    </w:p>
    <w:p w14:paraId="116E1488" w14:textId="290C35EC" w:rsidR="00590F30" w:rsidRPr="00DA0C47" w:rsidRDefault="00590F30" w:rsidP="007C0AF1">
      <w:pPr>
        <w:pStyle w:val="ListParagraph"/>
      </w:pPr>
      <w:r>
        <w:t xml:space="preserve">Analysis of the sample councils </w:t>
      </w:r>
      <w:r w:rsidR="00DA0C47">
        <w:t xml:space="preserve">using this measure </w:t>
      </w:r>
      <w:r w:rsidR="0064661A">
        <w:t xml:space="preserve">is </w:t>
      </w:r>
      <w:r>
        <w:t>show</w:t>
      </w:r>
      <w:r w:rsidR="00DA0C47">
        <w:t>n in Figure 1</w:t>
      </w:r>
      <w:r w:rsidR="007C0AF1">
        <w:t>9</w:t>
      </w:r>
      <w:r w:rsidR="0064661A">
        <w:t>. A</w:t>
      </w:r>
      <w:r w:rsidR="00DA0C47">
        <w:t xml:space="preserve">ny council that achieves less than 100% </w:t>
      </w:r>
      <w:r w:rsidR="0064661A">
        <w:t xml:space="preserve">is </w:t>
      </w:r>
      <w:r>
        <w:t>not in</w:t>
      </w:r>
      <w:r w:rsidR="0000596D">
        <w:t xml:space="preserve">creasing investments, reducing debt, or </w:t>
      </w:r>
      <w:r>
        <w:t xml:space="preserve">applying </w:t>
      </w:r>
      <w:r w:rsidR="0000596D">
        <w:t>depreciation</w:t>
      </w:r>
      <w:r>
        <w:t xml:space="preserve"> toward the renewal of their assets</w:t>
      </w:r>
      <w:r w:rsidR="00DA0C47">
        <w:t xml:space="preserve"> at the same level as the depreciation on their assets</w:t>
      </w:r>
      <w:r>
        <w:t xml:space="preserve">. </w:t>
      </w:r>
      <w:r w:rsidR="00DA0C47">
        <w:t>Th</w:t>
      </w:r>
      <w:r w:rsidR="0064661A">
        <w:t xml:space="preserve">e average of the selected councils is shown in green and only meets 100% in </w:t>
      </w:r>
      <w:r w:rsidR="00194C27">
        <w:t xml:space="preserve">one </w:t>
      </w:r>
      <w:r w:rsidR="0064661A">
        <w:t xml:space="preserve">of the </w:t>
      </w:r>
      <w:r w:rsidR="00194C27">
        <w:t>ten</w:t>
      </w:r>
      <w:r w:rsidR="0064661A">
        <w:t xml:space="preserve"> years of the LTP period.</w:t>
      </w:r>
    </w:p>
    <w:p w14:paraId="472C8194" w14:textId="77777777" w:rsidR="00194C27" w:rsidRDefault="00194C27">
      <w:pPr>
        <w:spacing w:before="200" w:after="200" w:line="276" w:lineRule="auto"/>
        <w:rPr>
          <w:rFonts w:asciiTheme="minorHAnsi" w:hAnsiTheme="minorHAnsi"/>
          <w:b/>
          <w:color w:val="404142" w:themeColor="accent3" w:themeShade="80"/>
          <w:szCs w:val="28"/>
        </w:rPr>
      </w:pPr>
      <w:r>
        <w:br w:type="page"/>
      </w:r>
    </w:p>
    <w:p w14:paraId="66F46825" w14:textId="7E157762" w:rsidR="00590F30" w:rsidRDefault="00590F30" w:rsidP="00590F30">
      <w:pPr>
        <w:pStyle w:val="Caption"/>
      </w:pPr>
      <w:bookmarkStart w:id="50" w:name="_Toc520900273"/>
      <w:r w:rsidRPr="00DD3142">
        <w:t xml:space="preserve">Figure </w:t>
      </w:r>
      <w:r>
        <w:fldChar w:fldCharType="begin"/>
      </w:r>
      <w:r>
        <w:instrText xml:space="preserve"> SEQ Figure \* ARABIC </w:instrText>
      </w:r>
      <w:r>
        <w:fldChar w:fldCharType="separate"/>
      </w:r>
      <w:r w:rsidR="00A00D18">
        <w:rPr>
          <w:noProof/>
        </w:rPr>
        <w:t>19</w:t>
      </w:r>
      <w:r>
        <w:fldChar w:fldCharType="end"/>
      </w:r>
      <w:r>
        <w:tab/>
      </w:r>
      <w:r w:rsidRPr="00DD3142">
        <w:t>Renewals</w:t>
      </w:r>
      <w:r>
        <w:t xml:space="preserve"> capacity based on 2015 </w:t>
      </w:r>
      <w:r w:rsidR="00194C27">
        <w:t>long term plan dat</w:t>
      </w:r>
      <w:r>
        <w:t>a</w:t>
      </w:r>
      <w:bookmarkEnd w:id="50"/>
    </w:p>
    <w:p w14:paraId="494C3AFF" w14:textId="1D64B1ED" w:rsidR="00590F30" w:rsidRDefault="00E94103" w:rsidP="00590F30">
      <w:r>
        <w:rPr>
          <w:noProof/>
          <w:lang w:eastAsia="en-NZ"/>
        </w:rPr>
        <w:drawing>
          <wp:inline distT="0" distB="0" distL="0" distR="0" wp14:anchorId="602B5B2B" wp14:editId="530C30FE">
            <wp:extent cx="6048000" cy="3919855"/>
            <wp:effectExtent l="0" t="0" r="10160" b="2349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F902703" w14:textId="72831D5B" w:rsidR="00DA0C47" w:rsidRDefault="0064661A" w:rsidP="004A372C">
      <w:pPr>
        <w:pStyle w:val="ListParagraph"/>
      </w:pPr>
      <w:bookmarkStart w:id="51" w:name="_Toc516129500"/>
      <w:bookmarkStart w:id="52" w:name="_Toc516829066"/>
      <w:r>
        <w:t>Having confirmed that councils are collecting sufficient revenue to fund depreciation then this result against</w:t>
      </w:r>
      <w:r w:rsidR="00DA0C47">
        <w:t xml:space="preserve"> the depreciation funding ratio shows councils investing depreciation reserves into assets required to support growth or increasing levels of service. Importantly, these assets would likely otherwise be paid for with debt and will be depreciable themselves once commissioned.</w:t>
      </w:r>
    </w:p>
    <w:p w14:paraId="594103BB" w14:textId="50E121B0" w:rsidR="00777737" w:rsidRDefault="00777737" w:rsidP="00DA0C47">
      <w:pPr>
        <w:pStyle w:val="Heading3"/>
      </w:pPr>
      <w:r>
        <w:t>Capital works delivery</w:t>
      </w:r>
      <w:bookmarkEnd w:id="51"/>
      <w:bookmarkEnd w:id="52"/>
    </w:p>
    <w:p w14:paraId="4A161B06" w14:textId="041D832F" w:rsidR="00E13812" w:rsidRDefault="00E13812" w:rsidP="004A372C">
      <w:pPr>
        <w:pStyle w:val="ListParagraph"/>
      </w:pPr>
      <w:r>
        <w:t>While the renewals ratios presented earlier typically look at planned renewals expenditure, it is also useful to consider how much of that plan is actually delivered. This is because under-delivery of capital works programmes can have the effects of:</w:t>
      </w:r>
    </w:p>
    <w:p w14:paraId="4D1796BC" w14:textId="536C1D97" w:rsidR="00E13812" w:rsidRDefault="00B64C91" w:rsidP="009D38AF">
      <w:pPr>
        <w:pStyle w:val="Bulletpoint"/>
      </w:pPr>
      <w:r>
        <w:t>r</w:t>
      </w:r>
      <w:r w:rsidR="00E13812">
        <w:t>educing the amount of borrowing required to be drawn down in a given year (and therefore a consequential impact on future costs of servicing that debt)</w:t>
      </w:r>
    </w:p>
    <w:p w14:paraId="30323396" w14:textId="2B6A84D5" w:rsidR="00E13812" w:rsidRDefault="00B64C91" w:rsidP="009D38AF">
      <w:pPr>
        <w:pStyle w:val="Bulletpoint"/>
      </w:pPr>
      <w:r>
        <w:t>c</w:t>
      </w:r>
      <w:r w:rsidR="00E13812">
        <w:t>reating surpluses through the deferral of costs to future years, while rates income is already set based on the planned programme, and prior to the underspend being apparent</w:t>
      </w:r>
    </w:p>
    <w:p w14:paraId="0B56AA12" w14:textId="509085DC" w:rsidR="00E13812" w:rsidRDefault="00B64C91" w:rsidP="009D38AF">
      <w:pPr>
        <w:pStyle w:val="Bulletpoint"/>
      </w:pPr>
      <w:r>
        <w:t>i</w:t>
      </w:r>
      <w:r w:rsidR="00E13812">
        <w:t>ncreasing potential capital works that need to be delivered in future years – which in turns impacts on the ability to deliver future programmes.</w:t>
      </w:r>
    </w:p>
    <w:p w14:paraId="2E390217" w14:textId="5EA077B4" w:rsidR="00777737" w:rsidRPr="00B13FD5" w:rsidRDefault="00777737" w:rsidP="004A372C">
      <w:pPr>
        <w:pStyle w:val="ListParagraph"/>
      </w:pPr>
      <w:r w:rsidRPr="00B13FD5">
        <w:t>Most of the analysis regarding capital expenditure relates to budgeted expenditure (with the exception of 2015 – 2017 which show actual capital expenditure)</w:t>
      </w:r>
      <w:r w:rsidR="0064661A">
        <w:t xml:space="preserve"> however </w:t>
      </w:r>
      <w:r w:rsidRPr="00B13FD5">
        <w:t xml:space="preserve">the actual amount of expenditure </w:t>
      </w:r>
      <w:r>
        <w:t>may</w:t>
      </w:r>
      <w:r w:rsidRPr="00B13FD5">
        <w:t xml:space="preserve"> differ markedly from the budget.</w:t>
      </w:r>
    </w:p>
    <w:p w14:paraId="2A5F5D28" w14:textId="347192E7" w:rsidR="00E13812" w:rsidRPr="00E13812" w:rsidRDefault="00777737" w:rsidP="004A372C">
      <w:pPr>
        <w:pStyle w:val="ListParagraph"/>
        <w:rPr>
          <w:rFonts w:asciiTheme="minorHAnsi" w:hAnsiTheme="minorHAnsi"/>
          <w:b/>
          <w:szCs w:val="28"/>
        </w:rPr>
      </w:pPr>
      <w:r w:rsidRPr="00B13FD5">
        <w:t xml:space="preserve">The Office of the Auditor General, in their document “Local Government: Results from the 2016/17 </w:t>
      </w:r>
      <w:r>
        <w:t>A</w:t>
      </w:r>
      <w:r w:rsidRPr="00B13FD5">
        <w:t>udits”</w:t>
      </w:r>
      <w:r>
        <w:t>,</w:t>
      </w:r>
      <w:r w:rsidRPr="00B13FD5">
        <w:t xml:space="preserve"> analysed actual capital expenditure compared to budgeted capital expenditure and found that capital expenditure generally remained below budget across the sector.</w:t>
      </w:r>
    </w:p>
    <w:p w14:paraId="3600F1D3" w14:textId="558F4CAA" w:rsidR="00777737" w:rsidRPr="00B13FD5" w:rsidRDefault="00777737" w:rsidP="004A7012">
      <w:pPr>
        <w:pStyle w:val="Caption"/>
      </w:pPr>
      <w:bookmarkStart w:id="53" w:name="_Toc520967499"/>
      <w:r>
        <w:t xml:space="preserve">Table </w:t>
      </w:r>
      <w:r>
        <w:fldChar w:fldCharType="begin"/>
      </w:r>
      <w:r>
        <w:instrText xml:space="preserve"> SEQ Table \* ARABIC </w:instrText>
      </w:r>
      <w:r>
        <w:fldChar w:fldCharType="separate"/>
      </w:r>
      <w:r w:rsidR="00A00D18">
        <w:rPr>
          <w:noProof/>
        </w:rPr>
        <w:t>1</w:t>
      </w:r>
      <w:r>
        <w:fldChar w:fldCharType="end"/>
      </w:r>
      <w:r>
        <w:tab/>
        <w:t>Total actual capital expenditure and variances against budget for capital expenditure by asset type and expenditure classification</w:t>
      </w:r>
      <w:bookmarkEnd w:id="53"/>
    </w:p>
    <w:tbl>
      <w:tblPr>
        <w:tblW w:w="0" w:type="auto"/>
        <w:tblInd w:w="108" w:type="dxa"/>
        <w:tblBorders>
          <w:top w:val="single" w:sz="4" w:space="0" w:color="808285"/>
          <w:bottom w:val="single" w:sz="4" w:space="0" w:color="808285"/>
          <w:insideH w:val="single" w:sz="4" w:space="0" w:color="808285"/>
          <w:insideV w:val="single" w:sz="4" w:space="0" w:color="808285"/>
        </w:tblBorders>
        <w:tblCellMar>
          <w:top w:w="57" w:type="dxa"/>
          <w:bottom w:w="113" w:type="dxa"/>
        </w:tblCellMar>
        <w:tblLook w:val="04A0" w:firstRow="1" w:lastRow="0" w:firstColumn="1" w:lastColumn="0" w:noHBand="0" w:noVBand="1"/>
      </w:tblPr>
      <w:tblGrid>
        <w:gridCol w:w="1701"/>
        <w:gridCol w:w="2410"/>
        <w:gridCol w:w="1890"/>
        <w:gridCol w:w="1890"/>
        <w:gridCol w:w="1890"/>
      </w:tblGrid>
      <w:tr w:rsidR="00777737" w:rsidRPr="00B13FD5" w14:paraId="180564E9" w14:textId="77777777" w:rsidTr="00323D5B">
        <w:trPr>
          <w:tblHeader/>
        </w:trPr>
        <w:tc>
          <w:tcPr>
            <w:tcW w:w="4111" w:type="dxa"/>
            <w:gridSpan w:val="2"/>
            <w:tcBorders>
              <w:top w:val="single" w:sz="12" w:space="0" w:color="9DBE3B" w:themeColor="accent2"/>
              <w:bottom w:val="single" w:sz="12" w:space="0" w:color="9DBE3B" w:themeColor="accent2"/>
            </w:tcBorders>
            <w:shd w:val="clear" w:color="auto" w:fill="002941"/>
            <w:vAlign w:val="center"/>
          </w:tcPr>
          <w:p w14:paraId="5D4A0C15" w14:textId="77777777" w:rsidR="00777737" w:rsidRPr="00B13FD5" w:rsidRDefault="00777737" w:rsidP="00655E31">
            <w:pPr>
              <w:pStyle w:val="Body"/>
              <w:spacing w:before="0" w:after="0"/>
              <w:jc w:val="center"/>
              <w:rPr>
                <w:b/>
                <w:color w:val="FFFFFF"/>
                <w:sz w:val="20"/>
                <w:szCs w:val="20"/>
              </w:rPr>
            </w:pPr>
          </w:p>
        </w:tc>
        <w:tc>
          <w:tcPr>
            <w:tcW w:w="1890" w:type="dxa"/>
            <w:tcBorders>
              <w:top w:val="single" w:sz="12" w:space="0" w:color="9DBE3B" w:themeColor="accent2"/>
              <w:bottom w:val="single" w:sz="12" w:space="0" w:color="9DBE3B" w:themeColor="accent2"/>
            </w:tcBorders>
            <w:shd w:val="clear" w:color="auto" w:fill="002941"/>
            <w:vAlign w:val="center"/>
          </w:tcPr>
          <w:p w14:paraId="7CBE7910" w14:textId="77777777" w:rsidR="00777737" w:rsidRPr="00B13FD5" w:rsidRDefault="00777737" w:rsidP="00323D5B">
            <w:pPr>
              <w:pStyle w:val="Body"/>
              <w:spacing w:before="0" w:after="0"/>
              <w:jc w:val="center"/>
              <w:rPr>
                <w:b/>
                <w:color w:val="FFFFFF"/>
                <w:sz w:val="20"/>
                <w:szCs w:val="20"/>
              </w:rPr>
            </w:pPr>
            <w:r w:rsidRPr="00B13FD5">
              <w:rPr>
                <w:b/>
                <w:color w:val="FFFFFF"/>
                <w:sz w:val="20"/>
                <w:szCs w:val="20"/>
              </w:rPr>
              <w:t>Additional demand</w:t>
            </w:r>
          </w:p>
        </w:tc>
        <w:tc>
          <w:tcPr>
            <w:tcW w:w="1890" w:type="dxa"/>
            <w:tcBorders>
              <w:top w:val="single" w:sz="12" w:space="0" w:color="9DBE3B" w:themeColor="accent2"/>
              <w:bottom w:val="single" w:sz="12" w:space="0" w:color="9DBE3B" w:themeColor="accent2"/>
            </w:tcBorders>
            <w:shd w:val="clear" w:color="auto" w:fill="002941"/>
            <w:vAlign w:val="center"/>
          </w:tcPr>
          <w:p w14:paraId="3237492F" w14:textId="77777777" w:rsidR="00777737" w:rsidRPr="00B13FD5" w:rsidRDefault="00777737" w:rsidP="00323D5B">
            <w:pPr>
              <w:pStyle w:val="Body"/>
              <w:spacing w:before="0" w:after="0"/>
              <w:jc w:val="center"/>
              <w:rPr>
                <w:b/>
                <w:color w:val="FFFFFF"/>
                <w:sz w:val="20"/>
                <w:szCs w:val="20"/>
              </w:rPr>
            </w:pPr>
            <w:r w:rsidRPr="00B13FD5">
              <w:rPr>
                <w:b/>
                <w:color w:val="FFFFFF"/>
                <w:sz w:val="20"/>
                <w:szCs w:val="20"/>
              </w:rPr>
              <w:t>Level of service</w:t>
            </w:r>
          </w:p>
        </w:tc>
        <w:tc>
          <w:tcPr>
            <w:tcW w:w="1890" w:type="dxa"/>
            <w:tcBorders>
              <w:top w:val="single" w:sz="12" w:space="0" w:color="9DBE3B" w:themeColor="accent2"/>
              <w:bottom w:val="single" w:sz="12" w:space="0" w:color="9DBE3B" w:themeColor="accent2"/>
            </w:tcBorders>
            <w:shd w:val="clear" w:color="auto" w:fill="002941"/>
            <w:vAlign w:val="center"/>
          </w:tcPr>
          <w:p w14:paraId="0DFF58FC" w14:textId="77777777" w:rsidR="00777737" w:rsidRPr="00B13FD5" w:rsidRDefault="00777737" w:rsidP="00323D5B">
            <w:pPr>
              <w:pStyle w:val="Body"/>
              <w:spacing w:before="0" w:after="0"/>
              <w:jc w:val="center"/>
              <w:rPr>
                <w:b/>
                <w:color w:val="FFFFFF"/>
                <w:sz w:val="20"/>
                <w:szCs w:val="20"/>
              </w:rPr>
            </w:pPr>
            <w:r w:rsidRPr="00B13FD5">
              <w:rPr>
                <w:b/>
                <w:color w:val="FFFFFF"/>
                <w:sz w:val="20"/>
                <w:szCs w:val="20"/>
              </w:rPr>
              <w:t>Renewals</w:t>
            </w:r>
          </w:p>
        </w:tc>
      </w:tr>
      <w:tr w:rsidR="00777737" w:rsidRPr="00B13FD5" w14:paraId="7E75A72A" w14:textId="77777777" w:rsidTr="00323D5B">
        <w:tc>
          <w:tcPr>
            <w:tcW w:w="1701" w:type="dxa"/>
            <w:vMerge w:val="restart"/>
            <w:tcBorders>
              <w:top w:val="single" w:sz="12" w:space="0" w:color="9DBE3B" w:themeColor="accent2"/>
            </w:tcBorders>
            <w:shd w:val="clear" w:color="auto" w:fill="F2F2F2" w:themeFill="background1" w:themeFillShade="F2"/>
            <w:vAlign w:val="center"/>
          </w:tcPr>
          <w:p w14:paraId="21FCFC50" w14:textId="77777777" w:rsidR="00777737" w:rsidRPr="00B13FD5" w:rsidRDefault="00777737" w:rsidP="00655E31">
            <w:pPr>
              <w:pStyle w:val="Body"/>
              <w:spacing w:before="0" w:after="0"/>
              <w:rPr>
                <w:b/>
                <w:sz w:val="20"/>
                <w:szCs w:val="20"/>
              </w:rPr>
            </w:pPr>
            <w:r w:rsidRPr="00B13FD5">
              <w:rPr>
                <w:b/>
                <w:sz w:val="20"/>
                <w:szCs w:val="20"/>
              </w:rPr>
              <w:t>Water supply</w:t>
            </w:r>
          </w:p>
        </w:tc>
        <w:tc>
          <w:tcPr>
            <w:tcW w:w="2410" w:type="dxa"/>
            <w:tcBorders>
              <w:top w:val="single" w:sz="12" w:space="0" w:color="9DBE3B" w:themeColor="accent2"/>
            </w:tcBorders>
            <w:shd w:val="clear" w:color="auto" w:fill="auto"/>
            <w:vAlign w:val="center"/>
          </w:tcPr>
          <w:p w14:paraId="01684F59" w14:textId="77777777" w:rsidR="00777737" w:rsidRPr="00B13FD5" w:rsidRDefault="00777737" w:rsidP="00655E31">
            <w:pPr>
              <w:pStyle w:val="Body"/>
              <w:spacing w:before="0" w:after="0"/>
              <w:rPr>
                <w:sz w:val="20"/>
                <w:szCs w:val="20"/>
              </w:rPr>
            </w:pPr>
            <w:r w:rsidRPr="00B13FD5">
              <w:rPr>
                <w:sz w:val="20"/>
                <w:szCs w:val="20"/>
              </w:rPr>
              <w:t>Actual capital expenditure</w:t>
            </w:r>
          </w:p>
        </w:tc>
        <w:tc>
          <w:tcPr>
            <w:tcW w:w="1890" w:type="dxa"/>
            <w:tcBorders>
              <w:top w:val="single" w:sz="12" w:space="0" w:color="9DBE3B" w:themeColor="accent2"/>
            </w:tcBorders>
            <w:shd w:val="clear" w:color="auto" w:fill="auto"/>
            <w:vAlign w:val="center"/>
          </w:tcPr>
          <w:p w14:paraId="19B8CB59" w14:textId="77777777" w:rsidR="00777737" w:rsidRPr="00B13FD5" w:rsidRDefault="00777737" w:rsidP="00655E31">
            <w:pPr>
              <w:pStyle w:val="Body"/>
              <w:spacing w:before="0" w:after="0"/>
              <w:jc w:val="center"/>
              <w:rPr>
                <w:sz w:val="20"/>
                <w:szCs w:val="20"/>
              </w:rPr>
            </w:pPr>
            <w:r w:rsidRPr="00B13FD5">
              <w:rPr>
                <w:sz w:val="20"/>
                <w:szCs w:val="20"/>
              </w:rPr>
              <w:t>$117.9m</w:t>
            </w:r>
          </w:p>
        </w:tc>
        <w:tc>
          <w:tcPr>
            <w:tcW w:w="1890" w:type="dxa"/>
            <w:tcBorders>
              <w:top w:val="single" w:sz="12" w:space="0" w:color="9DBE3B" w:themeColor="accent2"/>
            </w:tcBorders>
            <w:shd w:val="clear" w:color="auto" w:fill="auto"/>
            <w:vAlign w:val="center"/>
          </w:tcPr>
          <w:p w14:paraId="615DC9C8" w14:textId="77777777" w:rsidR="00777737" w:rsidRPr="00B13FD5" w:rsidRDefault="00777737" w:rsidP="00655E31">
            <w:pPr>
              <w:pStyle w:val="Body"/>
              <w:spacing w:before="0" w:after="0"/>
              <w:jc w:val="center"/>
              <w:rPr>
                <w:sz w:val="20"/>
                <w:szCs w:val="20"/>
              </w:rPr>
            </w:pPr>
            <w:r w:rsidRPr="00B13FD5">
              <w:rPr>
                <w:sz w:val="20"/>
                <w:szCs w:val="20"/>
              </w:rPr>
              <w:t>$117.1m</w:t>
            </w:r>
          </w:p>
        </w:tc>
        <w:tc>
          <w:tcPr>
            <w:tcW w:w="1890" w:type="dxa"/>
            <w:tcBorders>
              <w:top w:val="single" w:sz="12" w:space="0" w:color="9DBE3B" w:themeColor="accent2"/>
            </w:tcBorders>
            <w:shd w:val="clear" w:color="auto" w:fill="auto"/>
            <w:vAlign w:val="center"/>
          </w:tcPr>
          <w:p w14:paraId="6612E8B0" w14:textId="77777777" w:rsidR="00777737" w:rsidRPr="00B13FD5" w:rsidRDefault="00777737" w:rsidP="00655E31">
            <w:pPr>
              <w:pStyle w:val="Body"/>
              <w:spacing w:before="0" w:after="0"/>
              <w:jc w:val="center"/>
              <w:rPr>
                <w:sz w:val="20"/>
                <w:szCs w:val="20"/>
              </w:rPr>
            </w:pPr>
            <w:r w:rsidRPr="00B13FD5">
              <w:rPr>
                <w:sz w:val="20"/>
                <w:szCs w:val="20"/>
              </w:rPr>
              <w:t>$149.0m</w:t>
            </w:r>
          </w:p>
        </w:tc>
      </w:tr>
      <w:tr w:rsidR="00777737" w:rsidRPr="00B13FD5" w14:paraId="1FDBE45F" w14:textId="77777777" w:rsidTr="00323D5B">
        <w:tc>
          <w:tcPr>
            <w:tcW w:w="1701" w:type="dxa"/>
            <w:vMerge/>
            <w:shd w:val="clear" w:color="auto" w:fill="F2F2F2" w:themeFill="background1" w:themeFillShade="F2"/>
            <w:vAlign w:val="center"/>
          </w:tcPr>
          <w:p w14:paraId="029AE06F" w14:textId="77777777" w:rsidR="00777737" w:rsidRPr="00B13FD5" w:rsidRDefault="00777737" w:rsidP="00655E31">
            <w:pPr>
              <w:pStyle w:val="Body"/>
              <w:spacing w:before="0" w:after="0"/>
              <w:rPr>
                <w:b/>
                <w:sz w:val="20"/>
                <w:szCs w:val="20"/>
              </w:rPr>
            </w:pPr>
          </w:p>
        </w:tc>
        <w:tc>
          <w:tcPr>
            <w:tcW w:w="2410" w:type="dxa"/>
            <w:shd w:val="clear" w:color="auto" w:fill="auto"/>
            <w:vAlign w:val="center"/>
          </w:tcPr>
          <w:p w14:paraId="0AA0C4A4" w14:textId="77777777" w:rsidR="00777737" w:rsidRPr="00B13FD5" w:rsidRDefault="00777737" w:rsidP="00655E31">
            <w:pPr>
              <w:pStyle w:val="Body"/>
              <w:spacing w:before="0" w:after="0"/>
              <w:rPr>
                <w:sz w:val="20"/>
                <w:szCs w:val="20"/>
              </w:rPr>
            </w:pPr>
            <w:r w:rsidRPr="00B13FD5">
              <w:rPr>
                <w:sz w:val="20"/>
                <w:szCs w:val="20"/>
              </w:rPr>
              <w:t>% of budget spent</w:t>
            </w:r>
          </w:p>
        </w:tc>
        <w:tc>
          <w:tcPr>
            <w:tcW w:w="1890" w:type="dxa"/>
            <w:shd w:val="clear" w:color="auto" w:fill="auto"/>
            <w:vAlign w:val="center"/>
          </w:tcPr>
          <w:p w14:paraId="54A4718A" w14:textId="77777777" w:rsidR="00777737" w:rsidRPr="00B13FD5" w:rsidRDefault="00777737" w:rsidP="00655E31">
            <w:pPr>
              <w:pStyle w:val="Body"/>
              <w:spacing w:before="0" w:after="0"/>
              <w:jc w:val="center"/>
              <w:rPr>
                <w:sz w:val="20"/>
                <w:szCs w:val="20"/>
              </w:rPr>
            </w:pPr>
            <w:r w:rsidRPr="00B13FD5">
              <w:rPr>
                <w:sz w:val="20"/>
                <w:szCs w:val="20"/>
              </w:rPr>
              <w:t>86%</w:t>
            </w:r>
          </w:p>
        </w:tc>
        <w:tc>
          <w:tcPr>
            <w:tcW w:w="1890" w:type="dxa"/>
            <w:shd w:val="clear" w:color="auto" w:fill="auto"/>
            <w:vAlign w:val="center"/>
          </w:tcPr>
          <w:p w14:paraId="43A4A12D" w14:textId="77777777" w:rsidR="00777737" w:rsidRPr="00B13FD5" w:rsidRDefault="00777737" w:rsidP="00655E31">
            <w:pPr>
              <w:pStyle w:val="Body"/>
              <w:spacing w:before="0" w:after="0"/>
              <w:jc w:val="center"/>
              <w:rPr>
                <w:sz w:val="20"/>
                <w:szCs w:val="20"/>
              </w:rPr>
            </w:pPr>
            <w:r w:rsidRPr="00B13FD5">
              <w:rPr>
                <w:sz w:val="20"/>
                <w:szCs w:val="20"/>
              </w:rPr>
              <w:t>74%</w:t>
            </w:r>
          </w:p>
        </w:tc>
        <w:tc>
          <w:tcPr>
            <w:tcW w:w="1890" w:type="dxa"/>
            <w:shd w:val="clear" w:color="auto" w:fill="auto"/>
            <w:vAlign w:val="center"/>
          </w:tcPr>
          <w:p w14:paraId="1DC8150A" w14:textId="77777777" w:rsidR="00777737" w:rsidRPr="00B13FD5" w:rsidRDefault="00777737" w:rsidP="00655E31">
            <w:pPr>
              <w:pStyle w:val="Body"/>
              <w:spacing w:before="0" w:after="0"/>
              <w:jc w:val="center"/>
              <w:rPr>
                <w:sz w:val="20"/>
                <w:szCs w:val="20"/>
              </w:rPr>
            </w:pPr>
            <w:r w:rsidRPr="00B13FD5">
              <w:rPr>
                <w:sz w:val="20"/>
                <w:szCs w:val="20"/>
              </w:rPr>
              <w:t>65%</w:t>
            </w:r>
          </w:p>
        </w:tc>
      </w:tr>
      <w:tr w:rsidR="00777737" w:rsidRPr="00B13FD5" w14:paraId="2A0ACA64" w14:textId="77777777" w:rsidTr="00323D5B">
        <w:tc>
          <w:tcPr>
            <w:tcW w:w="1701" w:type="dxa"/>
            <w:vMerge w:val="restart"/>
            <w:shd w:val="clear" w:color="auto" w:fill="F2F2F2" w:themeFill="background1" w:themeFillShade="F2"/>
            <w:vAlign w:val="center"/>
          </w:tcPr>
          <w:p w14:paraId="51D4CBC7" w14:textId="77777777" w:rsidR="00777737" w:rsidRPr="00B13FD5" w:rsidRDefault="00777737" w:rsidP="00655E31">
            <w:pPr>
              <w:pStyle w:val="Body"/>
              <w:spacing w:before="0" w:after="0"/>
              <w:rPr>
                <w:b/>
                <w:sz w:val="20"/>
                <w:szCs w:val="20"/>
              </w:rPr>
            </w:pPr>
            <w:r w:rsidRPr="00B13FD5">
              <w:rPr>
                <w:b/>
                <w:sz w:val="20"/>
                <w:szCs w:val="20"/>
              </w:rPr>
              <w:t>Sewage</w:t>
            </w:r>
          </w:p>
        </w:tc>
        <w:tc>
          <w:tcPr>
            <w:tcW w:w="2410" w:type="dxa"/>
            <w:shd w:val="clear" w:color="auto" w:fill="auto"/>
            <w:vAlign w:val="center"/>
          </w:tcPr>
          <w:p w14:paraId="6B9A8521" w14:textId="77777777" w:rsidR="00777737" w:rsidRPr="00B13FD5" w:rsidRDefault="00777737" w:rsidP="00655E31">
            <w:pPr>
              <w:pStyle w:val="Body"/>
              <w:spacing w:before="0" w:after="0"/>
              <w:rPr>
                <w:sz w:val="20"/>
                <w:szCs w:val="20"/>
              </w:rPr>
            </w:pPr>
            <w:r w:rsidRPr="00B13FD5">
              <w:rPr>
                <w:sz w:val="20"/>
                <w:szCs w:val="20"/>
              </w:rPr>
              <w:t>Actual capital expenditure</w:t>
            </w:r>
          </w:p>
        </w:tc>
        <w:tc>
          <w:tcPr>
            <w:tcW w:w="1890" w:type="dxa"/>
            <w:shd w:val="clear" w:color="auto" w:fill="auto"/>
            <w:vAlign w:val="center"/>
          </w:tcPr>
          <w:p w14:paraId="21F23C26" w14:textId="77777777" w:rsidR="00777737" w:rsidRPr="00B13FD5" w:rsidRDefault="00777737" w:rsidP="00655E31">
            <w:pPr>
              <w:pStyle w:val="Body"/>
              <w:spacing w:before="0" w:after="0"/>
              <w:jc w:val="center"/>
              <w:rPr>
                <w:sz w:val="20"/>
                <w:szCs w:val="20"/>
              </w:rPr>
            </w:pPr>
            <w:r w:rsidRPr="00B13FD5">
              <w:rPr>
                <w:sz w:val="20"/>
                <w:szCs w:val="20"/>
              </w:rPr>
              <w:t>$178.2m</w:t>
            </w:r>
          </w:p>
        </w:tc>
        <w:tc>
          <w:tcPr>
            <w:tcW w:w="1890" w:type="dxa"/>
            <w:shd w:val="clear" w:color="auto" w:fill="auto"/>
            <w:vAlign w:val="center"/>
          </w:tcPr>
          <w:p w14:paraId="64FA4CB4" w14:textId="77777777" w:rsidR="00777737" w:rsidRPr="00B13FD5" w:rsidRDefault="00777737" w:rsidP="00655E31">
            <w:pPr>
              <w:pStyle w:val="Body"/>
              <w:spacing w:before="0" w:after="0"/>
              <w:jc w:val="center"/>
              <w:rPr>
                <w:sz w:val="20"/>
                <w:szCs w:val="20"/>
              </w:rPr>
            </w:pPr>
            <w:r w:rsidRPr="00B13FD5">
              <w:rPr>
                <w:sz w:val="20"/>
                <w:szCs w:val="20"/>
              </w:rPr>
              <w:t>$111.5m</w:t>
            </w:r>
          </w:p>
        </w:tc>
        <w:tc>
          <w:tcPr>
            <w:tcW w:w="1890" w:type="dxa"/>
            <w:shd w:val="clear" w:color="auto" w:fill="auto"/>
            <w:vAlign w:val="center"/>
          </w:tcPr>
          <w:p w14:paraId="715D797E" w14:textId="77777777" w:rsidR="00777737" w:rsidRPr="00B13FD5" w:rsidRDefault="00777737" w:rsidP="00655E31">
            <w:pPr>
              <w:pStyle w:val="Body"/>
              <w:spacing w:before="0" w:after="0"/>
              <w:jc w:val="center"/>
              <w:rPr>
                <w:sz w:val="20"/>
                <w:szCs w:val="20"/>
              </w:rPr>
            </w:pPr>
            <w:r w:rsidRPr="00B13FD5">
              <w:rPr>
                <w:sz w:val="20"/>
                <w:szCs w:val="20"/>
              </w:rPr>
              <w:t>$393.6m</w:t>
            </w:r>
          </w:p>
        </w:tc>
      </w:tr>
      <w:tr w:rsidR="00777737" w:rsidRPr="00B13FD5" w14:paraId="00374F9F" w14:textId="77777777" w:rsidTr="00323D5B">
        <w:tc>
          <w:tcPr>
            <w:tcW w:w="1701" w:type="dxa"/>
            <w:vMerge/>
            <w:shd w:val="clear" w:color="auto" w:fill="F2F2F2" w:themeFill="background1" w:themeFillShade="F2"/>
            <w:vAlign w:val="center"/>
          </w:tcPr>
          <w:p w14:paraId="7B031C4A" w14:textId="77777777" w:rsidR="00777737" w:rsidRPr="00B13FD5" w:rsidRDefault="00777737" w:rsidP="00655E31">
            <w:pPr>
              <w:pStyle w:val="Body"/>
              <w:spacing w:before="0" w:after="0"/>
              <w:rPr>
                <w:b/>
                <w:sz w:val="20"/>
                <w:szCs w:val="20"/>
              </w:rPr>
            </w:pPr>
          </w:p>
        </w:tc>
        <w:tc>
          <w:tcPr>
            <w:tcW w:w="2410" w:type="dxa"/>
            <w:shd w:val="clear" w:color="auto" w:fill="auto"/>
            <w:vAlign w:val="center"/>
          </w:tcPr>
          <w:p w14:paraId="41614B67" w14:textId="77777777" w:rsidR="00777737" w:rsidRPr="00B13FD5" w:rsidRDefault="00777737" w:rsidP="00655E31">
            <w:pPr>
              <w:pStyle w:val="Body"/>
              <w:spacing w:before="0" w:after="0"/>
              <w:rPr>
                <w:sz w:val="20"/>
                <w:szCs w:val="20"/>
              </w:rPr>
            </w:pPr>
            <w:r w:rsidRPr="00B13FD5">
              <w:rPr>
                <w:sz w:val="20"/>
                <w:szCs w:val="20"/>
              </w:rPr>
              <w:t>% of budget spent</w:t>
            </w:r>
          </w:p>
        </w:tc>
        <w:tc>
          <w:tcPr>
            <w:tcW w:w="1890" w:type="dxa"/>
            <w:shd w:val="clear" w:color="auto" w:fill="auto"/>
            <w:vAlign w:val="center"/>
          </w:tcPr>
          <w:p w14:paraId="4C96864F" w14:textId="77777777" w:rsidR="00777737" w:rsidRPr="00B13FD5" w:rsidRDefault="00777737" w:rsidP="00655E31">
            <w:pPr>
              <w:pStyle w:val="Body"/>
              <w:spacing w:before="0" w:after="0"/>
              <w:jc w:val="center"/>
              <w:rPr>
                <w:sz w:val="20"/>
                <w:szCs w:val="20"/>
              </w:rPr>
            </w:pPr>
            <w:r w:rsidRPr="00B13FD5">
              <w:rPr>
                <w:sz w:val="20"/>
                <w:szCs w:val="20"/>
              </w:rPr>
              <w:t>69%</w:t>
            </w:r>
          </w:p>
        </w:tc>
        <w:tc>
          <w:tcPr>
            <w:tcW w:w="1890" w:type="dxa"/>
            <w:shd w:val="clear" w:color="auto" w:fill="auto"/>
            <w:vAlign w:val="center"/>
          </w:tcPr>
          <w:p w14:paraId="45AB6103" w14:textId="77777777" w:rsidR="00777737" w:rsidRPr="00B13FD5" w:rsidRDefault="00777737" w:rsidP="00655E31">
            <w:pPr>
              <w:pStyle w:val="Body"/>
              <w:spacing w:before="0" w:after="0"/>
              <w:jc w:val="center"/>
              <w:rPr>
                <w:sz w:val="20"/>
                <w:szCs w:val="20"/>
              </w:rPr>
            </w:pPr>
            <w:r w:rsidRPr="00B13FD5">
              <w:rPr>
                <w:sz w:val="20"/>
                <w:szCs w:val="20"/>
              </w:rPr>
              <w:t>88%</w:t>
            </w:r>
          </w:p>
        </w:tc>
        <w:tc>
          <w:tcPr>
            <w:tcW w:w="1890" w:type="dxa"/>
            <w:shd w:val="clear" w:color="auto" w:fill="auto"/>
            <w:vAlign w:val="center"/>
          </w:tcPr>
          <w:p w14:paraId="5AB58189" w14:textId="77777777" w:rsidR="00777737" w:rsidRPr="00B13FD5" w:rsidRDefault="00777737" w:rsidP="00655E31">
            <w:pPr>
              <w:pStyle w:val="Body"/>
              <w:spacing w:before="0" w:after="0"/>
              <w:jc w:val="center"/>
              <w:rPr>
                <w:sz w:val="20"/>
                <w:szCs w:val="20"/>
              </w:rPr>
            </w:pPr>
            <w:r w:rsidRPr="00B13FD5">
              <w:rPr>
                <w:sz w:val="20"/>
                <w:szCs w:val="20"/>
              </w:rPr>
              <w:t>131%</w:t>
            </w:r>
          </w:p>
        </w:tc>
      </w:tr>
      <w:tr w:rsidR="00777737" w:rsidRPr="00B13FD5" w14:paraId="07C56F7A" w14:textId="77777777" w:rsidTr="00323D5B">
        <w:tc>
          <w:tcPr>
            <w:tcW w:w="1701" w:type="dxa"/>
            <w:vMerge w:val="restart"/>
            <w:shd w:val="clear" w:color="auto" w:fill="F2F2F2" w:themeFill="background1" w:themeFillShade="F2"/>
            <w:vAlign w:val="center"/>
          </w:tcPr>
          <w:p w14:paraId="64F63AFC" w14:textId="77777777" w:rsidR="00777737" w:rsidRPr="00B13FD5" w:rsidRDefault="00777737" w:rsidP="00655E31">
            <w:pPr>
              <w:pStyle w:val="Body"/>
              <w:spacing w:before="0" w:after="0"/>
              <w:rPr>
                <w:b/>
                <w:sz w:val="20"/>
                <w:szCs w:val="20"/>
              </w:rPr>
            </w:pPr>
            <w:r w:rsidRPr="00B13FD5">
              <w:rPr>
                <w:b/>
                <w:sz w:val="20"/>
                <w:szCs w:val="20"/>
              </w:rPr>
              <w:t>Stormwater</w:t>
            </w:r>
          </w:p>
        </w:tc>
        <w:tc>
          <w:tcPr>
            <w:tcW w:w="2410" w:type="dxa"/>
            <w:shd w:val="clear" w:color="auto" w:fill="auto"/>
            <w:vAlign w:val="center"/>
          </w:tcPr>
          <w:p w14:paraId="5541C68A" w14:textId="77777777" w:rsidR="00777737" w:rsidRPr="00B13FD5" w:rsidRDefault="00777737" w:rsidP="00655E31">
            <w:pPr>
              <w:pStyle w:val="Body"/>
              <w:spacing w:before="0" w:after="0"/>
              <w:rPr>
                <w:sz w:val="20"/>
                <w:szCs w:val="20"/>
              </w:rPr>
            </w:pPr>
            <w:r w:rsidRPr="00B13FD5">
              <w:rPr>
                <w:sz w:val="20"/>
                <w:szCs w:val="20"/>
              </w:rPr>
              <w:t>Actual capital expenditure</w:t>
            </w:r>
          </w:p>
        </w:tc>
        <w:tc>
          <w:tcPr>
            <w:tcW w:w="1890" w:type="dxa"/>
            <w:shd w:val="clear" w:color="auto" w:fill="auto"/>
            <w:vAlign w:val="center"/>
          </w:tcPr>
          <w:p w14:paraId="576A810F" w14:textId="77777777" w:rsidR="00777737" w:rsidRPr="00B13FD5" w:rsidRDefault="00777737" w:rsidP="00655E31">
            <w:pPr>
              <w:pStyle w:val="Body"/>
              <w:spacing w:before="0" w:after="0"/>
              <w:jc w:val="center"/>
              <w:rPr>
                <w:sz w:val="20"/>
                <w:szCs w:val="20"/>
              </w:rPr>
            </w:pPr>
            <w:r w:rsidRPr="00B13FD5">
              <w:rPr>
                <w:sz w:val="20"/>
                <w:szCs w:val="20"/>
              </w:rPr>
              <w:t>$85.1m</w:t>
            </w:r>
          </w:p>
        </w:tc>
        <w:tc>
          <w:tcPr>
            <w:tcW w:w="1890" w:type="dxa"/>
            <w:shd w:val="clear" w:color="auto" w:fill="auto"/>
            <w:vAlign w:val="center"/>
          </w:tcPr>
          <w:p w14:paraId="2BE60FFD" w14:textId="77777777" w:rsidR="00777737" w:rsidRPr="00B13FD5" w:rsidRDefault="00777737" w:rsidP="00655E31">
            <w:pPr>
              <w:pStyle w:val="Body"/>
              <w:spacing w:before="0" w:after="0"/>
              <w:jc w:val="center"/>
              <w:rPr>
                <w:sz w:val="20"/>
                <w:szCs w:val="20"/>
              </w:rPr>
            </w:pPr>
            <w:r w:rsidRPr="00B13FD5">
              <w:rPr>
                <w:sz w:val="20"/>
                <w:szCs w:val="20"/>
              </w:rPr>
              <w:t>$63.5m</w:t>
            </w:r>
          </w:p>
        </w:tc>
        <w:tc>
          <w:tcPr>
            <w:tcW w:w="1890" w:type="dxa"/>
            <w:shd w:val="clear" w:color="auto" w:fill="auto"/>
            <w:vAlign w:val="center"/>
          </w:tcPr>
          <w:p w14:paraId="34003A32" w14:textId="77777777" w:rsidR="00777737" w:rsidRPr="00B13FD5" w:rsidRDefault="00777737" w:rsidP="00655E31">
            <w:pPr>
              <w:pStyle w:val="Body"/>
              <w:spacing w:before="0" w:after="0"/>
              <w:jc w:val="center"/>
              <w:rPr>
                <w:sz w:val="20"/>
                <w:szCs w:val="20"/>
              </w:rPr>
            </w:pPr>
            <w:r w:rsidRPr="00B13FD5">
              <w:rPr>
                <w:sz w:val="20"/>
                <w:szCs w:val="20"/>
              </w:rPr>
              <w:t>$132.4m</w:t>
            </w:r>
          </w:p>
        </w:tc>
      </w:tr>
      <w:tr w:rsidR="00777737" w:rsidRPr="00B13FD5" w14:paraId="4BAAFD9E" w14:textId="77777777" w:rsidTr="00323D5B">
        <w:tc>
          <w:tcPr>
            <w:tcW w:w="1701" w:type="dxa"/>
            <w:vMerge/>
            <w:shd w:val="clear" w:color="auto" w:fill="F2F2F2" w:themeFill="background1" w:themeFillShade="F2"/>
          </w:tcPr>
          <w:p w14:paraId="3C525098" w14:textId="77777777" w:rsidR="00777737" w:rsidRPr="00B13FD5" w:rsidRDefault="00777737" w:rsidP="00655E31">
            <w:pPr>
              <w:pStyle w:val="Body"/>
              <w:spacing w:before="0" w:after="0"/>
              <w:rPr>
                <w:b/>
                <w:sz w:val="20"/>
                <w:szCs w:val="20"/>
              </w:rPr>
            </w:pPr>
          </w:p>
        </w:tc>
        <w:tc>
          <w:tcPr>
            <w:tcW w:w="2410" w:type="dxa"/>
            <w:shd w:val="clear" w:color="auto" w:fill="auto"/>
            <w:vAlign w:val="center"/>
          </w:tcPr>
          <w:p w14:paraId="3CEAB6AE" w14:textId="77777777" w:rsidR="00777737" w:rsidRPr="00B13FD5" w:rsidRDefault="00777737" w:rsidP="00655E31">
            <w:pPr>
              <w:pStyle w:val="Body"/>
              <w:spacing w:before="0" w:after="0"/>
              <w:rPr>
                <w:sz w:val="20"/>
                <w:szCs w:val="20"/>
              </w:rPr>
            </w:pPr>
            <w:r w:rsidRPr="00B13FD5">
              <w:rPr>
                <w:sz w:val="20"/>
                <w:szCs w:val="20"/>
              </w:rPr>
              <w:t>% of budget spent</w:t>
            </w:r>
          </w:p>
        </w:tc>
        <w:tc>
          <w:tcPr>
            <w:tcW w:w="1890" w:type="dxa"/>
            <w:shd w:val="clear" w:color="auto" w:fill="auto"/>
            <w:vAlign w:val="center"/>
          </w:tcPr>
          <w:p w14:paraId="136EF46D" w14:textId="77777777" w:rsidR="00777737" w:rsidRPr="00B13FD5" w:rsidRDefault="00777737" w:rsidP="00655E31">
            <w:pPr>
              <w:pStyle w:val="Body"/>
              <w:spacing w:before="0" w:after="0"/>
              <w:jc w:val="center"/>
              <w:rPr>
                <w:sz w:val="20"/>
                <w:szCs w:val="20"/>
              </w:rPr>
            </w:pPr>
            <w:r w:rsidRPr="00B13FD5">
              <w:rPr>
                <w:sz w:val="20"/>
                <w:szCs w:val="20"/>
              </w:rPr>
              <w:t>139%</w:t>
            </w:r>
          </w:p>
        </w:tc>
        <w:tc>
          <w:tcPr>
            <w:tcW w:w="1890" w:type="dxa"/>
            <w:shd w:val="clear" w:color="auto" w:fill="auto"/>
            <w:vAlign w:val="center"/>
          </w:tcPr>
          <w:p w14:paraId="22A3AA74" w14:textId="77777777" w:rsidR="00777737" w:rsidRPr="00B13FD5" w:rsidRDefault="00777737" w:rsidP="00655E31">
            <w:pPr>
              <w:pStyle w:val="Body"/>
              <w:spacing w:before="0" w:after="0"/>
              <w:jc w:val="center"/>
              <w:rPr>
                <w:sz w:val="20"/>
                <w:szCs w:val="20"/>
              </w:rPr>
            </w:pPr>
            <w:r w:rsidRPr="00B13FD5">
              <w:rPr>
                <w:sz w:val="20"/>
                <w:szCs w:val="20"/>
              </w:rPr>
              <w:t>108%</w:t>
            </w:r>
          </w:p>
        </w:tc>
        <w:tc>
          <w:tcPr>
            <w:tcW w:w="1890" w:type="dxa"/>
            <w:shd w:val="clear" w:color="auto" w:fill="auto"/>
            <w:vAlign w:val="center"/>
          </w:tcPr>
          <w:p w14:paraId="7BCEE819" w14:textId="77777777" w:rsidR="00777737" w:rsidRPr="00B13FD5" w:rsidRDefault="00777737" w:rsidP="00655E31">
            <w:pPr>
              <w:pStyle w:val="Body"/>
              <w:spacing w:before="0" w:after="0"/>
              <w:jc w:val="center"/>
              <w:rPr>
                <w:sz w:val="20"/>
                <w:szCs w:val="20"/>
              </w:rPr>
            </w:pPr>
            <w:r w:rsidRPr="00B13FD5">
              <w:rPr>
                <w:sz w:val="20"/>
                <w:szCs w:val="20"/>
              </w:rPr>
              <w:t>146%</w:t>
            </w:r>
          </w:p>
        </w:tc>
      </w:tr>
      <w:tr w:rsidR="00777737" w:rsidRPr="00B13FD5" w14:paraId="74EA3A72" w14:textId="77777777" w:rsidTr="00323D5B">
        <w:tc>
          <w:tcPr>
            <w:tcW w:w="1701" w:type="dxa"/>
            <w:vMerge w:val="restart"/>
            <w:shd w:val="clear" w:color="auto" w:fill="F2F2F2" w:themeFill="background1" w:themeFillShade="F2"/>
            <w:vAlign w:val="center"/>
          </w:tcPr>
          <w:p w14:paraId="79D07DDF" w14:textId="77777777" w:rsidR="00777737" w:rsidRPr="00B13FD5" w:rsidRDefault="00777737" w:rsidP="00655E31">
            <w:pPr>
              <w:pStyle w:val="Body"/>
              <w:spacing w:before="0" w:after="0"/>
              <w:rPr>
                <w:b/>
                <w:sz w:val="20"/>
                <w:szCs w:val="20"/>
              </w:rPr>
            </w:pPr>
            <w:r w:rsidRPr="00B13FD5">
              <w:rPr>
                <w:b/>
                <w:sz w:val="20"/>
                <w:szCs w:val="20"/>
              </w:rPr>
              <w:t>Flood protection</w:t>
            </w:r>
          </w:p>
        </w:tc>
        <w:tc>
          <w:tcPr>
            <w:tcW w:w="2410" w:type="dxa"/>
            <w:shd w:val="clear" w:color="auto" w:fill="auto"/>
            <w:vAlign w:val="center"/>
          </w:tcPr>
          <w:p w14:paraId="4E79CE4B" w14:textId="77777777" w:rsidR="00777737" w:rsidRPr="00B13FD5" w:rsidRDefault="00777737" w:rsidP="00655E31">
            <w:pPr>
              <w:pStyle w:val="Body"/>
              <w:spacing w:before="0" w:after="0"/>
              <w:rPr>
                <w:sz w:val="20"/>
                <w:szCs w:val="20"/>
              </w:rPr>
            </w:pPr>
            <w:r w:rsidRPr="00B13FD5">
              <w:rPr>
                <w:sz w:val="20"/>
                <w:szCs w:val="20"/>
              </w:rPr>
              <w:t>Actual capital expenditure</w:t>
            </w:r>
          </w:p>
        </w:tc>
        <w:tc>
          <w:tcPr>
            <w:tcW w:w="1890" w:type="dxa"/>
            <w:shd w:val="clear" w:color="auto" w:fill="auto"/>
            <w:vAlign w:val="center"/>
          </w:tcPr>
          <w:p w14:paraId="31EBFDDF" w14:textId="77777777" w:rsidR="00777737" w:rsidRPr="00B13FD5" w:rsidRDefault="00777737" w:rsidP="00655E31">
            <w:pPr>
              <w:pStyle w:val="Body"/>
              <w:spacing w:before="0" w:after="0"/>
              <w:jc w:val="center"/>
              <w:rPr>
                <w:sz w:val="20"/>
                <w:szCs w:val="20"/>
              </w:rPr>
            </w:pPr>
            <w:r w:rsidRPr="00B13FD5">
              <w:rPr>
                <w:sz w:val="20"/>
                <w:szCs w:val="20"/>
              </w:rPr>
              <w:t>$6.8m</w:t>
            </w:r>
          </w:p>
        </w:tc>
        <w:tc>
          <w:tcPr>
            <w:tcW w:w="1890" w:type="dxa"/>
            <w:shd w:val="clear" w:color="auto" w:fill="auto"/>
            <w:vAlign w:val="center"/>
          </w:tcPr>
          <w:p w14:paraId="457719B2" w14:textId="77777777" w:rsidR="00777737" w:rsidRPr="00B13FD5" w:rsidRDefault="00777737" w:rsidP="00655E31">
            <w:pPr>
              <w:pStyle w:val="Body"/>
              <w:spacing w:before="0" w:after="0"/>
              <w:jc w:val="center"/>
              <w:rPr>
                <w:sz w:val="20"/>
                <w:szCs w:val="20"/>
              </w:rPr>
            </w:pPr>
            <w:r w:rsidRPr="00B13FD5">
              <w:rPr>
                <w:sz w:val="20"/>
                <w:szCs w:val="20"/>
              </w:rPr>
              <w:t>$40.3m</w:t>
            </w:r>
          </w:p>
        </w:tc>
        <w:tc>
          <w:tcPr>
            <w:tcW w:w="1890" w:type="dxa"/>
            <w:shd w:val="clear" w:color="auto" w:fill="auto"/>
            <w:vAlign w:val="center"/>
          </w:tcPr>
          <w:p w14:paraId="052198A9" w14:textId="77777777" w:rsidR="00777737" w:rsidRPr="00B13FD5" w:rsidRDefault="00777737" w:rsidP="00655E31">
            <w:pPr>
              <w:pStyle w:val="Body"/>
              <w:spacing w:before="0" w:after="0"/>
              <w:jc w:val="center"/>
              <w:rPr>
                <w:sz w:val="20"/>
                <w:szCs w:val="20"/>
              </w:rPr>
            </w:pPr>
            <w:r w:rsidRPr="00B13FD5">
              <w:rPr>
                <w:sz w:val="20"/>
                <w:szCs w:val="20"/>
              </w:rPr>
              <w:t>$15.5m</w:t>
            </w:r>
          </w:p>
        </w:tc>
      </w:tr>
      <w:tr w:rsidR="00777737" w:rsidRPr="00B13FD5" w14:paraId="707BEA47" w14:textId="77777777" w:rsidTr="00323D5B">
        <w:tc>
          <w:tcPr>
            <w:tcW w:w="1701" w:type="dxa"/>
            <w:vMerge/>
            <w:tcBorders>
              <w:bottom w:val="single" w:sz="4" w:space="0" w:color="808285"/>
            </w:tcBorders>
            <w:shd w:val="clear" w:color="auto" w:fill="F2F2F2" w:themeFill="background1" w:themeFillShade="F2"/>
            <w:vAlign w:val="center"/>
          </w:tcPr>
          <w:p w14:paraId="58D12A50" w14:textId="77777777" w:rsidR="00777737" w:rsidRPr="00B13FD5" w:rsidRDefault="00777737" w:rsidP="00655E31">
            <w:pPr>
              <w:pStyle w:val="Body"/>
              <w:spacing w:before="0" w:after="0"/>
              <w:rPr>
                <w:b/>
                <w:sz w:val="20"/>
                <w:szCs w:val="20"/>
              </w:rPr>
            </w:pPr>
          </w:p>
        </w:tc>
        <w:tc>
          <w:tcPr>
            <w:tcW w:w="2410" w:type="dxa"/>
            <w:tcBorders>
              <w:bottom w:val="single" w:sz="4" w:space="0" w:color="808285"/>
            </w:tcBorders>
            <w:shd w:val="clear" w:color="auto" w:fill="auto"/>
            <w:vAlign w:val="center"/>
          </w:tcPr>
          <w:p w14:paraId="6B51257D" w14:textId="77777777" w:rsidR="00777737" w:rsidRPr="00B13FD5" w:rsidRDefault="00777737" w:rsidP="00655E31">
            <w:pPr>
              <w:pStyle w:val="Body"/>
              <w:spacing w:before="0" w:after="0"/>
              <w:rPr>
                <w:sz w:val="20"/>
                <w:szCs w:val="20"/>
              </w:rPr>
            </w:pPr>
            <w:r w:rsidRPr="00B13FD5">
              <w:rPr>
                <w:sz w:val="20"/>
                <w:szCs w:val="20"/>
              </w:rPr>
              <w:t>% of budget spent</w:t>
            </w:r>
          </w:p>
        </w:tc>
        <w:tc>
          <w:tcPr>
            <w:tcW w:w="1890" w:type="dxa"/>
            <w:tcBorders>
              <w:bottom w:val="single" w:sz="4" w:space="0" w:color="808285"/>
            </w:tcBorders>
            <w:shd w:val="clear" w:color="auto" w:fill="auto"/>
            <w:vAlign w:val="center"/>
          </w:tcPr>
          <w:p w14:paraId="231811DD" w14:textId="77777777" w:rsidR="00777737" w:rsidRPr="00B13FD5" w:rsidRDefault="00777737" w:rsidP="00655E31">
            <w:pPr>
              <w:pStyle w:val="Body"/>
              <w:spacing w:before="0" w:after="0"/>
              <w:jc w:val="center"/>
              <w:rPr>
                <w:sz w:val="20"/>
                <w:szCs w:val="20"/>
              </w:rPr>
            </w:pPr>
            <w:r w:rsidRPr="00B13FD5">
              <w:rPr>
                <w:sz w:val="20"/>
                <w:szCs w:val="20"/>
              </w:rPr>
              <w:t>58%</w:t>
            </w:r>
          </w:p>
        </w:tc>
        <w:tc>
          <w:tcPr>
            <w:tcW w:w="1890" w:type="dxa"/>
            <w:tcBorders>
              <w:bottom w:val="single" w:sz="4" w:space="0" w:color="808285"/>
            </w:tcBorders>
            <w:shd w:val="clear" w:color="auto" w:fill="auto"/>
            <w:vAlign w:val="center"/>
          </w:tcPr>
          <w:p w14:paraId="6D7222E0" w14:textId="77777777" w:rsidR="00777737" w:rsidRPr="00B13FD5" w:rsidRDefault="00777737" w:rsidP="00655E31">
            <w:pPr>
              <w:pStyle w:val="Body"/>
              <w:spacing w:before="0" w:after="0"/>
              <w:jc w:val="center"/>
              <w:rPr>
                <w:sz w:val="20"/>
                <w:szCs w:val="20"/>
              </w:rPr>
            </w:pPr>
            <w:r w:rsidRPr="00B13FD5">
              <w:rPr>
                <w:sz w:val="20"/>
                <w:szCs w:val="20"/>
              </w:rPr>
              <w:t>98%</w:t>
            </w:r>
          </w:p>
        </w:tc>
        <w:tc>
          <w:tcPr>
            <w:tcW w:w="1890" w:type="dxa"/>
            <w:tcBorders>
              <w:bottom w:val="single" w:sz="4" w:space="0" w:color="808285"/>
            </w:tcBorders>
            <w:shd w:val="clear" w:color="auto" w:fill="auto"/>
            <w:vAlign w:val="center"/>
          </w:tcPr>
          <w:p w14:paraId="4EB0D22D" w14:textId="77777777" w:rsidR="00777737" w:rsidRPr="00B13FD5" w:rsidRDefault="00777737" w:rsidP="00655E31">
            <w:pPr>
              <w:pStyle w:val="Body"/>
              <w:spacing w:before="0" w:after="0"/>
              <w:jc w:val="center"/>
              <w:rPr>
                <w:sz w:val="20"/>
                <w:szCs w:val="20"/>
              </w:rPr>
            </w:pPr>
            <w:r w:rsidRPr="00B13FD5">
              <w:rPr>
                <w:sz w:val="20"/>
                <w:szCs w:val="20"/>
              </w:rPr>
              <w:t>30%</w:t>
            </w:r>
          </w:p>
        </w:tc>
      </w:tr>
      <w:tr w:rsidR="00777737" w:rsidRPr="00B13FD5" w14:paraId="7F642F9C" w14:textId="77777777" w:rsidTr="00323D5B">
        <w:tc>
          <w:tcPr>
            <w:tcW w:w="1701" w:type="dxa"/>
            <w:vMerge w:val="restart"/>
            <w:shd w:val="clear" w:color="auto" w:fill="F2F2F2" w:themeFill="background1" w:themeFillShade="F2"/>
            <w:vAlign w:val="center"/>
          </w:tcPr>
          <w:p w14:paraId="5CD78F24" w14:textId="77777777" w:rsidR="00777737" w:rsidRPr="00B13FD5" w:rsidRDefault="00777737" w:rsidP="00655E31">
            <w:pPr>
              <w:pStyle w:val="Body"/>
              <w:spacing w:before="0" w:after="0"/>
              <w:rPr>
                <w:b/>
                <w:sz w:val="20"/>
                <w:szCs w:val="20"/>
              </w:rPr>
            </w:pPr>
            <w:r w:rsidRPr="00B13FD5">
              <w:rPr>
                <w:b/>
                <w:sz w:val="20"/>
                <w:szCs w:val="20"/>
              </w:rPr>
              <w:t>Roads</w:t>
            </w:r>
          </w:p>
        </w:tc>
        <w:tc>
          <w:tcPr>
            <w:tcW w:w="2410" w:type="dxa"/>
            <w:shd w:val="clear" w:color="auto" w:fill="auto"/>
            <w:vAlign w:val="center"/>
          </w:tcPr>
          <w:p w14:paraId="549B40C1" w14:textId="77777777" w:rsidR="00777737" w:rsidRPr="00B13FD5" w:rsidRDefault="00777737" w:rsidP="00655E31">
            <w:pPr>
              <w:pStyle w:val="Body"/>
              <w:spacing w:before="0" w:after="0"/>
              <w:rPr>
                <w:sz w:val="20"/>
                <w:szCs w:val="20"/>
              </w:rPr>
            </w:pPr>
            <w:r w:rsidRPr="00B13FD5">
              <w:rPr>
                <w:sz w:val="20"/>
                <w:szCs w:val="20"/>
              </w:rPr>
              <w:t>Actual capital expenditure</w:t>
            </w:r>
          </w:p>
        </w:tc>
        <w:tc>
          <w:tcPr>
            <w:tcW w:w="1890" w:type="dxa"/>
            <w:shd w:val="clear" w:color="auto" w:fill="auto"/>
            <w:vAlign w:val="center"/>
          </w:tcPr>
          <w:p w14:paraId="630FFC6F" w14:textId="77777777" w:rsidR="00777737" w:rsidRPr="00B13FD5" w:rsidRDefault="00777737" w:rsidP="00655E31">
            <w:pPr>
              <w:pStyle w:val="Body"/>
              <w:spacing w:before="0" w:after="0"/>
              <w:jc w:val="center"/>
              <w:rPr>
                <w:sz w:val="20"/>
                <w:szCs w:val="20"/>
              </w:rPr>
            </w:pPr>
            <w:r w:rsidRPr="00B13FD5">
              <w:rPr>
                <w:sz w:val="20"/>
                <w:szCs w:val="20"/>
              </w:rPr>
              <w:t>$106.4m</w:t>
            </w:r>
          </w:p>
        </w:tc>
        <w:tc>
          <w:tcPr>
            <w:tcW w:w="1890" w:type="dxa"/>
            <w:shd w:val="clear" w:color="auto" w:fill="auto"/>
            <w:vAlign w:val="center"/>
          </w:tcPr>
          <w:p w14:paraId="775423BC" w14:textId="77777777" w:rsidR="00777737" w:rsidRPr="00B13FD5" w:rsidRDefault="00777737" w:rsidP="00655E31">
            <w:pPr>
              <w:pStyle w:val="Body"/>
              <w:spacing w:before="0" w:after="0"/>
              <w:jc w:val="center"/>
              <w:rPr>
                <w:sz w:val="20"/>
                <w:szCs w:val="20"/>
              </w:rPr>
            </w:pPr>
            <w:r w:rsidRPr="00B13FD5">
              <w:rPr>
                <w:sz w:val="20"/>
                <w:szCs w:val="20"/>
              </w:rPr>
              <w:t>$313.2m</w:t>
            </w:r>
          </w:p>
        </w:tc>
        <w:tc>
          <w:tcPr>
            <w:tcW w:w="1890" w:type="dxa"/>
            <w:shd w:val="clear" w:color="auto" w:fill="auto"/>
            <w:vAlign w:val="center"/>
          </w:tcPr>
          <w:p w14:paraId="71EBD556" w14:textId="77777777" w:rsidR="00777737" w:rsidRPr="00B13FD5" w:rsidRDefault="00777737" w:rsidP="00655E31">
            <w:pPr>
              <w:pStyle w:val="Body"/>
              <w:spacing w:before="0" w:after="0"/>
              <w:jc w:val="center"/>
              <w:rPr>
                <w:sz w:val="20"/>
                <w:szCs w:val="20"/>
              </w:rPr>
            </w:pPr>
            <w:r w:rsidRPr="00B13FD5">
              <w:rPr>
                <w:sz w:val="20"/>
                <w:szCs w:val="20"/>
              </w:rPr>
              <w:t>$825.3m</w:t>
            </w:r>
          </w:p>
        </w:tc>
      </w:tr>
      <w:tr w:rsidR="00777737" w:rsidRPr="00B13FD5" w14:paraId="21F2C6B8" w14:textId="77777777" w:rsidTr="00323D5B">
        <w:tc>
          <w:tcPr>
            <w:tcW w:w="1701" w:type="dxa"/>
            <w:vMerge/>
            <w:tcBorders>
              <w:bottom w:val="single" w:sz="12" w:space="0" w:color="9DBE3B" w:themeColor="accent2"/>
            </w:tcBorders>
            <w:shd w:val="clear" w:color="auto" w:fill="F2F2F2" w:themeFill="background1" w:themeFillShade="F2"/>
          </w:tcPr>
          <w:p w14:paraId="41837F1D" w14:textId="77777777" w:rsidR="00777737" w:rsidRPr="00B13FD5" w:rsidRDefault="00777737" w:rsidP="00655E31">
            <w:pPr>
              <w:pStyle w:val="Body"/>
              <w:spacing w:before="0" w:after="0"/>
              <w:jc w:val="center"/>
              <w:rPr>
                <w:b/>
                <w:sz w:val="20"/>
                <w:szCs w:val="20"/>
              </w:rPr>
            </w:pPr>
          </w:p>
        </w:tc>
        <w:tc>
          <w:tcPr>
            <w:tcW w:w="2410" w:type="dxa"/>
            <w:tcBorders>
              <w:bottom w:val="single" w:sz="12" w:space="0" w:color="9DBE3B" w:themeColor="accent2"/>
            </w:tcBorders>
            <w:shd w:val="clear" w:color="auto" w:fill="auto"/>
            <w:vAlign w:val="center"/>
          </w:tcPr>
          <w:p w14:paraId="6CB056B8" w14:textId="77777777" w:rsidR="00777737" w:rsidRPr="00B13FD5" w:rsidRDefault="00777737" w:rsidP="00655E31">
            <w:pPr>
              <w:pStyle w:val="Body"/>
              <w:spacing w:before="0" w:after="0"/>
              <w:rPr>
                <w:sz w:val="20"/>
                <w:szCs w:val="20"/>
              </w:rPr>
            </w:pPr>
            <w:r w:rsidRPr="00B13FD5">
              <w:rPr>
                <w:sz w:val="20"/>
                <w:szCs w:val="20"/>
              </w:rPr>
              <w:t>% of budget spent</w:t>
            </w:r>
          </w:p>
        </w:tc>
        <w:tc>
          <w:tcPr>
            <w:tcW w:w="1890" w:type="dxa"/>
            <w:tcBorders>
              <w:bottom w:val="single" w:sz="12" w:space="0" w:color="9DBE3B" w:themeColor="accent2"/>
            </w:tcBorders>
            <w:shd w:val="clear" w:color="auto" w:fill="auto"/>
            <w:vAlign w:val="center"/>
          </w:tcPr>
          <w:p w14:paraId="43FBD338" w14:textId="77777777" w:rsidR="00777737" w:rsidRPr="00B13FD5" w:rsidRDefault="00777737" w:rsidP="00655E31">
            <w:pPr>
              <w:pStyle w:val="Body"/>
              <w:spacing w:before="0" w:after="0"/>
              <w:jc w:val="center"/>
              <w:rPr>
                <w:sz w:val="20"/>
                <w:szCs w:val="20"/>
              </w:rPr>
            </w:pPr>
            <w:r w:rsidRPr="00B13FD5">
              <w:rPr>
                <w:sz w:val="20"/>
                <w:szCs w:val="20"/>
              </w:rPr>
              <w:t>66%</w:t>
            </w:r>
          </w:p>
        </w:tc>
        <w:tc>
          <w:tcPr>
            <w:tcW w:w="1890" w:type="dxa"/>
            <w:tcBorders>
              <w:bottom w:val="single" w:sz="12" w:space="0" w:color="9DBE3B" w:themeColor="accent2"/>
            </w:tcBorders>
            <w:shd w:val="clear" w:color="auto" w:fill="auto"/>
            <w:vAlign w:val="center"/>
          </w:tcPr>
          <w:p w14:paraId="2EE2E748" w14:textId="77777777" w:rsidR="00777737" w:rsidRPr="00B13FD5" w:rsidRDefault="00777737" w:rsidP="00655E31">
            <w:pPr>
              <w:pStyle w:val="Body"/>
              <w:spacing w:before="0" w:after="0"/>
              <w:jc w:val="center"/>
              <w:rPr>
                <w:sz w:val="20"/>
                <w:szCs w:val="20"/>
              </w:rPr>
            </w:pPr>
            <w:r w:rsidRPr="00B13FD5">
              <w:rPr>
                <w:sz w:val="20"/>
                <w:szCs w:val="20"/>
              </w:rPr>
              <w:t>92%</w:t>
            </w:r>
          </w:p>
        </w:tc>
        <w:tc>
          <w:tcPr>
            <w:tcW w:w="1890" w:type="dxa"/>
            <w:tcBorders>
              <w:bottom w:val="single" w:sz="12" w:space="0" w:color="9DBE3B" w:themeColor="accent2"/>
            </w:tcBorders>
            <w:shd w:val="clear" w:color="auto" w:fill="auto"/>
            <w:vAlign w:val="center"/>
          </w:tcPr>
          <w:p w14:paraId="51CF8A20" w14:textId="77777777" w:rsidR="00777737" w:rsidRPr="00B13FD5" w:rsidRDefault="00777737" w:rsidP="00655E31">
            <w:pPr>
              <w:pStyle w:val="Body"/>
              <w:spacing w:before="0" w:after="0"/>
              <w:jc w:val="center"/>
              <w:rPr>
                <w:sz w:val="20"/>
                <w:szCs w:val="20"/>
              </w:rPr>
            </w:pPr>
            <w:r w:rsidRPr="00B13FD5">
              <w:rPr>
                <w:sz w:val="20"/>
                <w:szCs w:val="20"/>
              </w:rPr>
              <w:t>111%</w:t>
            </w:r>
          </w:p>
        </w:tc>
      </w:tr>
    </w:tbl>
    <w:p w14:paraId="23DEA4F3" w14:textId="30E84486" w:rsidR="004A7012" w:rsidRDefault="004A7012" w:rsidP="00777737">
      <w:pPr>
        <w:pStyle w:val="Body"/>
        <w:spacing w:before="240" w:after="80"/>
        <w:rPr>
          <w:i/>
          <w:iCs/>
        </w:rPr>
      </w:pPr>
      <w:r w:rsidRPr="004A7012">
        <w:rPr>
          <w:i/>
          <w:iCs/>
        </w:rPr>
        <w:t xml:space="preserve">Source: Office of </w:t>
      </w:r>
      <w:r w:rsidR="00B64C91">
        <w:rPr>
          <w:i/>
          <w:iCs/>
        </w:rPr>
        <w:t>the Auditor General</w:t>
      </w:r>
    </w:p>
    <w:p w14:paraId="79BE3331" w14:textId="1FF91FF8" w:rsidR="00777737" w:rsidRDefault="00777737" w:rsidP="004A372C">
      <w:pPr>
        <w:pStyle w:val="ListParagraph"/>
      </w:pPr>
      <w:r>
        <w:t>This is a consistent trend in local government, with most councils having delivered less than 80% of their capital works programmes since 2012/13.</w:t>
      </w:r>
    </w:p>
    <w:p w14:paraId="05D9F6FA" w14:textId="6F329B6E" w:rsidR="00777737" w:rsidRDefault="00C81F3E" w:rsidP="001567EB">
      <w:pPr>
        <w:pStyle w:val="Caption"/>
      </w:pPr>
      <w:bookmarkStart w:id="54" w:name="_Toc520900274"/>
      <w:r>
        <w:rPr>
          <w:noProof/>
          <w:lang w:eastAsia="en-NZ"/>
        </w:rPr>
        <mc:AlternateContent>
          <mc:Choice Requires="wps">
            <w:drawing>
              <wp:anchor distT="0" distB="0" distL="114300" distR="114300" simplePos="0" relativeHeight="251639808" behindDoc="0" locked="0" layoutInCell="1" allowOverlap="1" wp14:anchorId="7CBFCDAA" wp14:editId="67354898">
                <wp:simplePos x="0" y="0"/>
                <wp:positionH relativeFrom="column">
                  <wp:posOffset>490220</wp:posOffset>
                </wp:positionH>
                <wp:positionV relativeFrom="paragraph">
                  <wp:posOffset>3707765</wp:posOffset>
                </wp:positionV>
                <wp:extent cx="2764155" cy="36385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764155" cy="363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3CFDD" w14:textId="77777777" w:rsidR="007C0AF1" w:rsidRPr="00CD1045" w:rsidRDefault="007C0AF1" w:rsidP="00331531">
                            <w:pPr>
                              <w:rPr>
                                <w:b/>
                                <w:bCs/>
                                <w:color w:val="404142" w:themeColor="accent3" w:themeShade="80"/>
                              </w:rPr>
                            </w:pPr>
                            <w:r w:rsidRPr="00CD1045">
                              <w:rPr>
                                <w:b/>
                                <w:bCs/>
                                <w:i/>
                                <w:iCs/>
                                <w:color w:val="404142" w:themeColor="accent3" w:themeShade="80"/>
                              </w:rPr>
                              <w:t>Source: Department of Internal Affairs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8" type="#_x0000_t202" style="position:absolute;left:0;text-align:left;margin-left:38.6pt;margin-top:291.95pt;width:217.65pt;height:28.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9dgQIAAGwFAAAOAAAAZHJzL2Uyb0RvYy54bWysVE1PGzEQvVfqf7B8L5uEJEDEBqUgqkoI&#10;UEPF2fHaZFWvx7WdZNNf32dvEiLaC1Uvu+OZ5+f5vrxqG8PWyoeabMn7Jz3OlJVU1fal5N+fbj+d&#10;cxaisJUwZFXJtyrwq+nHD5cbN1EDWpKplGcgsWGycSVfxugmRRHkUjUinJBTFkZNvhERR/9SVF5s&#10;wN6YYtDrjYsN+cp5kioEaG86I59mfq2VjA9aBxWZKTl8i/nr83eRvsX0UkxevHDLWu7cEP/gRSNq&#10;i0cPVDciCrby9R9UTS09BdLxRFJTkNa1VDkGRNPvvYlmvhRO5ViQnOAOaQr/j1berx89q6uSX6BS&#10;VjSo0ZNqI/tMLYMK+dm4MAFs7gCMLfSo814foExht9o36Y+AGOzI9PaQ3cQmoRycjYf90YgzCdvp&#10;+PQcMuiL19vOh/hFUcOSUHKP6uWkivVdiB10D0mPWbqtjckVNJZtSj4+HfXyhYMF5MYmrMq9sKNJ&#10;EXWeZylujUoYY78pjVzkAJIid6G6Np6tBfpHSKlszLFnXqATSsOJ91zc4V+9es/lLo79y2Tj4XJT&#10;W/I5+jduVz/2LusOj5wfxZ3E2C7a3AT9Q2UXVG1RcE/dyAQnb2tU5U6E+Cg8ZgQ1xtzHB3y0IWSf&#10;dhJnS/K//qZPeLQurJxtMHMlDz9XwivOzFeLpr7oD4dpSPNhODob4OCPLYtji10114Sy9LFhnMxi&#10;wkezF7Wn5hnrYZZehUlYibdLHvfidew2AdaLVLNZBmEsnYh3du5kok5VSj331D4L73aNGdHS97Sf&#10;TjF5058dNt20NFtF0nVu3pToLqu7AmCkc/vv1k/aGcfnjHpdktPfAAAA//8DAFBLAwQUAAYACAAA&#10;ACEAOYmDheMAAAAKAQAADwAAAGRycy9kb3ducmV2LnhtbEyPwU7DMBBE70j8g7VI3KgTQ9o0jVNV&#10;kSokRA8tvXBz4m0SEa9D7LaBr8ec4Liap5m3+XoyPbvg6DpLEuJZBAyptrqjRsLxbfuQAnNekVa9&#10;JZTwhQ7Wxe1NrjJtr7THy8E3LJSQy5SE1vsh49zVLRrlZnZACtnJjkb5cI4N16O6hnLTcxFFc25U&#10;R2GhVQOWLdYfh7OR8FJud2pfCZN+9+Xz62kzfB7fEynv76bNCpjHyf/B8Ksf1KEITpU9k3asl7BY&#10;iEBKSNLHJbAAJLFIgFUS5k+xAF7k/P8LxQ8AAAD//wMAUEsBAi0AFAAGAAgAAAAhALaDOJL+AAAA&#10;4QEAABMAAAAAAAAAAAAAAAAAAAAAAFtDb250ZW50X1R5cGVzXS54bWxQSwECLQAUAAYACAAAACEA&#10;OP0h/9YAAACUAQAACwAAAAAAAAAAAAAAAAAvAQAAX3JlbHMvLnJlbHNQSwECLQAUAAYACAAAACEA&#10;KP1fXYECAABsBQAADgAAAAAAAAAAAAAAAAAuAgAAZHJzL2Uyb0RvYy54bWxQSwECLQAUAAYACAAA&#10;ACEAOYmDheMAAAAKAQAADwAAAAAAAAAAAAAAAADbBAAAZHJzL2Rvd25yZXYueG1sUEsFBgAAAAAE&#10;AAQA8wAAAOsFAAAAAA==&#10;" filled="f" stroked="f" strokeweight=".5pt">
                <v:textbox>
                  <w:txbxContent>
                    <w:p w14:paraId="5CC3CFDD" w14:textId="77777777" w:rsidR="007C0AF1" w:rsidRPr="00CD1045" w:rsidRDefault="007C0AF1" w:rsidP="00331531">
                      <w:pPr>
                        <w:rPr>
                          <w:b/>
                          <w:bCs/>
                          <w:color w:val="404142" w:themeColor="accent3" w:themeShade="80"/>
                        </w:rPr>
                      </w:pPr>
                      <w:r w:rsidRPr="00CD1045">
                        <w:rPr>
                          <w:b/>
                          <w:bCs/>
                          <w:i/>
                          <w:iCs/>
                          <w:color w:val="404142" w:themeColor="accent3" w:themeShade="80"/>
                        </w:rPr>
                        <w:t>Source: Department of Internal Affairs</w:t>
                      </w:r>
                    </w:p>
                  </w:txbxContent>
                </v:textbox>
              </v:shape>
            </w:pict>
          </mc:Fallback>
        </mc:AlternateContent>
      </w:r>
      <w:r w:rsidR="00CD1045">
        <w:rPr>
          <w:noProof/>
          <w:lang w:eastAsia="en-NZ"/>
        </w:rPr>
        <w:drawing>
          <wp:anchor distT="0" distB="0" distL="114300" distR="114300" simplePos="0" relativeHeight="251634688" behindDoc="0" locked="0" layoutInCell="1" allowOverlap="1" wp14:anchorId="469CF6BF" wp14:editId="022EDDF8">
            <wp:simplePos x="0" y="0"/>
            <wp:positionH relativeFrom="column">
              <wp:posOffset>829945</wp:posOffset>
            </wp:positionH>
            <wp:positionV relativeFrom="paragraph">
              <wp:posOffset>1026795</wp:posOffset>
            </wp:positionV>
            <wp:extent cx="4361180" cy="2703195"/>
            <wp:effectExtent l="438150" t="438150" r="439420" b="44005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gif"/>
                    <pic:cNvPicPr/>
                  </pic:nvPicPr>
                  <pic:blipFill>
                    <a:blip r:embed="rId46">
                      <a:extLst>
                        <a:ext uri="{28A0092B-C50C-407E-A947-70E740481C1C}">
                          <a14:useLocalDpi xmlns:a14="http://schemas.microsoft.com/office/drawing/2010/main" val="0"/>
                        </a:ext>
                      </a:extLst>
                    </a:blip>
                    <a:stretch>
                      <a:fillRect/>
                    </a:stretch>
                  </pic:blipFill>
                  <pic:spPr>
                    <a:xfrm>
                      <a:off x="0" y="0"/>
                      <a:ext cx="4361180" cy="2703195"/>
                    </a:xfrm>
                    <a:prstGeom prst="rect">
                      <a:avLst/>
                    </a:prstGeom>
                    <a:solidFill>
                      <a:srgbClr val="000000">
                        <a:shade val="95000"/>
                      </a:srgbClr>
                    </a:solidFill>
                    <a:ln w="444500" cap="sq">
                      <a:solidFill>
                        <a:schemeClr val="bg1">
                          <a:lumMod val="85000"/>
                        </a:schemeClr>
                      </a:solidFill>
                      <a:miter lim="800000"/>
                    </a:ln>
                    <a:effectLst/>
                  </pic:spPr>
                </pic:pic>
              </a:graphicData>
            </a:graphic>
            <wp14:sizeRelH relativeFrom="page">
              <wp14:pctWidth>0</wp14:pctWidth>
            </wp14:sizeRelH>
            <wp14:sizeRelV relativeFrom="page">
              <wp14:pctHeight>0</wp14:pctHeight>
            </wp14:sizeRelV>
          </wp:anchor>
        </w:drawing>
      </w:r>
      <w:r w:rsidR="00777737">
        <w:t xml:space="preserve">Figure </w:t>
      </w:r>
      <w:r w:rsidR="00762E28">
        <w:fldChar w:fldCharType="begin"/>
      </w:r>
      <w:r w:rsidR="00762E28">
        <w:instrText xml:space="preserve"> SEQ Figure \* ARABIC </w:instrText>
      </w:r>
      <w:r w:rsidR="00762E28">
        <w:fldChar w:fldCharType="separate"/>
      </w:r>
      <w:r w:rsidR="00A00D18">
        <w:rPr>
          <w:noProof/>
        </w:rPr>
        <w:t>20</w:t>
      </w:r>
      <w:r w:rsidR="00762E28">
        <w:fldChar w:fldCharType="end"/>
      </w:r>
      <w:r w:rsidR="00777737">
        <w:tab/>
        <w:t>Local authorities categorised by actual capital expenditure as a percentage of budgeted capital expenditure 2012/13 to 2016/17</w:t>
      </w:r>
      <w:bookmarkEnd w:id="54"/>
    </w:p>
    <w:p w14:paraId="67E90186" w14:textId="59135E0C" w:rsidR="00777737" w:rsidRPr="0092542C" w:rsidRDefault="00777737" w:rsidP="004A372C">
      <w:pPr>
        <w:pStyle w:val="ListParagraph"/>
      </w:pPr>
      <w:r w:rsidRPr="0092542C">
        <w:t>This is consistent with our discussions with vari</w:t>
      </w:r>
      <w:r>
        <w:t>ous councils during the study.</w:t>
      </w:r>
      <w:r w:rsidR="00CD1045">
        <w:t xml:space="preserve"> </w:t>
      </w:r>
      <w:r w:rsidRPr="0092542C">
        <w:t>In many cases councils cited:</w:t>
      </w:r>
    </w:p>
    <w:p w14:paraId="70EC594E" w14:textId="77777777" w:rsidR="00777737" w:rsidRPr="007C2823" w:rsidRDefault="00777737" w:rsidP="009D38AF">
      <w:pPr>
        <w:pStyle w:val="Bulletpoint"/>
      </w:pPr>
      <w:r w:rsidRPr="007C2823">
        <w:t>a shortage in experienced project managers and engineers</w:t>
      </w:r>
    </w:p>
    <w:p w14:paraId="362AE731" w14:textId="77777777" w:rsidR="00777737" w:rsidRPr="007C2823" w:rsidRDefault="00777737" w:rsidP="009D38AF">
      <w:pPr>
        <w:pStyle w:val="Bulletpoint"/>
      </w:pPr>
      <w:r w:rsidRPr="007C2823">
        <w:t>a constrained contractor market</w:t>
      </w:r>
    </w:p>
    <w:p w14:paraId="26F4252F" w14:textId="77777777" w:rsidR="00777737" w:rsidRPr="007C2823" w:rsidRDefault="00777737" w:rsidP="009D38AF">
      <w:pPr>
        <w:pStyle w:val="Bulletpoint"/>
      </w:pPr>
      <w:r w:rsidRPr="007C2823">
        <w:t>a lack of available aggregate</w:t>
      </w:r>
    </w:p>
    <w:p w14:paraId="7F434281" w14:textId="77777777" w:rsidR="00777737" w:rsidRPr="007C2823" w:rsidRDefault="00777737" w:rsidP="009D38AF">
      <w:pPr>
        <w:pStyle w:val="Bulletpoint"/>
      </w:pPr>
      <w:r w:rsidRPr="007C2823">
        <w:t>inefficiencies in the procurement process</w:t>
      </w:r>
    </w:p>
    <w:p w14:paraId="525B452D" w14:textId="77777777" w:rsidR="00777737" w:rsidRPr="007C2823" w:rsidRDefault="00777737" w:rsidP="009D38AF">
      <w:pPr>
        <w:pStyle w:val="Bulletpoint"/>
      </w:pPr>
      <w:r w:rsidRPr="007C2823">
        <w:t>a lack of internal resource</w:t>
      </w:r>
    </w:p>
    <w:p w14:paraId="1279A1FF" w14:textId="77777777" w:rsidR="00777737" w:rsidRPr="0092542C" w:rsidRDefault="00777737" w:rsidP="009D38AF">
      <w:pPr>
        <w:pStyle w:val="Bulletpoint"/>
      </w:pPr>
      <w:r w:rsidRPr="007C2823">
        <w:t>inclement wea</w:t>
      </w:r>
      <w:r w:rsidRPr="0092542C">
        <w:t>ther</w:t>
      </w:r>
    </w:p>
    <w:p w14:paraId="5F487486" w14:textId="77777777" w:rsidR="00777737" w:rsidRDefault="00777737" w:rsidP="007C2823">
      <w:pPr>
        <w:pStyle w:val="Body"/>
        <w:spacing w:before="80"/>
        <w:ind w:left="567"/>
      </w:pPr>
      <w:r>
        <w:t>a</w:t>
      </w:r>
      <w:r w:rsidRPr="0092542C">
        <w:t>s being key reasons why capital works programmes were not being delivered to budget.</w:t>
      </w:r>
    </w:p>
    <w:p w14:paraId="79AB1E0E" w14:textId="77777777" w:rsidR="00777737" w:rsidRDefault="00777737" w:rsidP="004A372C">
      <w:pPr>
        <w:pStyle w:val="ListParagraph"/>
      </w:pPr>
      <w:r>
        <w:t>Smaller, rural councils were particularly constrained in terms of their ability to attract skilled workers. In one example, the local grader driver passed away, meaning works that required grading had to be deferred.</w:t>
      </w:r>
    </w:p>
    <w:p w14:paraId="34ACF613" w14:textId="77777777" w:rsidR="00777737" w:rsidRDefault="00777737" w:rsidP="004A372C">
      <w:pPr>
        <w:pStyle w:val="ListParagraph"/>
      </w:pPr>
      <w:r>
        <w:t>With a significant increase in capital works programmes being signalled by most councils over the next ten years, actual delivery of those programmes is becoming increasingly important. Most councils recognised the need to improve their ability to deliver capital works, and indicated that this may be achieved through:</w:t>
      </w:r>
    </w:p>
    <w:p w14:paraId="6A68FB76" w14:textId="77777777" w:rsidR="00777737" w:rsidRPr="007C2823" w:rsidRDefault="00777737" w:rsidP="009D38AF">
      <w:pPr>
        <w:pStyle w:val="Bulletpoint"/>
      </w:pPr>
      <w:r w:rsidRPr="007C2823">
        <w:t>more streamlined procurement processes, including the use of alliances and panels</w:t>
      </w:r>
    </w:p>
    <w:p w14:paraId="5883BF6C" w14:textId="77777777" w:rsidR="00777737" w:rsidRDefault="00777737" w:rsidP="009D38AF">
      <w:pPr>
        <w:pStyle w:val="Bulletpoint"/>
      </w:pPr>
      <w:r w:rsidRPr="007C2823">
        <w:t>incre</w:t>
      </w:r>
      <w:r>
        <w:t>asing internal resources</w:t>
      </w:r>
    </w:p>
    <w:p w14:paraId="51537F1B" w14:textId="77777777" w:rsidR="00777737" w:rsidRPr="007C2823" w:rsidRDefault="00777737" w:rsidP="009D38AF">
      <w:pPr>
        <w:pStyle w:val="Bulletpoint"/>
      </w:pPr>
      <w:r>
        <w:t>sending s</w:t>
      </w:r>
      <w:r w:rsidRPr="007C2823">
        <w:t>tronger market signals</w:t>
      </w:r>
    </w:p>
    <w:p w14:paraId="0B4005BB" w14:textId="77777777" w:rsidR="00777737" w:rsidRPr="007C2823" w:rsidRDefault="00777737" w:rsidP="009D38AF">
      <w:pPr>
        <w:pStyle w:val="Bulletpoint"/>
      </w:pPr>
      <w:r w:rsidRPr="007C2823">
        <w:t>utilising existing contractors on major local projects</w:t>
      </w:r>
    </w:p>
    <w:p w14:paraId="32287F05" w14:textId="77777777" w:rsidR="00777737" w:rsidRDefault="00777737" w:rsidP="009D38AF">
      <w:pPr>
        <w:pStyle w:val="Bulletpoint"/>
      </w:pPr>
      <w:r w:rsidRPr="007C2823">
        <w:t xml:space="preserve">a shift towards </w:t>
      </w:r>
      <w:r>
        <w:t>managing capital works budgets on a three year cycle.</w:t>
      </w:r>
    </w:p>
    <w:p w14:paraId="569DC379" w14:textId="77777777" w:rsidR="00777737" w:rsidRDefault="00777737" w:rsidP="004A372C">
      <w:pPr>
        <w:pStyle w:val="ListParagraph"/>
      </w:pPr>
      <w:r>
        <w:t>Underspending on capital works programmes can have a number of consequences. Perhaps of most concern, the Office of the Auditor General observes “</w:t>
      </w:r>
      <w:r>
        <w:rPr>
          <w:i/>
        </w:rPr>
        <w:t xml:space="preserve">If budgets accurately reflect the required spending, the investment that local authorities are making may not be enough to maintain the quality of their assets and the service levels”. </w:t>
      </w:r>
      <w:r>
        <w:t>Additionally, underspend in the capital works project has an escalating effect where deferrals in capital expenditure must now be delivered alongside the otherwise budgeted works.</w:t>
      </w:r>
    </w:p>
    <w:p w14:paraId="6886DE73" w14:textId="77777777" w:rsidR="009F33CC" w:rsidRDefault="009F33CC" w:rsidP="004571B8">
      <w:pPr>
        <w:pStyle w:val="Heading3"/>
      </w:pPr>
      <w:r>
        <w:t>Section summary</w:t>
      </w:r>
    </w:p>
    <w:p w14:paraId="6BE1B2A7" w14:textId="7700B6CE" w:rsidR="005B0CD8" w:rsidRDefault="005B0CD8" w:rsidP="004A372C">
      <w:pPr>
        <w:pStyle w:val="ListParagraph"/>
      </w:pPr>
      <w:r>
        <w:t>One of the key functions of local government is to deliver the core services or roads, water, wastewater and stormwater. The delivery of all of these services is highly reliant on councils developing and maintaining significant infrastructure. Indeed, according to 2015</w:t>
      </w:r>
      <w:r w:rsidR="00465FBD">
        <w:t xml:space="preserve"> Long Term Plan</w:t>
      </w:r>
      <w:r>
        <w:t xml:space="preserve"> data, the net book value of all fixed assets held by New Zealand councils totalled $121 billion of fixed assets in 2016.</w:t>
      </w:r>
    </w:p>
    <w:p w14:paraId="11711536" w14:textId="6488866B" w:rsidR="005B0CD8" w:rsidRDefault="005B0CD8" w:rsidP="004A372C">
      <w:pPr>
        <w:pStyle w:val="ListParagraph"/>
      </w:pPr>
      <w:r>
        <w:t xml:space="preserve">While not all of these assets are likely to need replacing at once, as they vary in age and condition, the potential costs associated with renewing assets are typically the largest single type of expenditure facing most councils. In fact, depreciation charges accounted for a total of $2.3 billion of expenditure in New Zealand </w:t>
      </w:r>
      <w:r w:rsidR="00194C27">
        <w:t>c</w:t>
      </w:r>
      <w:r>
        <w:t xml:space="preserve">ouncils in 2017 (per annual report data collected by the Department of Internal Affairs). That is equivalent to 43% of total rates and typically </w:t>
      </w:r>
      <w:r w:rsidR="001C7477">
        <w:t>accounts for 25% of total expenditure of councils.</w:t>
      </w:r>
    </w:p>
    <w:p w14:paraId="3C9F921F" w14:textId="7D5AFA8E" w:rsidR="005B0CD8" w:rsidRDefault="005B0CD8" w:rsidP="004A372C">
      <w:pPr>
        <w:pStyle w:val="ListParagraph"/>
      </w:pPr>
      <w:r>
        <w:t xml:space="preserve">It is clear that accurately estimating </w:t>
      </w:r>
      <w:r w:rsidR="004571B8">
        <w:t>depreciation and</w:t>
      </w:r>
      <w:r>
        <w:t xml:space="preserve"> ensuring that the f</w:t>
      </w:r>
      <w:r w:rsidR="001C7477">
        <w:t>uture renewals cost of assets are</w:t>
      </w:r>
      <w:r>
        <w:t xml:space="preserve"> adequately provided for is critical in ensuring that ratepayers are not faced with significant costs or </w:t>
      </w:r>
      <w:r w:rsidR="00194C27">
        <w:t>‘</w:t>
      </w:r>
      <w:r>
        <w:t>shocks</w:t>
      </w:r>
      <w:r w:rsidR="00194C27">
        <w:t>’</w:t>
      </w:r>
      <w:r>
        <w:t xml:space="preserve"> in the future. We examined depreciation and renewals expenditure in a number of ways, including:</w:t>
      </w:r>
    </w:p>
    <w:p w14:paraId="15E9D9AD" w14:textId="6A655C3D" w:rsidR="005B0CD8" w:rsidRDefault="00194C27" w:rsidP="00194C27">
      <w:pPr>
        <w:pStyle w:val="Bulletpoint"/>
      </w:pPr>
      <w:r>
        <w:t>d</w:t>
      </w:r>
      <w:r w:rsidR="005B0CD8">
        <w:t>epreciation funding ratio – to determine whether councils are generating enough cash after paying for their day to day expenses to cover the future renewals cost of their assets</w:t>
      </w:r>
    </w:p>
    <w:p w14:paraId="4F46A8E8" w14:textId="417AA0B5" w:rsidR="005B0CD8" w:rsidRDefault="00194C27" w:rsidP="009D38AF">
      <w:pPr>
        <w:pStyle w:val="Bulletpoint"/>
      </w:pPr>
      <w:r>
        <w:t>r</w:t>
      </w:r>
      <w:r w:rsidR="005B0CD8">
        <w:t>enewals ratio – to determine whether councils have been investing depreciation funding into the renewal of their assets, at the rate in which the assets are being depreciated</w:t>
      </w:r>
    </w:p>
    <w:p w14:paraId="6A53917C" w14:textId="264B06E9" w:rsidR="005B0CD8" w:rsidRDefault="00194C27" w:rsidP="009D38AF">
      <w:pPr>
        <w:pStyle w:val="Bulletpoint"/>
      </w:pPr>
      <w:r>
        <w:t>r</w:t>
      </w:r>
      <w:r w:rsidR="005B0CD8">
        <w:t xml:space="preserve">enewals capacity ratio – to determine whether, </w:t>
      </w:r>
      <w:r w:rsidR="00A32AB5">
        <w:t>if councils are not currently depreciating their assets at the rate in which they are depreciating, they are setting the funding aside to renew assets later</w:t>
      </w:r>
      <w:r w:rsidR="001C7477">
        <w:t>, and</w:t>
      </w:r>
    </w:p>
    <w:p w14:paraId="6D6D6E5C" w14:textId="39EDA892" w:rsidR="00A32AB5" w:rsidRDefault="00194C27" w:rsidP="009D38AF">
      <w:pPr>
        <w:pStyle w:val="Bulletpoint"/>
      </w:pPr>
      <w:r>
        <w:t>c</w:t>
      </w:r>
      <w:r w:rsidR="00A32AB5">
        <w:t>apital works delivery – to determine whether councils are keeping up with their intended capital works programmes</w:t>
      </w:r>
      <w:r>
        <w:t>.</w:t>
      </w:r>
    </w:p>
    <w:p w14:paraId="1D63FDFF" w14:textId="77777777" w:rsidR="00A32AB5" w:rsidRDefault="00A32AB5" w:rsidP="004A372C">
      <w:pPr>
        <w:pStyle w:val="ListParagraph"/>
      </w:pPr>
      <w:r>
        <w:t>Our analysis concluded that:</w:t>
      </w:r>
    </w:p>
    <w:p w14:paraId="557C0469" w14:textId="71D27893" w:rsidR="00607C43" w:rsidRDefault="00B64C91" w:rsidP="009D38AF">
      <w:pPr>
        <w:pStyle w:val="Bulletpoint"/>
      </w:pPr>
      <w:r>
        <w:t>m</w:t>
      </w:r>
      <w:r w:rsidR="00607C43">
        <w:t xml:space="preserve">ost councils </w:t>
      </w:r>
      <w:r w:rsidR="00A32AB5">
        <w:t xml:space="preserve">plan to </w:t>
      </w:r>
      <w:r w:rsidR="00607C43">
        <w:t>have enough cash (after funding all operating costs) to cover depreciation (i.e. to replace ageing assets)</w:t>
      </w:r>
    </w:p>
    <w:p w14:paraId="17FF10F1" w14:textId="5535C8B8" w:rsidR="00A32AB5" w:rsidRDefault="00B64C91" w:rsidP="009D38AF">
      <w:pPr>
        <w:pStyle w:val="Bulletpoint"/>
      </w:pPr>
      <w:r>
        <w:t>c</w:t>
      </w:r>
      <w:r w:rsidR="00607C43">
        <w:t>ouncils do not appear to be</w:t>
      </w:r>
      <w:r w:rsidR="00A32AB5">
        <w:t xml:space="preserve"> planning to</w:t>
      </w:r>
      <w:r w:rsidR="00607C43">
        <w:t xml:space="preserve"> renew assets at the rate at which they are </w:t>
      </w:r>
      <w:r w:rsidR="00A32AB5">
        <w:t>depreciating</w:t>
      </w:r>
      <w:r w:rsidR="0064661A">
        <w:t xml:space="preserve"> nor </w:t>
      </w:r>
      <w:r w:rsidR="00A32AB5" w:rsidRPr="0095104C">
        <w:t xml:space="preserve">setting aside </w:t>
      </w:r>
      <w:r w:rsidR="0064661A">
        <w:t xml:space="preserve">the funds for </w:t>
      </w:r>
      <w:r w:rsidR="00A32AB5">
        <w:t>future renewals</w:t>
      </w:r>
    </w:p>
    <w:p w14:paraId="32ADC025" w14:textId="7936D815" w:rsidR="00A32AB5" w:rsidRDefault="00B64C91" w:rsidP="009D38AF">
      <w:pPr>
        <w:pStyle w:val="Bulletpoint"/>
      </w:pPr>
      <w:r>
        <w:t>c</w:t>
      </w:r>
      <w:r w:rsidR="00A32AB5">
        <w:t>ouncils consistently struggle to complete their capital works programmes</w:t>
      </w:r>
      <w:r>
        <w:t>.</w:t>
      </w:r>
    </w:p>
    <w:p w14:paraId="10A700A3" w14:textId="1E42BD7E" w:rsidR="00A32AB5" w:rsidRDefault="00A32AB5" w:rsidP="004A372C">
      <w:pPr>
        <w:pStyle w:val="ListParagraph"/>
      </w:pPr>
      <w:r>
        <w:t>Where councils are collect</w:t>
      </w:r>
      <w:r w:rsidR="00194C27">
        <w:t>ing</w:t>
      </w:r>
      <w:r>
        <w:t xml:space="preserve"> enough money to replace assets at the rate that they are depreciating but are not using that money to replace assets at that rate, or indeed to provide for the future renewal of those assets, this suggests that either:</w:t>
      </w:r>
    </w:p>
    <w:p w14:paraId="364703D5" w14:textId="423BF74E" w:rsidR="00A32AB5" w:rsidRDefault="00B64C91" w:rsidP="009D38AF">
      <w:pPr>
        <w:pStyle w:val="Bulletpoint"/>
      </w:pPr>
      <w:r>
        <w:t>d</w:t>
      </w:r>
      <w:r w:rsidR="00A32AB5">
        <w:t>epreciation is too high, and that some of this is being used to invest in assets to support growth or increased levels of service</w:t>
      </w:r>
    </w:p>
    <w:p w14:paraId="27739AD0" w14:textId="382E2471" w:rsidR="00C83F07" w:rsidRDefault="00194C27" w:rsidP="004A372C">
      <w:pPr>
        <w:pStyle w:val="ListParagraph"/>
        <w:numPr>
          <w:ilvl w:val="2"/>
          <w:numId w:val="5"/>
        </w:numPr>
        <w:spacing w:before="0"/>
      </w:pPr>
      <w:r>
        <w:t>this situation would raise issues for intergenerational equity</w:t>
      </w:r>
    </w:p>
    <w:p w14:paraId="65AD85C2" w14:textId="68487677" w:rsidR="00A32AB5" w:rsidRDefault="00194C27" w:rsidP="009D38AF">
      <w:pPr>
        <w:pStyle w:val="Bulletpoint"/>
      </w:pPr>
      <w:r>
        <w:t>d</w:t>
      </w:r>
      <w:r w:rsidR="00C83F07">
        <w:t xml:space="preserve">epreciation is accurate and </w:t>
      </w:r>
      <w:r w:rsidR="00B64C91">
        <w:t>c</w:t>
      </w:r>
      <w:r w:rsidR="00A32AB5">
        <w:t>ouncils are not addressing the current or future renewals requirements for their assets, but are instead investing some of their depreciation reserves in assets to support growth or increased levels of service</w:t>
      </w:r>
    </w:p>
    <w:p w14:paraId="552E7911" w14:textId="26D20068" w:rsidR="00C83F07" w:rsidRDefault="00194C27" w:rsidP="004A372C">
      <w:pPr>
        <w:pStyle w:val="ListParagraph"/>
        <w:numPr>
          <w:ilvl w:val="2"/>
          <w:numId w:val="5"/>
        </w:numPr>
        <w:spacing w:before="0"/>
      </w:pPr>
      <w:r>
        <w:t>i</w:t>
      </w:r>
      <w:r w:rsidR="00C83F07">
        <w:t>f this is true</w:t>
      </w:r>
      <w:r>
        <w:t xml:space="preserve"> then</w:t>
      </w:r>
      <w:r w:rsidR="00C83F07">
        <w:t xml:space="preserve"> councils are shifting some of the current cost of renewals to future ratepayers by not funding it now and using the revenue collected as deprecation for other activities or services. This situation has direct implications for future cos</w:t>
      </w:r>
      <w:r>
        <w:t>ts and intergenerational equity</w:t>
      </w:r>
    </w:p>
    <w:p w14:paraId="41DE37E6" w14:textId="48BF03E6" w:rsidR="00A32AB5" w:rsidRDefault="00B64C91" w:rsidP="00194C27">
      <w:pPr>
        <w:pStyle w:val="Bulletpoint"/>
      </w:pPr>
      <w:r>
        <w:t>c</w:t>
      </w:r>
      <w:r w:rsidR="00A32AB5">
        <w:t>ouncils are incorrectly</w:t>
      </w:r>
      <w:r w:rsidR="00194C27">
        <w:t xml:space="preserve"> and inconsistently</w:t>
      </w:r>
      <w:r w:rsidR="00A32AB5">
        <w:t xml:space="preserve"> classifying expenditure as level of service or growth when it is in fact renewal</w:t>
      </w:r>
    </w:p>
    <w:p w14:paraId="3FBC6FDA" w14:textId="2A480379" w:rsidR="00C83F07" w:rsidRDefault="00194C27" w:rsidP="004A372C">
      <w:pPr>
        <w:pStyle w:val="ListParagraph"/>
        <w:numPr>
          <w:ilvl w:val="2"/>
          <w:numId w:val="5"/>
        </w:numPr>
      </w:pPr>
      <w:r>
        <w:t>i</w:t>
      </w:r>
      <w:r w:rsidR="00C83F07">
        <w:t>f this is true then there is little impact on current and future ratepayers or on intergenerational equity. There is however, little incentive in our view for councils to be incorrectly allocating capital expenditure and in most cases renewal expenditure significantly outwei</w:t>
      </w:r>
      <w:r>
        <w:t>ghs new and growth expenditure.</w:t>
      </w:r>
    </w:p>
    <w:p w14:paraId="7EBDA4C4" w14:textId="77777777" w:rsidR="00921459" w:rsidRDefault="00921459">
      <w:pPr>
        <w:spacing w:before="200" w:after="200" w:line="276" w:lineRule="auto"/>
        <w:rPr>
          <w:rFonts w:eastAsia="Times New Roman" w:cs="Times New Roman"/>
          <w:color w:val="404142" w:themeColor="accent3" w:themeShade="80"/>
          <w:lang w:val="en-AU"/>
        </w:rPr>
      </w:pPr>
      <w:r>
        <w:br w:type="page"/>
      </w:r>
    </w:p>
    <w:p w14:paraId="7B7A46CD" w14:textId="33B9AB74" w:rsidR="00A32AB5" w:rsidRDefault="00A32AB5" w:rsidP="004A372C">
      <w:pPr>
        <w:pStyle w:val="ListParagraph"/>
      </w:pPr>
      <w:r w:rsidRPr="002911C6">
        <w:t>Indeed some councils noted that depreciation estimates and asset renewal planning has previously been conservative, allowing councils opportunities to defer renewals expenditure. In some councils examination of failure data or asset condition data (for example from CCTV monitoring) has shown assets to be in a better condition than their estimated useful lives would otherwise suggest. This may indicate that in some instances depreciation may be too high or that councils are responsibly delaying investment in the replacement of their assets.</w:t>
      </w:r>
    </w:p>
    <w:p w14:paraId="386B37E8" w14:textId="2A700357" w:rsidR="00C83F07" w:rsidRDefault="00C83F07" w:rsidP="004A372C">
      <w:pPr>
        <w:pStyle w:val="ListParagraph"/>
      </w:pPr>
      <w:r>
        <w:t>In our view, there is evidence that suggests that depreciation may be too high. There is a consistent trend for councils to spend less on renewal of their assets than the depreciation of those assets. Three quarters of councils in N</w:t>
      </w:r>
      <w:r w:rsidR="00921459">
        <w:t xml:space="preserve">ew </w:t>
      </w:r>
      <w:r>
        <w:t>Z</w:t>
      </w:r>
      <w:r w:rsidR="00921459">
        <w:t>ealand</w:t>
      </w:r>
      <w:r>
        <w:t xml:space="preserve"> project to have an average renewal ratio of less than 87% over the </w:t>
      </w:r>
      <w:r w:rsidR="001C7477">
        <w:t>ten</w:t>
      </w:r>
      <w:r>
        <w:t xml:space="preserve"> years of the 2015 LTP pe</w:t>
      </w:r>
      <w:r w:rsidR="00921459">
        <w:t>riod.</w:t>
      </w:r>
    </w:p>
    <w:p w14:paraId="044C850B" w14:textId="771AEE86" w:rsidR="00C83F07" w:rsidRDefault="00DC1742" w:rsidP="004A372C">
      <w:pPr>
        <w:pStyle w:val="ListParagraph"/>
      </w:pPr>
      <w:r>
        <w:t>The asset management industry in New Zealand is a mature industry. Councils have dedicated asset managers and asset management plans are prepared for each asset class. P</w:t>
      </w:r>
      <w:r w:rsidR="00C83F07">
        <w:t>lanned renewal expenditure suggests that councils are making deliberate, informed decisions about their investment in the replacement of assets. Renewal waves being deferred in successive infrastructure strategies and long-term plans are said to be on the basis of best available information. Depreciation however remains consistently much higher than renewal expenditure. In addition, anecdotal evidence about the relatively good condition of New Zealand roads despite a low renewals ratio suggests that, at least for roads, renewals are typically occurring close to the rate that they should be.</w:t>
      </w:r>
    </w:p>
    <w:p w14:paraId="52D6544C" w14:textId="58FD7D67" w:rsidR="00A32AB5" w:rsidRPr="002911C6" w:rsidRDefault="009F33CC" w:rsidP="004A372C">
      <w:pPr>
        <w:pStyle w:val="ListParagraph"/>
      </w:pPr>
      <w:r w:rsidRPr="002911C6">
        <w:t>Our review of draft 2018</w:t>
      </w:r>
      <w:r w:rsidR="001C7477" w:rsidRPr="002911C6">
        <w:t xml:space="preserve"> Long Term Plan</w:t>
      </w:r>
      <w:r w:rsidR="00921459" w:rsidRPr="002911C6">
        <w:t>s</w:t>
      </w:r>
      <w:r w:rsidRPr="002911C6">
        <w:t xml:space="preserve"> and infrastructure strategies and our conversations with various councils has indicated that councils are typically yet to face major renewals costs. In many cases, infrastructure strategies are suggesting a large increase in renewals expenditure as being required around 2040 – 2045, although some councils are dealing with the renewal of specific network infrastructure in the later years of the 2018 </w:t>
      </w:r>
      <w:r w:rsidR="00465FBD" w:rsidRPr="002911C6">
        <w:t>Long Term Pla</w:t>
      </w:r>
      <w:r w:rsidRPr="002911C6">
        <w:t>n.</w:t>
      </w:r>
    </w:p>
    <w:p w14:paraId="363908A6" w14:textId="77777777" w:rsidR="009F33CC" w:rsidRPr="002911C6" w:rsidRDefault="009F33CC" w:rsidP="004A372C">
      <w:pPr>
        <w:pStyle w:val="ListParagraph"/>
      </w:pPr>
      <w:r w:rsidRPr="002911C6">
        <w:t>The renewals waves or peaks that are typically seen in infrastructure strategies that we reviewed were significant, however often equate to less than a single years’ depreciation (across all activities). The challenge is that these renewals peaks (for a single asset class) often represent expenditure over and above the ‘normal’ capital works programme of a council. Additionally, many of these peaks relate to a significant portion of the network and are likely to be disruptive and impact on levels of service delivered to the community.</w:t>
      </w:r>
    </w:p>
    <w:p w14:paraId="7BEC8305" w14:textId="46F1153D" w:rsidR="00A32AB5" w:rsidRPr="002911C6" w:rsidRDefault="00A32AB5" w:rsidP="004A372C">
      <w:pPr>
        <w:pStyle w:val="ListParagraph"/>
      </w:pPr>
      <w:r w:rsidRPr="002911C6">
        <w:t>These renewals peaks or waves do not typically appear unaffordable if councils are prudent in provisioning funds to cover these costs</w:t>
      </w:r>
      <w:r w:rsidR="00B64C91" w:rsidRPr="002911C6">
        <w:t>.</w:t>
      </w:r>
    </w:p>
    <w:p w14:paraId="3C623DCA" w14:textId="426D656D" w:rsidR="00D81FB7" w:rsidRDefault="00D81FB7" w:rsidP="00D04B21">
      <w:pPr>
        <w:pStyle w:val="ListParagraph"/>
      </w:pPr>
      <w:r>
        <w:t xml:space="preserve">Capital works programmes are also set to increase significantly for most councils following adoption of 2018 </w:t>
      </w:r>
      <w:r w:rsidR="00465FBD">
        <w:t>Long Term Plan</w:t>
      </w:r>
      <w:r w:rsidR="00C74548">
        <w:t>s</w:t>
      </w:r>
      <w:r>
        <w:t xml:space="preserve">. With councils historically struggling to complete their capital works programmes, along with competition from </w:t>
      </w:r>
      <w:r w:rsidR="00716826">
        <w:t>central go</w:t>
      </w:r>
      <w:r>
        <w:t>vernment projects and private development</w:t>
      </w:r>
      <w:r w:rsidR="00D04B21">
        <w:t>,</w:t>
      </w:r>
      <w:r>
        <w:t xml:space="preserve"> it is likely that it will become increasingly difficult for councils to deliver their entire capital works budget without major changes in the way in which these programmes are managed and delivered.</w:t>
      </w:r>
    </w:p>
    <w:p w14:paraId="5B91E2B6" w14:textId="465ACB44" w:rsidR="00D81FB7" w:rsidRPr="00D81FB7" w:rsidRDefault="00D81FB7" w:rsidP="00D81FB7">
      <w:pPr>
        <w:pStyle w:val="Body"/>
        <w:rPr>
          <w:rFonts w:eastAsia="Times New Roman" w:cs="Times New Roman"/>
          <w:lang w:val="en-AU"/>
        </w:rPr>
      </w:pPr>
      <w:r>
        <w:br w:type="page"/>
      </w:r>
    </w:p>
    <w:p w14:paraId="0A211987" w14:textId="6DB866EE" w:rsidR="00777737" w:rsidRDefault="00B47336" w:rsidP="00BB17AA">
      <w:pPr>
        <w:pStyle w:val="Heading2"/>
      </w:pPr>
      <w:bookmarkStart w:id="55" w:name="_Toc520703183"/>
      <w:r>
        <w:t>Costs of Delivering Key Services</w:t>
      </w:r>
      <w:bookmarkEnd w:id="55"/>
    </w:p>
    <w:p w14:paraId="326A603C" w14:textId="4E2EEA8C" w:rsidR="0070585A" w:rsidRDefault="00716826" w:rsidP="004A372C">
      <w:pPr>
        <w:pStyle w:val="ListParagraph"/>
      </w:pPr>
      <w:r>
        <w:t>Local g</w:t>
      </w:r>
      <w:r w:rsidR="0070585A" w:rsidRPr="008E607D">
        <w:t>overnment is responsible for the provision of a wide range of public services to community throughout New Zealand. These range from regulatory services such as enforcement of the Building Act, through to the provision of roads, water and community facilities.</w:t>
      </w:r>
      <w:r w:rsidR="0070585A">
        <w:t xml:space="preserve"> Where costs for the provision of any of these services are increasing faster than </w:t>
      </w:r>
      <w:r w:rsidR="00B64C91">
        <w:t>council’s</w:t>
      </w:r>
      <w:r w:rsidR="0070585A">
        <w:t xml:space="preserve"> costs as a whole, that service is likely to be a driver of cost in local government, and may be a reason why local government costs are increasing at the rate that they are.</w:t>
      </w:r>
    </w:p>
    <w:p w14:paraId="35FAA25B" w14:textId="0DE0B934" w:rsidR="0070585A" w:rsidRDefault="0070585A" w:rsidP="004A372C">
      <w:pPr>
        <w:pStyle w:val="ListParagraph"/>
      </w:pPr>
      <w:r>
        <w:t xml:space="preserve">This section considers four core services provided by council, along with </w:t>
      </w:r>
      <w:r w:rsidR="00716826">
        <w:t>‘</w:t>
      </w:r>
      <w:r>
        <w:t>other services</w:t>
      </w:r>
      <w:r w:rsidR="00716826">
        <w:t>’</w:t>
      </w:r>
      <w:r>
        <w:t xml:space="preserve"> which broadly covers activities from democracy through to regulatory activities and the provision of community facilities.</w:t>
      </w:r>
    </w:p>
    <w:p w14:paraId="41EEB6EA" w14:textId="7A0B698E" w:rsidR="00716826" w:rsidRPr="00716826" w:rsidRDefault="00E13812" w:rsidP="006C6C14">
      <w:pPr>
        <w:pStyle w:val="ListParagraph"/>
      </w:pPr>
      <w:r w:rsidRPr="00716826">
        <w:t>Due to the different nature in the services provided by councils in urban and rural areas, our analysis in this section compares performance of these two types of councils. This differs to other sections of this report which instead focus on growth levels</w:t>
      </w:r>
      <w:r w:rsidR="00371091" w:rsidRPr="00716826">
        <w:t>. The difference</w:t>
      </w:r>
      <w:r w:rsidR="00716826" w:rsidRPr="00716826">
        <w:t>s</w:t>
      </w:r>
      <w:r w:rsidR="00371091" w:rsidRPr="00716826">
        <w:t xml:space="preserve"> in the spending profile of rural and urban councils </w:t>
      </w:r>
      <w:r w:rsidR="00716826" w:rsidRPr="00716826">
        <w:t>are</w:t>
      </w:r>
      <w:r w:rsidR="00371091" w:rsidRPr="00716826">
        <w:t xml:space="preserve"> demonstrated in </w:t>
      </w:r>
      <w:r w:rsidR="00716826" w:rsidRPr="00716826">
        <w:t>Figure 2</w:t>
      </w:r>
      <w:r w:rsidR="006C6C14">
        <w:t>1</w:t>
      </w:r>
      <w:r w:rsidR="00716826" w:rsidRPr="00716826">
        <w:t xml:space="preserve"> and Figure 2</w:t>
      </w:r>
      <w:r w:rsidR="006C6C14">
        <w:t>2</w:t>
      </w:r>
      <w:r w:rsidR="00716826" w:rsidRPr="00716826">
        <w:t xml:space="preserve"> respectively.</w:t>
      </w:r>
    </w:p>
    <w:p w14:paraId="5B3B7D20" w14:textId="79ADBD35" w:rsidR="00371091" w:rsidRDefault="00371091" w:rsidP="004A372C">
      <w:pPr>
        <w:pStyle w:val="ListParagraph"/>
      </w:pPr>
      <w:r>
        <w:t xml:space="preserve">The analysis shows that while the costs of providing some services may be increasing faster than others during the 2015 LTP </w:t>
      </w:r>
      <w:r w:rsidR="00B64C91">
        <w:t>period</w:t>
      </w:r>
      <w:r>
        <w:t xml:space="preserve"> the general proportion of expenditure allocated to each activity does not change materially. This suggests that a number of the drivers for cost increases are likely to be the “common costs” that occur across all activities of council</w:t>
      </w:r>
      <w:r w:rsidR="001C7477">
        <w:t>.</w:t>
      </w:r>
    </w:p>
    <w:p w14:paraId="5925EA68" w14:textId="6EAEF33D" w:rsidR="008D7D76" w:rsidRDefault="008D7D76" w:rsidP="00443F71">
      <w:pPr>
        <w:pStyle w:val="Caption"/>
        <w:spacing w:after="240"/>
      </w:pPr>
      <w:bookmarkStart w:id="56" w:name="_Ref520371382"/>
      <w:bookmarkStart w:id="57" w:name="_Toc520900275"/>
      <w:r>
        <w:t xml:space="preserve">Figure </w:t>
      </w:r>
      <w:r>
        <w:fldChar w:fldCharType="begin"/>
      </w:r>
      <w:r>
        <w:instrText xml:space="preserve"> SEQ Figure \* ARABIC </w:instrText>
      </w:r>
      <w:r>
        <w:fldChar w:fldCharType="separate"/>
      </w:r>
      <w:r w:rsidR="00A00D18">
        <w:rPr>
          <w:noProof/>
        </w:rPr>
        <w:t>21</w:t>
      </w:r>
      <w:r>
        <w:fldChar w:fldCharType="end"/>
      </w:r>
      <w:bookmarkEnd w:id="56"/>
      <w:r>
        <w:tab/>
        <w:t>Proportion of expenditure spent on each council service 2015 (inside) vs 2025 (outside)</w:t>
      </w:r>
      <w:r w:rsidR="005B7C1E">
        <w:t xml:space="preserve"> – Rural councils</w:t>
      </w:r>
      <w:bookmarkEnd w:id="57"/>
    </w:p>
    <w:p w14:paraId="6FBBF574" w14:textId="75D841FE" w:rsidR="0070585A" w:rsidRDefault="005B7C1E" w:rsidP="00443F71">
      <w:pPr>
        <w:jc w:val="center"/>
      </w:pPr>
      <w:r w:rsidRPr="00B64C91">
        <w:rPr>
          <w:b/>
          <w:bCs/>
          <w:noProof/>
          <w:lang w:eastAsia="en-NZ"/>
        </w:rPr>
        <w:drawing>
          <wp:inline distT="0" distB="0" distL="0" distR="0" wp14:anchorId="04689F2B" wp14:editId="4299EE0B">
            <wp:extent cx="5943600" cy="3600000"/>
            <wp:effectExtent l="0" t="0" r="19050" b="1968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F270495" w14:textId="77777777" w:rsidR="00716826" w:rsidRDefault="00716826">
      <w:pPr>
        <w:spacing w:before="200" w:after="200" w:line="276" w:lineRule="auto"/>
        <w:rPr>
          <w:rFonts w:asciiTheme="minorHAnsi" w:hAnsiTheme="minorHAnsi"/>
          <w:b/>
          <w:color w:val="404142" w:themeColor="accent3" w:themeShade="80"/>
          <w:szCs w:val="28"/>
        </w:rPr>
      </w:pPr>
      <w:bookmarkStart w:id="58" w:name="_Ref520371386"/>
      <w:r>
        <w:br w:type="page"/>
      </w:r>
    </w:p>
    <w:p w14:paraId="2A4A1223" w14:textId="2E5190E1" w:rsidR="005B7C1E" w:rsidRDefault="005B7C1E" w:rsidP="005B7C1E">
      <w:pPr>
        <w:pStyle w:val="Caption"/>
        <w:spacing w:after="240"/>
      </w:pPr>
      <w:bookmarkStart w:id="59" w:name="_Toc520900276"/>
      <w:r>
        <w:t xml:space="preserve">Figure </w:t>
      </w:r>
      <w:r>
        <w:fldChar w:fldCharType="begin"/>
      </w:r>
      <w:r>
        <w:instrText xml:space="preserve"> SEQ Figure \* ARABIC </w:instrText>
      </w:r>
      <w:r>
        <w:fldChar w:fldCharType="separate"/>
      </w:r>
      <w:r w:rsidR="00A00D18">
        <w:rPr>
          <w:noProof/>
        </w:rPr>
        <w:t>22</w:t>
      </w:r>
      <w:r>
        <w:fldChar w:fldCharType="end"/>
      </w:r>
      <w:bookmarkEnd w:id="58"/>
      <w:r>
        <w:tab/>
        <w:t>Proportion of expenditure spent on each council service 2015 (inside) vs 2025 (outside) – Urban councils</w:t>
      </w:r>
      <w:bookmarkEnd w:id="59"/>
    </w:p>
    <w:p w14:paraId="71F6F60C" w14:textId="058FB165" w:rsidR="005B7C1E" w:rsidRPr="005B7C1E" w:rsidRDefault="005B7C1E" w:rsidP="005B7C1E">
      <w:pPr>
        <w:pStyle w:val="Body"/>
      </w:pPr>
      <w:r>
        <w:rPr>
          <w:noProof/>
          <w:lang w:eastAsia="en-NZ"/>
        </w:rPr>
        <w:drawing>
          <wp:inline distT="0" distB="0" distL="0" distR="0" wp14:anchorId="74952124" wp14:editId="6A6BF9B9">
            <wp:extent cx="5943600" cy="3564000"/>
            <wp:effectExtent l="0" t="0" r="19050" b="1778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FAD6B4F" w14:textId="017CA692" w:rsidR="00C44AD1" w:rsidRDefault="003C3A5B" w:rsidP="002911C6">
      <w:pPr>
        <w:pStyle w:val="Heading3"/>
      </w:pPr>
      <w:r>
        <w:t>Roads</w:t>
      </w:r>
    </w:p>
    <w:p w14:paraId="6AFAA2B8" w14:textId="1B039DE5" w:rsidR="00C44AD1" w:rsidRDefault="00C44AD1" w:rsidP="004A372C">
      <w:pPr>
        <w:pStyle w:val="ListParagraph"/>
      </w:pPr>
      <w:r>
        <w:t>Councils in New Zealand are responsible for the delivery of the local road network in their regions, while the New Zealand Transport Agency is fully responsible for the delivery of roads</w:t>
      </w:r>
      <w:r w:rsidR="007A32E3">
        <w:t xml:space="preserve"> designated as state highways.</w:t>
      </w:r>
    </w:p>
    <w:p w14:paraId="6FD3B822" w14:textId="48EF59C5" w:rsidR="003C3A5B" w:rsidRDefault="003C3A5B" w:rsidP="00D04B21">
      <w:pPr>
        <w:pStyle w:val="ListParagraph"/>
      </w:pPr>
      <w:r>
        <w:t xml:space="preserve">In addition to the funding of </w:t>
      </w:r>
      <w:r w:rsidR="00716826">
        <w:t>state hig</w:t>
      </w:r>
      <w:r>
        <w:t>hways, the New Zealand Transport Agency provides funding to local authorities for the improvement and maintenance of local roads, the amount of which is determined by the Funding Assistance Rate, which typically sits at or above 51%, but varies across councils.</w:t>
      </w:r>
    </w:p>
    <w:p w14:paraId="31B00B81" w14:textId="4E36E38A" w:rsidR="003C3A5B" w:rsidRDefault="003C3A5B" w:rsidP="004A372C">
      <w:pPr>
        <w:pStyle w:val="ListParagraph"/>
      </w:pPr>
      <w:r>
        <w:t>Because roads are more visible infrastructure, and due to the co-funding arrangements with NZTA, and the oversight that is associated with that, roads are typically regarded as being in a potentially better condition than water assets, and renewals peaks are uncommon.</w:t>
      </w:r>
    </w:p>
    <w:p w14:paraId="27A985D7" w14:textId="0E240E8A" w:rsidR="000F30BF" w:rsidRDefault="000F30BF" w:rsidP="004A372C">
      <w:pPr>
        <w:pStyle w:val="ListParagraph"/>
      </w:pPr>
      <w:r>
        <w:t>While the nature of the costs incurred by both urban and rural councils are very similar, there are a number of differences that may mean rural and urban councils experience different financial impacts from the provision of roads and transport infrastructure, in particular:</w:t>
      </w:r>
    </w:p>
    <w:p w14:paraId="2A3353D6" w14:textId="3901E0E6" w:rsidR="000F30BF" w:rsidRPr="007C2823" w:rsidRDefault="00B64C91" w:rsidP="00716826">
      <w:pPr>
        <w:pStyle w:val="Bulletpoint"/>
        <w:spacing w:before="40" w:after="40"/>
      </w:pPr>
      <w:r w:rsidRPr="007C2823">
        <w:t>rural councils typically have more kilometres of local roads per ratepayer than urban councils</w:t>
      </w:r>
    </w:p>
    <w:p w14:paraId="184E76C9" w14:textId="3D60E2F3" w:rsidR="000F30BF" w:rsidRPr="007C2823" w:rsidRDefault="00B64C91" w:rsidP="00716826">
      <w:pPr>
        <w:pStyle w:val="Bulletpoint"/>
        <w:spacing w:before="40" w:after="40"/>
      </w:pPr>
      <w:r w:rsidRPr="007C2823">
        <w:t>rural councils are likely to have more heavy vehicles travelling on local roads than urban councils, w</w:t>
      </w:r>
      <w:r w:rsidR="000F30BF" w:rsidRPr="007C2823">
        <w:t>here most heavy traffic is likely to travel on the</w:t>
      </w:r>
      <w:r w:rsidR="00D04B21" w:rsidRPr="007C2823">
        <w:t xml:space="preserve"> state high</w:t>
      </w:r>
      <w:r w:rsidR="000F30BF" w:rsidRPr="007C2823">
        <w:t>way network</w:t>
      </w:r>
    </w:p>
    <w:p w14:paraId="60ED7F75" w14:textId="3A55640E" w:rsidR="001A6A72" w:rsidRPr="007C2823" w:rsidRDefault="00B64C91" w:rsidP="00716826">
      <w:pPr>
        <w:pStyle w:val="Bulletpoint"/>
        <w:spacing w:before="40" w:after="40"/>
      </w:pPr>
      <w:r>
        <w:t>s</w:t>
      </w:r>
      <w:r w:rsidR="001A6A72" w:rsidRPr="007C2823">
        <w:t>imilarly, rural councils may have lower total traffic volumes on local roads, although this will be made of a higher proportion of heavy traffic</w:t>
      </w:r>
    </w:p>
    <w:p w14:paraId="2A612D57" w14:textId="18D78163" w:rsidR="001A6A72" w:rsidRDefault="00B64C91" w:rsidP="00716826">
      <w:pPr>
        <w:pStyle w:val="Bulletpoint"/>
        <w:spacing w:before="40" w:after="40"/>
      </w:pPr>
      <w:r>
        <w:t>r</w:t>
      </w:r>
      <w:r w:rsidR="001A6A72" w:rsidRPr="007C2823">
        <w:t xml:space="preserve">ural councils are likely to apply different pavement treatments to their roads, in particular rural councils </w:t>
      </w:r>
      <w:r w:rsidR="001A6A72">
        <w:t xml:space="preserve">are less likely to use </w:t>
      </w:r>
      <w:r w:rsidR="001A6A72" w:rsidRPr="001A6A72">
        <w:t>asphaltic</w:t>
      </w:r>
      <w:r w:rsidR="001A6A72">
        <w:t xml:space="preserve"> concrete surfacing than urban councils.</w:t>
      </w:r>
    </w:p>
    <w:p w14:paraId="4C61F442" w14:textId="66618F82" w:rsidR="001A6A72" w:rsidRDefault="00120B3E" w:rsidP="004A372C">
      <w:pPr>
        <w:pStyle w:val="ListParagraph"/>
      </w:pPr>
      <w:r w:rsidRPr="0092180F">
        <w:t>These factors suggest that rural councils are likely to spend proportionally more per ratepayer on the provision of roads than their urban counter parts. Indeed, our analysis shows rural councils per ratepayer ope</w:t>
      </w:r>
      <w:r w:rsidR="0092180F" w:rsidRPr="0092180F">
        <w:t>rating costs being on average 47</w:t>
      </w:r>
      <w:r w:rsidRPr="0092180F">
        <w:t>% higher than urban councils in real terms.</w:t>
      </w:r>
    </w:p>
    <w:p w14:paraId="2B7A92B1" w14:textId="1F097AB4" w:rsidR="00847364" w:rsidRDefault="00120B3E" w:rsidP="004A372C">
      <w:pPr>
        <w:pStyle w:val="ListParagraph"/>
      </w:pPr>
      <w:r w:rsidRPr="0092180F">
        <w:t xml:space="preserve">The analysis also shows that real operating costs </w:t>
      </w:r>
      <w:r w:rsidR="00371091">
        <w:t xml:space="preserve">are largely </w:t>
      </w:r>
      <w:r w:rsidR="002911C6">
        <w:t xml:space="preserve">projected to be </w:t>
      </w:r>
      <w:r w:rsidR="00371091">
        <w:t>unchanged for both groups of councils between 2018 and 2025</w:t>
      </w:r>
      <w:r w:rsidRPr="00120B3E">
        <w:t>.</w:t>
      </w:r>
      <w:r w:rsidR="007A32E3">
        <w:t xml:space="preserve"> </w:t>
      </w:r>
      <w:r w:rsidR="00730B76">
        <w:t>As with whole of council costs however, the</w:t>
      </w:r>
      <w:r w:rsidR="002911C6">
        <w:t xml:space="preserve"> reality</w:t>
      </w:r>
      <w:r w:rsidR="00730B76">
        <w:t xml:space="preserve"> is a slight increase in real operating expenditure per ratepayer within the first three years of our analysis for the roads activity.</w:t>
      </w:r>
      <w:r w:rsidR="00371091">
        <w:t xml:space="preserve"> This is particularly prominent for rural councils, for whom roads represent a larger proportion of cost.</w:t>
      </w:r>
    </w:p>
    <w:p w14:paraId="65873CAC" w14:textId="1BFF80F9" w:rsidR="00730B76" w:rsidRDefault="00730B76" w:rsidP="004A372C">
      <w:pPr>
        <w:pStyle w:val="ListParagraph"/>
      </w:pPr>
      <w:r>
        <w:t xml:space="preserve">These three years rely on annual report </w:t>
      </w:r>
      <w:r w:rsidR="00847364">
        <w:t>data and</w:t>
      </w:r>
      <w:r>
        <w:t xml:space="preserve"> indicate that operating costs for roads are increasing faster than budgeted.</w:t>
      </w:r>
      <w:r w:rsidR="00847364">
        <w:t xml:space="preserve"> Given that councils do not generally build new roads, increasing real operating expenditure is evidence that costs are increasing to deliver effectively the same service.  This was also reported to us by councils during the study.</w:t>
      </w:r>
    </w:p>
    <w:p w14:paraId="2D4F8E0C" w14:textId="275DCA19" w:rsidR="00C152BE" w:rsidRDefault="00331531" w:rsidP="00331531">
      <w:pPr>
        <w:pStyle w:val="Caption"/>
      </w:pPr>
      <w:bookmarkStart w:id="60" w:name="_Toc520900277"/>
      <w:r>
        <w:t xml:space="preserve">Figure </w:t>
      </w:r>
      <w:r>
        <w:fldChar w:fldCharType="begin"/>
      </w:r>
      <w:r>
        <w:instrText xml:space="preserve"> SEQ Figure \* ARABIC </w:instrText>
      </w:r>
      <w:r>
        <w:fldChar w:fldCharType="separate"/>
      </w:r>
      <w:r w:rsidR="00A00D18">
        <w:rPr>
          <w:noProof/>
        </w:rPr>
        <w:t>23</w:t>
      </w:r>
      <w:r>
        <w:fldChar w:fldCharType="end"/>
      </w:r>
      <w:r>
        <w:tab/>
        <w:t xml:space="preserve">Real </w:t>
      </w:r>
      <w:r w:rsidR="00580201">
        <w:t>expenditure on roads per ratepayer by type and location</w:t>
      </w:r>
      <w:bookmarkEnd w:id="60"/>
    </w:p>
    <w:p w14:paraId="56163772" w14:textId="54DF148F" w:rsidR="00120B3E" w:rsidRDefault="000713B8" w:rsidP="009D38AF">
      <w:pPr>
        <w:pStyle w:val="Bulletpoint"/>
        <w:numPr>
          <w:ilvl w:val="0"/>
          <w:numId w:val="0"/>
        </w:numPr>
      </w:pPr>
      <w:r>
        <w:rPr>
          <w:noProof/>
          <w:lang w:eastAsia="en-NZ"/>
        </w:rPr>
        <w:drawing>
          <wp:inline distT="0" distB="0" distL="0" distR="0" wp14:anchorId="0D24A4E5" wp14:editId="59C8A9BD">
            <wp:extent cx="5943600" cy="3447415"/>
            <wp:effectExtent l="0" t="0" r="19050" b="1968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75C187" w14:textId="7C4A5032" w:rsidR="00371091" w:rsidRPr="00371091" w:rsidRDefault="00120B3E" w:rsidP="004A372C">
      <w:pPr>
        <w:pStyle w:val="ListParagraph"/>
      </w:pPr>
      <w:r w:rsidRPr="00730B76">
        <w:t xml:space="preserve">Similarly for capital expenditure, analysis shows that real capital expenditure, per ratepayer is on average </w:t>
      </w:r>
      <w:r w:rsidR="00730B76" w:rsidRPr="00730B76">
        <w:t>26</w:t>
      </w:r>
      <w:r w:rsidRPr="00730B76">
        <w:t>% higher for rural counc</w:t>
      </w:r>
      <w:r w:rsidR="00730B76" w:rsidRPr="00730B76">
        <w:t>ils than urban councils.  B</w:t>
      </w:r>
      <w:r w:rsidRPr="00730B76">
        <w:t>oth rural an</w:t>
      </w:r>
      <w:r w:rsidR="00730B76" w:rsidRPr="00730B76">
        <w:t xml:space="preserve">d urban councils show only </w:t>
      </w:r>
      <w:r w:rsidRPr="00730B76">
        <w:t>slight increase</w:t>
      </w:r>
      <w:r w:rsidR="00730B76" w:rsidRPr="00730B76">
        <w:t>s</w:t>
      </w:r>
      <w:r w:rsidRPr="00730B76">
        <w:t xml:space="preserve"> in costs over time</w:t>
      </w:r>
      <w:r w:rsidR="00730B76">
        <w:t>.</w:t>
      </w:r>
      <w:r w:rsidR="002911C6">
        <w:t xml:space="preserve"> </w:t>
      </w:r>
      <w:r w:rsidR="00730B76">
        <w:t>Interestingly, the first t</w:t>
      </w:r>
      <w:r w:rsidR="00580201">
        <w:t>hree years of analysis</w:t>
      </w:r>
      <w:r w:rsidR="00730B76">
        <w:t xml:space="preserve"> shows a downward trend in real capital expenditure on roads per ratepayer, however this may also reflect challenges faced by councils in </w:t>
      </w:r>
      <w:r w:rsidR="00580201">
        <w:t>delivering their capital works programme (as this is based on actual expenditure).</w:t>
      </w:r>
    </w:p>
    <w:p w14:paraId="4285025F" w14:textId="77777777" w:rsidR="00777737" w:rsidRDefault="00777737" w:rsidP="002911C6">
      <w:pPr>
        <w:pStyle w:val="Heading3"/>
      </w:pPr>
      <w:r>
        <w:t>Water</w:t>
      </w:r>
    </w:p>
    <w:p w14:paraId="03B8C7F6" w14:textId="77777777" w:rsidR="00777737" w:rsidRDefault="00777737" w:rsidP="004A372C">
      <w:pPr>
        <w:pStyle w:val="ListParagraph"/>
      </w:pPr>
      <w:r>
        <w:t>The provision of drinking water is one of the fundamental responsibilities of local government (either directly or through council controlled organisations). The delivery of drinking water to communities typically involves two key components, treatment and reticulation. Councils must also ensure that they have security of the water supply.</w:t>
      </w:r>
    </w:p>
    <w:p w14:paraId="62DBECDA" w14:textId="77777777" w:rsidR="00777737" w:rsidRDefault="00777737" w:rsidP="004A372C">
      <w:pPr>
        <w:pStyle w:val="ListParagraph"/>
      </w:pPr>
      <w:r>
        <w:t>Councils face costs in the delivery of water services due to a number of factors, including:</w:t>
      </w:r>
    </w:p>
    <w:p w14:paraId="2A1A41C9" w14:textId="77777777" w:rsidR="00777737" w:rsidRPr="007C2823" w:rsidRDefault="00777737" w:rsidP="009D38AF">
      <w:pPr>
        <w:pStyle w:val="Bulletpoint"/>
      </w:pPr>
      <w:r w:rsidRPr="007C2823">
        <w:t>maintenance and renewal of pipes and reticulation assets</w:t>
      </w:r>
    </w:p>
    <w:p w14:paraId="4C5A86A6" w14:textId="77777777" w:rsidR="00777737" w:rsidRPr="007C2823" w:rsidRDefault="00777737" w:rsidP="009D38AF">
      <w:pPr>
        <w:pStyle w:val="Bulletpoint"/>
      </w:pPr>
      <w:r w:rsidRPr="007C2823">
        <w:t>capital investment in water treatment technology including UV treatment, chlorination and fluoridation (where applicable)</w:t>
      </w:r>
    </w:p>
    <w:p w14:paraId="47EC64D9" w14:textId="77777777" w:rsidR="00777737" w:rsidRPr="007C2823" w:rsidRDefault="00777737" w:rsidP="009D38AF">
      <w:pPr>
        <w:pStyle w:val="Bulletpoint"/>
      </w:pPr>
      <w:r w:rsidRPr="007C2823">
        <w:t>operating costs for treatment plants</w:t>
      </w:r>
    </w:p>
    <w:p w14:paraId="52E5AACE" w14:textId="77777777" w:rsidR="00777737" w:rsidRPr="007C2823" w:rsidRDefault="00777737" w:rsidP="009D38AF">
      <w:pPr>
        <w:pStyle w:val="Bulletpoint"/>
      </w:pPr>
      <w:r w:rsidRPr="007C2823">
        <w:t>securing resilient water supplies.</w:t>
      </w:r>
    </w:p>
    <w:p w14:paraId="4FD66FBC" w14:textId="77777777" w:rsidR="00777737" w:rsidRDefault="00777737" w:rsidP="004A372C">
      <w:pPr>
        <w:pStyle w:val="ListParagraph"/>
      </w:pPr>
      <w:r>
        <w:t>The impact that these costs have on councils across New Zealand appears to be typically split between the larger metropolitan councils and smaller (in population terms) rural councils. Specifically, metropolitan councils typically:</w:t>
      </w:r>
    </w:p>
    <w:p w14:paraId="70896366" w14:textId="77777777" w:rsidR="00777737" w:rsidRPr="007C2823" w:rsidRDefault="00777737" w:rsidP="009D38AF">
      <w:pPr>
        <w:pStyle w:val="Bulletpoint"/>
      </w:pPr>
      <w:r>
        <w:t xml:space="preserve">have highly connected water systems that rely on a small number of water treatment plants and </w:t>
      </w:r>
      <w:r w:rsidRPr="007C2823">
        <w:t>sources. There is often only one water supply scheme</w:t>
      </w:r>
    </w:p>
    <w:p w14:paraId="61B733AB" w14:textId="77777777" w:rsidR="00777737" w:rsidRPr="007C2823" w:rsidRDefault="00777737" w:rsidP="009D38AF">
      <w:pPr>
        <w:pStyle w:val="Bulletpoint"/>
      </w:pPr>
      <w:r w:rsidRPr="007C2823">
        <w:t>already have high water treatment standards, with chlorination and UV treatment being particularly common in large metropolitans</w:t>
      </w:r>
    </w:p>
    <w:p w14:paraId="4C460B73" w14:textId="16B87964" w:rsidR="00777737" w:rsidRDefault="00777737" w:rsidP="009D38AF">
      <w:pPr>
        <w:pStyle w:val="Bulletpoint"/>
      </w:pPr>
      <w:r w:rsidRPr="007C2823">
        <w:t>may face some resilience and supply issues and may need to implement demand management</w:t>
      </w:r>
      <w:r>
        <w:t xml:space="preserve"> </w:t>
      </w:r>
      <w:r w:rsidR="00331531">
        <w:t>strategies</w:t>
      </w:r>
      <w:r w:rsidR="00B64C91">
        <w:t>.</w:t>
      </w:r>
    </w:p>
    <w:p w14:paraId="3B8CD4B7" w14:textId="082AC37C" w:rsidR="00777737" w:rsidRDefault="00777737" w:rsidP="004A372C">
      <w:pPr>
        <w:pStyle w:val="ListParagraph"/>
      </w:pPr>
      <w:r>
        <w:t>In contrast, we found that rural councils:</w:t>
      </w:r>
    </w:p>
    <w:p w14:paraId="24C94CCB" w14:textId="77777777" w:rsidR="00777737" w:rsidRPr="007C2823" w:rsidRDefault="00777737" w:rsidP="009D38AF">
      <w:pPr>
        <w:pStyle w:val="Bulletpoint"/>
      </w:pPr>
      <w:r w:rsidRPr="007C2823">
        <w:t>often have multiple small schemes that are not connected to each other, and may service very small populations. The cost of operating these small schemes will often be charged back to the community that they serve (as opposed to being spread across the entire district)</w:t>
      </w:r>
    </w:p>
    <w:p w14:paraId="5993D931" w14:textId="77777777" w:rsidR="00777737" w:rsidRPr="007C2823" w:rsidRDefault="00777737" w:rsidP="009D38AF">
      <w:pPr>
        <w:pStyle w:val="Bulletpoint"/>
      </w:pPr>
      <w:r w:rsidRPr="007C2823">
        <w:t>have varying levels of water treatment between councils and between different schemes within a council</w:t>
      </w:r>
    </w:p>
    <w:p w14:paraId="180017A7" w14:textId="77777777" w:rsidR="00777737" w:rsidRPr="007C2823" w:rsidRDefault="00777737" w:rsidP="009D38AF">
      <w:pPr>
        <w:pStyle w:val="Bulletpoint"/>
      </w:pPr>
      <w:r w:rsidRPr="007C2823">
        <w:t>may have less concerns about the security of their water supply or supplies, although irrigation demands may alter this</w:t>
      </w:r>
    </w:p>
    <w:p w14:paraId="569815E4" w14:textId="54A421D9" w:rsidR="00777737" w:rsidRPr="007C2823" w:rsidRDefault="00777737" w:rsidP="009D38AF">
      <w:pPr>
        <w:pStyle w:val="Bulletpoint"/>
      </w:pPr>
      <w:r w:rsidRPr="007C2823">
        <w:t>will often have communities that are not connected to a council water supply at all or may have informal/non-consented schemes serving small populations.</w:t>
      </w:r>
    </w:p>
    <w:p w14:paraId="4E1C09EF" w14:textId="53200414" w:rsidR="000A06C8" w:rsidRDefault="000A06C8" w:rsidP="004A372C">
      <w:pPr>
        <w:pStyle w:val="ListParagraph"/>
      </w:pPr>
      <w:r>
        <w:t>T</w:t>
      </w:r>
      <w:r w:rsidR="00777737">
        <w:t xml:space="preserve">his would indicate that </w:t>
      </w:r>
      <w:r>
        <w:t>urban</w:t>
      </w:r>
      <w:r w:rsidR="00777737">
        <w:t xml:space="preserve"> councils are likely to have a higher </w:t>
      </w:r>
      <w:r>
        <w:t xml:space="preserve">real per </w:t>
      </w:r>
      <w:r w:rsidR="00C152BE">
        <w:t>ratepayers’</w:t>
      </w:r>
      <w:r>
        <w:t xml:space="preserve"> </w:t>
      </w:r>
      <w:r w:rsidR="00777737">
        <w:t>costs to service water infrastructure</w:t>
      </w:r>
      <w:r>
        <w:t xml:space="preserve"> than rural councils, but that rural councils may potentially face higher capital costs per ratepayer. A</w:t>
      </w:r>
      <w:r w:rsidR="00777737">
        <w:t xml:space="preserve">nalysis of the sample councils </w:t>
      </w:r>
      <w:r>
        <w:t>confirms that water services cost an average of 7.7% more to operate in urban councils than rural councils</w:t>
      </w:r>
      <w:r w:rsidR="00E66C94">
        <w:t>.</w:t>
      </w:r>
    </w:p>
    <w:p w14:paraId="377B266C" w14:textId="7277321F" w:rsidR="00563CE3" w:rsidRDefault="00563CE3" w:rsidP="004A372C">
      <w:pPr>
        <w:pStyle w:val="ListParagraph"/>
      </w:pPr>
      <w:r>
        <w:t xml:space="preserve">Operating costs for </w:t>
      </w:r>
      <w:r w:rsidR="00113391">
        <w:t xml:space="preserve">all </w:t>
      </w:r>
      <w:r>
        <w:t>councils are forecast to increase slightly</w:t>
      </w:r>
      <w:r w:rsidR="00113391">
        <w:t xml:space="preserve"> (1.2% per annum)</w:t>
      </w:r>
      <w:r>
        <w:t xml:space="preserve"> in real terms over the life of the 2015</w:t>
      </w:r>
      <w:r w:rsidR="00716826">
        <w:t xml:space="preserve"> </w:t>
      </w:r>
      <w:r w:rsidR="00465FBD">
        <w:t>Long Term Plan</w:t>
      </w:r>
      <w:r w:rsidR="00C74548">
        <w:t>s</w:t>
      </w:r>
      <w:r>
        <w:t>, indicating that the cost of providing water services may be a contributing factor in rising costs of local government service provision.</w:t>
      </w:r>
    </w:p>
    <w:p w14:paraId="61DE67CC" w14:textId="77777777" w:rsidR="00B64C91" w:rsidRDefault="00B64C91">
      <w:pPr>
        <w:spacing w:before="200" w:after="200" w:line="276" w:lineRule="auto"/>
        <w:rPr>
          <w:rFonts w:asciiTheme="minorHAnsi" w:hAnsiTheme="minorHAnsi"/>
          <w:b/>
          <w:color w:val="404142" w:themeColor="accent3" w:themeShade="80"/>
          <w:szCs w:val="28"/>
        </w:rPr>
      </w:pPr>
      <w:r>
        <w:br w:type="page"/>
      </w:r>
    </w:p>
    <w:p w14:paraId="73BF06C7" w14:textId="65772F99" w:rsidR="00331531" w:rsidRDefault="00331531" w:rsidP="00331531">
      <w:pPr>
        <w:pStyle w:val="Caption"/>
      </w:pPr>
      <w:bookmarkStart w:id="61" w:name="_Toc520900278"/>
      <w:r>
        <w:t xml:space="preserve">Figure </w:t>
      </w:r>
      <w:r>
        <w:fldChar w:fldCharType="begin"/>
      </w:r>
      <w:r>
        <w:instrText xml:space="preserve"> SEQ Figure \* ARABIC </w:instrText>
      </w:r>
      <w:r>
        <w:fldChar w:fldCharType="separate"/>
      </w:r>
      <w:r w:rsidR="00A00D18">
        <w:rPr>
          <w:noProof/>
        </w:rPr>
        <w:t>24</w:t>
      </w:r>
      <w:r>
        <w:fldChar w:fldCharType="end"/>
      </w:r>
      <w:r>
        <w:tab/>
      </w:r>
      <w:r w:rsidR="001B6C5C">
        <w:t>Real expenditure on water per ratepayer by type and location</w:t>
      </w:r>
      <w:bookmarkEnd w:id="61"/>
    </w:p>
    <w:p w14:paraId="75951D73" w14:textId="62D30C28" w:rsidR="000A06C8" w:rsidRDefault="001B6C5C" w:rsidP="00777737">
      <w:pPr>
        <w:pStyle w:val="Body"/>
      </w:pPr>
      <w:r>
        <w:rPr>
          <w:noProof/>
          <w:lang w:eastAsia="en-NZ"/>
        </w:rPr>
        <w:drawing>
          <wp:inline distT="0" distB="0" distL="0" distR="0" wp14:anchorId="55863D36" wp14:editId="02249C38">
            <wp:extent cx="5943600" cy="3447415"/>
            <wp:effectExtent l="0" t="0" r="19050" b="1968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8528B82" w14:textId="3290F017" w:rsidR="00856576" w:rsidRDefault="00563CE3" w:rsidP="00D04B21">
      <w:pPr>
        <w:pStyle w:val="ListParagraph"/>
      </w:pPr>
      <w:r>
        <w:t>Interestingly, analysis of the real capital expenditure per ratepayer on water services also shows urban councils spending more (114% more on average) on water infrastructure than rural councils. This is likely to be due to the issues of coverage</w:t>
      </w:r>
      <w:r w:rsidR="00D04B21">
        <w:t>. R</w:t>
      </w:r>
      <w:r>
        <w:t>ural councils often see the costs of major water infrastructure being spread over relatively small groups of ratepayers</w:t>
      </w:r>
      <w:r w:rsidR="00891F1B">
        <w:t>, or councils simply not spending due to the cost</w:t>
      </w:r>
      <w:r w:rsidR="00B64C91">
        <w:t>.</w:t>
      </w:r>
    </w:p>
    <w:p w14:paraId="693408B9" w14:textId="2528517A" w:rsidR="00856576" w:rsidRDefault="00856576" w:rsidP="004A372C">
      <w:pPr>
        <w:pStyle w:val="ListParagraph"/>
      </w:pPr>
      <w:r>
        <w:t>The analysis of real capital expenditure per ratepayer on water services also shows the cost of providing water infrastructure increasing in real terms in urban councils (on average 12% per year).  This compares to the cost of providing water infrastructure in rural councils which is increasing at a much slower rate (1.9% per year). For urban councils, this is likely a significant driver of increases in debt, and local government costs.</w:t>
      </w:r>
    </w:p>
    <w:p w14:paraId="432AAD0F" w14:textId="7D576437" w:rsidR="00331531" w:rsidRPr="00856576" w:rsidRDefault="00856576" w:rsidP="004A372C">
      <w:pPr>
        <w:pStyle w:val="ListParagraph"/>
        <w:rPr>
          <w:rFonts w:asciiTheme="minorHAnsi" w:hAnsiTheme="minorHAnsi"/>
          <w:b/>
          <w:szCs w:val="28"/>
        </w:rPr>
      </w:pPr>
      <w:r>
        <w:t xml:space="preserve">When considered on a per connection basis, it is likely that the costs of delivering water services </w:t>
      </w:r>
      <w:r w:rsidR="00D04B21">
        <w:t xml:space="preserve">in rural areas </w:t>
      </w:r>
      <w:r>
        <w:t>are likely to be much higher than those in urban areas. Similarly, on a per connection basis, the capital costs associated with the delivery of water services is likely to be similar for</w:t>
      </w:r>
      <w:r w:rsidR="00B64C91">
        <w:t xml:space="preserve"> both rural and urban councils.</w:t>
      </w:r>
    </w:p>
    <w:p w14:paraId="510D15AC" w14:textId="0AEFC720" w:rsidR="00777737" w:rsidRDefault="001B6C5C" w:rsidP="004A372C">
      <w:pPr>
        <w:pStyle w:val="ListParagraph"/>
      </w:pPr>
      <w:r>
        <w:t>W</w:t>
      </w:r>
      <w:r w:rsidR="00777737">
        <w:t>e note that through review of draft 2018</w:t>
      </w:r>
      <w:r w:rsidR="00465FBD">
        <w:t xml:space="preserve"> Long Term Pla</w:t>
      </w:r>
      <w:r w:rsidR="00C74548">
        <w:t>ns</w:t>
      </w:r>
      <w:r w:rsidR="00777737">
        <w:t xml:space="preserve"> and discussions with councils it is clear that:</w:t>
      </w:r>
    </w:p>
    <w:p w14:paraId="7E0542AB" w14:textId="1C2A393C" w:rsidR="00777737" w:rsidRPr="007C2823" w:rsidRDefault="00777737" w:rsidP="009D38AF">
      <w:pPr>
        <w:pStyle w:val="Bulletpoint"/>
      </w:pPr>
      <w:r>
        <w:t xml:space="preserve">smaller or </w:t>
      </w:r>
      <w:r w:rsidRPr="007C2823">
        <w:t>rural councils are most likely to be impacted by the outcomes of changing or increasing drinking water standards and regulations, with many rural or small councils highlighting the need to upgrade water treatment plants in their regions. That has cost impacts that will change the findings above.</w:t>
      </w:r>
    </w:p>
    <w:p w14:paraId="2ADB9C7F" w14:textId="6DC2CFBE" w:rsidR="00777737" w:rsidRPr="007C2823" w:rsidRDefault="00777737" w:rsidP="009D38AF">
      <w:pPr>
        <w:pStyle w:val="Bulletpoint"/>
      </w:pPr>
      <w:r w:rsidRPr="007C2823">
        <w:t xml:space="preserve">the impact of operating costs for water treatment plants on communities served by small reticulation schemes can be very large. In one example provided, a community is served by a treatment plant that was externally </w:t>
      </w:r>
      <w:r w:rsidR="007A32E3" w:rsidRPr="007C2823">
        <w:t>funded;</w:t>
      </w:r>
      <w:r w:rsidRPr="007C2823">
        <w:t xml:space="preserve"> however the rates impact for operating that treatment plant is unaffordable.</w:t>
      </w:r>
    </w:p>
    <w:p w14:paraId="460F9013" w14:textId="77777777" w:rsidR="00777737" w:rsidRPr="007C2823" w:rsidRDefault="00777737" w:rsidP="009D38AF">
      <w:pPr>
        <w:pStyle w:val="Bulletpoint"/>
      </w:pPr>
      <w:r w:rsidRPr="007C2823">
        <w:t>climate change and increasing consent conditions are creating the need for many councils (large and small) to examine the security of their current water supplies and investigate alternative supplies. The costs of adding additional supplies (and the treatment associated with this) are significant, ranging between 30% and 50% of forecast annual rates revenue.</w:t>
      </w:r>
    </w:p>
    <w:p w14:paraId="5E16FDDF" w14:textId="77777777" w:rsidR="00777737" w:rsidRPr="007C2823" w:rsidRDefault="00777737" w:rsidP="009D38AF">
      <w:pPr>
        <w:pStyle w:val="Bulletpoint"/>
      </w:pPr>
      <w:r w:rsidRPr="007C2823">
        <w:t>councils are concerned about the extent to which they may be liable for poor water quality in unofficial or private schemes in their region even though some of these schemes may not be consented or otherwise approved by the council. If councils are required to take over the management of these schemes it is likely that there will be significant costs involved.</w:t>
      </w:r>
    </w:p>
    <w:p w14:paraId="33162D1A" w14:textId="63D2AB06" w:rsidR="00777737" w:rsidRDefault="00777737" w:rsidP="009D38AF">
      <w:pPr>
        <w:pStyle w:val="Bulletpoint"/>
      </w:pPr>
      <w:r w:rsidRPr="007C2823">
        <w:t>many council</w:t>
      </w:r>
      <w:r>
        <w:t>s are proposing the installation of water meters to manage demand, which come at a capital cost that is approximately equal to 25% of current rates income</w:t>
      </w:r>
      <w:r w:rsidR="0062516D">
        <w:t>, although this cost will be spread gradually over a number of years</w:t>
      </w:r>
      <w:r>
        <w:t>.</w:t>
      </w:r>
    </w:p>
    <w:p w14:paraId="74CD1728" w14:textId="42B0E627" w:rsidR="00777737" w:rsidRDefault="002911C6" w:rsidP="004A372C">
      <w:pPr>
        <w:pStyle w:val="ListParagraph"/>
      </w:pPr>
      <w:r>
        <w:t>We note that t</w:t>
      </w:r>
      <w:r w:rsidR="00777737">
        <w:t>he above issues are not all fully costed in 2018</w:t>
      </w:r>
      <w:r w:rsidR="00465FBD">
        <w:t xml:space="preserve"> Long Term Plan</w:t>
      </w:r>
      <w:r w:rsidR="00C74548">
        <w:t>s</w:t>
      </w:r>
      <w:r w:rsidR="00777737">
        <w:t xml:space="preserve"> let alone the 2015 </w:t>
      </w:r>
      <w:r w:rsidR="00465FBD">
        <w:t>Long Term Plan</w:t>
      </w:r>
      <w:r w:rsidR="00777737">
        <w:t xml:space="preserve"> data that we</w:t>
      </w:r>
      <w:r>
        <w:t>re</w:t>
      </w:r>
      <w:r w:rsidR="00777737">
        <w:t xml:space="preserve"> analysed</w:t>
      </w:r>
      <w:r>
        <w:t xml:space="preserve"> for this report.</w:t>
      </w:r>
      <w:r w:rsidR="00777737">
        <w:t xml:space="preserve"> Were these costs to be included, it is likely that the costs of provid</w:t>
      </w:r>
      <w:r w:rsidR="004457D7">
        <w:t>ed</w:t>
      </w:r>
      <w:r w:rsidR="00777737">
        <w:t xml:space="preserve"> water services in rural areas would be demonstrably higher than metropolitan councils.</w:t>
      </w:r>
    </w:p>
    <w:p w14:paraId="55389CA1" w14:textId="77777777" w:rsidR="00777737" w:rsidRDefault="00777737" w:rsidP="002911C6">
      <w:pPr>
        <w:pStyle w:val="Heading3"/>
      </w:pPr>
      <w:r>
        <w:t>Wastewater</w:t>
      </w:r>
    </w:p>
    <w:p w14:paraId="77DDAAD2" w14:textId="77777777" w:rsidR="00777737" w:rsidRDefault="00777737" w:rsidP="004A372C">
      <w:pPr>
        <w:pStyle w:val="ListParagraph"/>
      </w:pPr>
      <w:r>
        <w:t>In most town centres, councils provide some form of reticulated wastewater and subsequent treatment and disposal. Infrastructure associated with the provision of wastewater services typically includes a reticulation network (including pipes and pumps) and wastewater treatment plants which may dispose of treated wastewater to land or to waterways.</w:t>
      </w:r>
    </w:p>
    <w:p w14:paraId="0DEF2E6E" w14:textId="12D59F64" w:rsidR="00777737" w:rsidRDefault="00777737" w:rsidP="004A372C">
      <w:pPr>
        <w:pStyle w:val="ListParagraph"/>
      </w:pPr>
      <w:r>
        <w:t>The treatment of wastewater is subject to numerous standards and regulations, and requires resource consent to be obtained from regional councils. These consents relate to the level of contaminants and bio solids that are able to be discharged into the environment. Resource consents have fixed durations which are often around 20 – 25 years, after which point new consent conditions are likely to be imposed by the regional council. Changes in consent conditions and environmental standards may mean that</w:t>
      </w:r>
      <w:r w:rsidR="007A32E3">
        <w:t>,</w:t>
      </w:r>
      <w:r>
        <w:t xml:space="preserve"> </w:t>
      </w:r>
      <w:r w:rsidR="007A32E3">
        <w:t xml:space="preserve">when consents are renewed, </w:t>
      </w:r>
      <w:r>
        <w:t>wastewater treatment plants often need to be upgraded.</w:t>
      </w:r>
    </w:p>
    <w:p w14:paraId="2BD4FA45" w14:textId="77777777" w:rsidR="00777737" w:rsidRDefault="00777737" w:rsidP="004A372C">
      <w:pPr>
        <w:pStyle w:val="ListParagraph"/>
      </w:pPr>
      <w:r>
        <w:t>Specific pressures facing councils in the delivery of wastewater include:</w:t>
      </w:r>
    </w:p>
    <w:p w14:paraId="2491E769" w14:textId="7E7F6ECD" w:rsidR="00777737" w:rsidRPr="007C2823" w:rsidRDefault="00777737" w:rsidP="009D38AF">
      <w:pPr>
        <w:pStyle w:val="Bulletpoint"/>
      </w:pPr>
      <w:r w:rsidRPr="007C2823">
        <w:t xml:space="preserve">infiltration of stormwater into the wastewater network, causing overflows or increasing volumes beyond what the wastewater treatment plant can manage. This is becoming more prevalent as infrastructure ages </w:t>
      </w:r>
      <w:r w:rsidR="00B64C91">
        <w:t>and major storm events increase</w:t>
      </w:r>
    </w:p>
    <w:p w14:paraId="0C675F6B" w14:textId="77777777" w:rsidR="00777737" w:rsidRPr="007C2823" w:rsidRDefault="00777737" w:rsidP="009D38AF">
      <w:pPr>
        <w:pStyle w:val="Bulletpoint"/>
      </w:pPr>
      <w:r w:rsidRPr="007C2823">
        <w:t>changing technology and increasing consent conditions requiring significant upgrading of wastewater treatment plants</w:t>
      </w:r>
    </w:p>
    <w:p w14:paraId="7494E20C" w14:textId="78ED2B14" w:rsidR="0062516D" w:rsidRDefault="00777737" w:rsidP="009D38AF">
      <w:pPr>
        <w:pStyle w:val="Bulletpoint"/>
      </w:pPr>
      <w:r w:rsidRPr="007C2823">
        <w:t>changing cultural expectation regarding the discharge of wastewater, in particular an increased desire from communities and Iwi that wastewater should not be discharged into waterways.</w:t>
      </w:r>
    </w:p>
    <w:p w14:paraId="3D9AA3CA" w14:textId="0F54125F" w:rsidR="00E2594D" w:rsidRDefault="0062516D" w:rsidP="004A372C">
      <w:pPr>
        <w:pStyle w:val="ListParagraph"/>
      </w:pPr>
      <w:r>
        <w:t>Draft 2018</w:t>
      </w:r>
      <w:r w:rsidR="00465FBD">
        <w:t xml:space="preserve"> Long Term Pla</w:t>
      </w:r>
      <w:r w:rsidR="00C74548">
        <w:t>ns</w:t>
      </w:r>
      <w:r>
        <w:t xml:space="preserve"> indicate a significant increase in expenditure on wastewater assets to respond to these demands. This appears to be creating further upward pressure on rates for most councils that are</w:t>
      </w:r>
      <w:r w:rsidR="008D7D76">
        <w:t xml:space="preserve"> </w:t>
      </w:r>
      <w:r>
        <w:t>needing to incur this expenditure.</w:t>
      </w:r>
    </w:p>
    <w:p w14:paraId="33FFD629" w14:textId="77777777" w:rsidR="00E2594D" w:rsidRDefault="00E2594D" w:rsidP="00E2594D">
      <w:pPr>
        <w:pStyle w:val="Body"/>
        <w:rPr>
          <w:rFonts w:eastAsia="Times New Roman" w:cs="Times New Roman"/>
          <w:lang w:val="en-AU"/>
        </w:rPr>
      </w:pPr>
      <w:r>
        <w:br w:type="page"/>
      </w:r>
    </w:p>
    <w:p w14:paraId="2A1D8FB8" w14:textId="10B32585" w:rsidR="00777737" w:rsidRDefault="00777737" w:rsidP="004A372C">
      <w:pPr>
        <w:pStyle w:val="ListParagraph"/>
      </w:pPr>
      <w:r>
        <w:t>As with water, the impact on rural communities, which are more likely to have multiple schemes serving small populations, may be proportionately greater than it is for large metropolitans</w:t>
      </w:r>
      <w:r w:rsidR="00BF119E">
        <w:t xml:space="preserve"> due to inefficiencies associated with having multiple disconnected networks</w:t>
      </w:r>
      <w:r>
        <w:t>. Smaller rural councils may also have more opportunities to investigate land-based disposal options than larger councils, as the amount of land required to service large populations makes such schemes untenable.</w:t>
      </w:r>
    </w:p>
    <w:p w14:paraId="25ABC9F3" w14:textId="4735C710" w:rsidR="00BF119E" w:rsidRDefault="00BF119E" w:rsidP="004A372C">
      <w:pPr>
        <w:pStyle w:val="ListParagraph"/>
      </w:pPr>
      <w:r>
        <w:t xml:space="preserve">On a per ratepayer basis, analysis of 2015 </w:t>
      </w:r>
      <w:r w:rsidR="00465FBD">
        <w:t>Long Term Pl</w:t>
      </w:r>
      <w:r w:rsidR="00716826">
        <w:t>an</w:t>
      </w:r>
      <w:r w:rsidR="00C74548">
        <w:t>s</w:t>
      </w:r>
      <w:r>
        <w:t xml:space="preserve"> shows urban councils typically having 41% higher operating costs for wastewater than rural councils. Because our analysis spreads the costs across the entire rating base, the actual per ratepayer costs for wastewater services, for those that receive them, in rural councils is likely to be much higher (and likely higher than in urban councils).</w:t>
      </w:r>
    </w:p>
    <w:p w14:paraId="356F8F37" w14:textId="0EF5D4DF" w:rsidR="00856576" w:rsidRDefault="00856576" w:rsidP="004A372C">
      <w:pPr>
        <w:pStyle w:val="ListParagraph"/>
      </w:pPr>
      <w:r w:rsidRPr="00FC76C2">
        <w:t>In one example, the impact on rates bills for a small wastewater scheme was as high as $900 if the costs are met only by the community that uses it</w:t>
      </w:r>
      <w:r>
        <w:t>. W</w:t>
      </w:r>
      <w:r w:rsidRPr="00FC76C2">
        <w:t xml:space="preserve">hen spread across </w:t>
      </w:r>
      <w:r>
        <w:t xml:space="preserve">connected properties across </w:t>
      </w:r>
      <w:r w:rsidRPr="00FC76C2">
        <w:t>the entire district this would reduce to $90.</w:t>
      </w:r>
    </w:p>
    <w:p w14:paraId="60020E27" w14:textId="6D41ED02" w:rsidR="00856576" w:rsidRDefault="00856576" w:rsidP="004A372C">
      <w:pPr>
        <w:pStyle w:val="ListParagraph"/>
      </w:pPr>
      <w:r>
        <w:t>While operating costs are de</w:t>
      </w:r>
      <w:r w:rsidR="00BF119E">
        <w:t>creasing in real terms for urban councils</w:t>
      </w:r>
      <w:r>
        <w:t>,</w:t>
      </w:r>
      <w:r w:rsidR="00BF119E">
        <w:t xml:space="preserve"> rural councils are on average expecting annual increases operating costs of </w:t>
      </w:r>
      <w:r w:rsidR="00AD1894">
        <w:t xml:space="preserve">5.8% </w:t>
      </w:r>
      <w:r w:rsidR="00BF119E">
        <w:t xml:space="preserve">per ratepayer for the provision of wastewater services. This is likely a </w:t>
      </w:r>
      <w:r>
        <w:t xml:space="preserve">key </w:t>
      </w:r>
      <w:r w:rsidR="00BF119E">
        <w:t>driver for increased costs for these councils.</w:t>
      </w:r>
    </w:p>
    <w:p w14:paraId="561B253F" w14:textId="28FCC444" w:rsidR="00725E55" w:rsidRDefault="00331531" w:rsidP="00B64C91">
      <w:pPr>
        <w:pStyle w:val="Caption"/>
        <w:spacing w:before="240" w:after="240"/>
        <w:rPr>
          <w:noProof/>
          <w:lang w:eastAsia="en-NZ"/>
        </w:rPr>
      </w:pPr>
      <w:bookmarkStart w:id="62" w:name="_Toc520900279"/>
      <w:r>
        <w:t xml:space="preserve">Figure </w:t>
      </w:r>
      <w:r>
        <w:fldChar w:fldCharType="begin"/>
      </w:r>
      <w:r>
        <w:instrText xml:space="preserve"> SEQ Figure \* ARABIC </w:instrText>
      </w:r>
      <w:r>
        <w:fldChar w:fldCharType="separate"/>
      </w:r>
      <w:r w:rsidR="00A00D18">
        <w:rPr>
          <w:noProof/>
        </w:rPr>
        <w:t>25</w:t>
      </w:r>
      <w:r>
        <w:fldChar w:fldCharType="end"/>
      </w:r>
      <w:r>
        <w:tab/>
      </w:r>
      <w:r w:rsidR="00725E55">
        <w:t>Real expenditure on wastewater per ratepayer by type and location</w:t>
      </w:r>
      <w:bookmarkEnd w:id="62"/>
    </w:p>
    <w:p w14:paraId="50402417" w14:textId="6A70B6DA" w:rsidR="00331531" w:rsidRDefault="00725E55" w:rsidP="00313454">
      <w:pPr>
        <w:pStyle w:val="Caption"/>
        <w:spacing w:after="240"/>
      </w:pPr>
      <w:r>
        <w:rPr>
          <w:noProof/>
          <w:lang w:eastAsia="en-NZ"/>
        </w:rPr>
        <w:drawing>
          <wp:inline distT="0" distB="0" distL="0" distR="0" wp14:anchorId="3007F9E1" wp14:editId="5189BAAD">
            <wp:extent cx="5943600" cy="3766088"/>
            <wp:effectExtent l="0" t="0" r="19050" b="2540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A2AA64" w14:textId="3EEDEDD2" w:rsidR="00E2594D" w:rsidRDefault="001E5669" w:rsidP="004A372C">
      <w:pPr>
        <w:pStyle w:val="ListParagraph"/>
      </w:pPr>
      <w:r>
        <w:t>As with operating expenditure, capital expenditure on the provision of wastewater infrastructure in urban councils is 29% higher in urban councils than rural councils, although again the method of calculation does not consider ratepayers in rural councils that do n</w:t>
      </w:r>
      <w:r w:rsidR="00323D5B">
        <w:t>ot receive wastewater services.</w:t>
      </w:r>
    </w:p>
    <w:p w14:paraId="48C96642" w14:textId="77777777" w:rsidR="00E2594D" w:rsidRDefault="00E2594D" w:rsidP="00E2594D">
      <w:pPr>
        <w:pStyle w:val="Body"/>
        <w:rPr>
          <w:rFonts w:eastAsia="Times New Roman" w:cs="Times New Roman"/>
          <w:lang w:val="en-AU"/>
        </w:rPr>
      </w:pPr>
      <w:r>
        <w:br w:type="page"/>
      </w:r>
    </w:p>
    <w:p w14:paraId="4EF23EF4" w14:textId="1CAC8539" w:rsidR="00331531" w:rsidRPr="00725E55" w:rsidRDefault="001E5669" w:rsidP="004A372C">
      <w:pPr>
        <w:pStyle w:val="ListParagraph"/>
      </w:pPr>
      <w:r>
        <w:t xml:space="preserve">Capital expenditure is forecast to increase in urban councils by </w:t>
      </w:r>
      <w:r w:rsidR="00AD1894">
        <w:t>4.6%</w:t>
      </w:r>
      <w:r>
        <w:t xml:space="preserve"> per year in real terms, in contrast to a decrease in capital expenditure of </w:t>
      </w:r>
      <w:r w:rsidR="00AD1894">
        <w:t>0.3%</w:t>
      </w:r>
      <w:r w:rsidR="00D04B21">
        <w:t xml:space="preserve"> </w:t>
      </w:r>
      <w:r>
        <w:t>in real terms for rural councils</w:t>
      </w:r>
      <w:r w:rsidR="00856576">
        <w:t>, noting that this is particularly lumpy</w:t>
      </w:r>
      <w:r>
        <w:t>. This may reflect that urban councils are invest</w:t>
      </w:r>
      <w:r w:rsidR="003E68D4">
        <w:t>ing</w:t>
      </w:r>
      <w:r>
        <w:t xml:space="preserve"> in additional capacity </w:t>
      </w:r>
      <w:r w:rsidR="00856576">
        <w:t>to service growth, while rural councils are focussing on renewal and compliance related upgrades.</w:t>
      </w:r>
    </w:p>
    <w:p w14:paraId="0791EB89" w14:textId="47304C7E" w:rsidR="00777737" w:rsidRDefault="00777737" w:rsidP="002911C6">
      <w:pPr>
        <w:pStyle w:val="Heading3"/>
      </w:pPr>
      <w:r>
        <w:t>Stormwater</w:t>
      </w:r>
    </w:p>
    <w:p w14:paraId="0405ABA3" w14:textId="2E9CB8FB" w:rsidR="00777737" w:rsidRDefault="00777737" w:rsidP="004A372C">
      <w:pPr>
        <w:pStyle w:val="ListParagraph"/>
      </w:pPr>
      <w:r>
        <w:t>Stormwater assets have historically seen much lower levels of investment than the other water assets. Although there are likely several reasons for this, this is in part because failure of stormwater assets is often less noticeable than failure of wastewater or water infrastructure.</w:t>
      </w:r>
    </w:p>
    <w:p w14:paraId="68962D8C" w14:textId="77777777" w:rsidR="00777737" w:rsidRDefault="00777737" w:rsidP="004A372C">
      <w:pPr>
        <w:pStyle w:val="ListParagraph"/>
      </w:pPr>
      <w:r>
        <w:t>The extent to which stormwater infrastructure is needed and the size and design of that infrastructure also differs from water and wastewater as it is determined by the proportion of permeable surfaces in a specific area and the geographical/topographical features of the land. In this way, large metropolitan councils or councils with dense population centres are likely to have greater level of investment in stormwater infrastructure than rural communities.</w:t>
      </w:r>
    </w:p>
    <w:p w14:paraId="7271951A" w14:textId="4B04A4DD" w:rsidR="008626B2" w:rsidRDefault="008626B2" w:rsidP="004A372C">
      <w:pPr>
        <w:pStyle w:val="ListParagraph"/>
      </w:pPr>
      <w:r>
        <w:t>Both rural and urban councils spend a similar amount</w:t>
      </w:r>
      <w:r w:rsidR="006C2D9B">
        <w:t xml:space="preserve"> of operating expenditure</w:t>
      </w:r>
      <w:r>
        <w:t xml:space="preserve"> per capita on stormwater services, given the typically higher levels of permeable surfaces in rural areas (and consequently reduced need for hard stormwater infrastructure) this is surprising. Equally, both groups of councils experience relatively static levels of costs in real terms, with rural councils anticipating a slight increase in the cost of providing stormwater services, per ratepayer, in real terms.</w:t>
      </w:r>
    </w:p>
    <w:p w14:paraId="7BF17E2B" w14:textId="3388C974" w:rsidR="008626B2" w:rsidRDefault="008626B2" w:rsidP="004A372C">
      <w:pPr>
        <w:pStyle w:val="ListParagraph"/>
      </w:pPr>
      <w:r>
        <w:t xml:space="preserve">Again, most councils saw an increase </w:t>
      </w:r>
      <w:r w:rsidR="00856576">
        <w:t xml:space="preserve">that appears higher than the increases projected in later years </w:t>
      </w:r>
      <w:r>
        <w:t>in the cost of providing stormwater services in real terms in the years 2015 – 2017, indicating that these costs increased fas</w:t>
      </w:r>
      <w:r w:rsidR="00E66C94">
        <w:t>ter than originally predicted.</w:t>
      </w:r>
    </w:p>
    <w:p w14:paraId="4D7FDC69" w14:textId="59DEE34F" w:rsidR="00331531" w:rsidRDefault="00331531" w:rsidP="00A8346B">
      <w:pPr>
        <w:pStyle w:val="Caption"/>
        <w:spacing w:after="240"/>
        <w:rPr>
          <w:noProof/>
          <w:lang w:eastAsia="en-NZ"/>
        </w:rPr>
      </w:pPr>
      <w:bookmarkStart w:id="63" w:name="_Toc520900280"/>
      <w:r>
        <w:t xml:space="preserve">Figure </w:t>
      </w:r>
      <w:r>
        <w:fldChar w:fldCharType="begin"/>
      </w:r>
      <w:r>
        <w:instrText xml:space="preserve"> SEQ Figure \* ARABIC </w:instrText>
      </w:r>
      <w:r>
        <w:fldChar w:fldCharType="separate"/>
      </w:r>
      <w:r w:rsidR="00A00D18">
        <w:rPr>
          <w:noProof/>
        </w:rPr>
        <w:t>26</w:t>
      </w:r>
      <w:r>
        <w:fldChar w:fldCharType="end"/>
      </w:r>
      <w:r>
        <w:tab/>
      </w:r>
      <w:r w:rsidR="00A8346B">
        <w:t xml:space="preserve">Real expenditure on </w:t>
      </w:r>
      <w:r w:rsidR="00B24C25">
        <w:t>storm</w:t>
      </w:r>
      <w:r w:rsidR="00A8346B">
        <w:t>water per ratepayer by type and location</w:t>
      </w:r>
      <w:bookmarkEnd w:id="63"/>
      <w:r w:rsidR="00A8346B">
        <w:rPr>
          <w:noProof/>
          <w:lang w:eastAsia="en-NZ"/>
        </w:rPr>
        <w:t xml:space="preserve"> </w:t>
      </w:r>
    </w:p>
    <w:p w14:paraId="38285255" w14:textId="103F4A60" w:rsidR="008626B2" w:rsidRDefault="00A8346B" w:rsidP="00777737">
      <w:pPr>
        <w:pStyle w:val="Body"/>
      </w:pPr>
      <w:r>
        <w:rPr>
          <w:noProof/>
          <w:lang w:eastAsia="en-NZ"/>
        </w:rPr>
        <w:drawing>
          <wp:inline distT="0" distB="0" distL="0" distR="0" wp14:anchorId="6714F7E6" wp14:editId="7363CE6A">
            <wp:extent cx="6012000" cy="3579019"/>
            <wp:effectExtent l="0" t="0" r="27305" b="2159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77360B" w14:textId="428CEE99" w:rsidR="008626B2" w:rsidRDefault="000F20C3" w:rsidP="004A372C">
      <w:pPr>
        <w:pStyle w:val="ListParagraph"/>
      </w:pPr>
      <w:r>
        <w:t xml:space="preserve">Analysis of real capital expenditure per ratepayer shows a more predictable result, with urban councils spending on average 150% more than rural councils on stormwater infrastructure. Both groups of councils show a slight increase in the real cost of constructing stormwater assets over the 2015 </w:t>
      </w:r>
      <w:r w:rsidR="00465FBD">
        <w:t>Long Term Pla</w:t>
      </w:r>
      <w:r>
        <w:t>n, perhaps reflecting increasing standards or increased incidence of flooding events.</w:t>
      </w:r>
    </w:p>
    <w:p w14:paraId="5107EE0E" w14:textId="31EA1A00" w:rsidR="00777737" w:rsidRPr="00C673EA" w:rsidRDefault="00331531" w:rsidP="004A372C">
      <w:pPr>
        <w:pStyle w:val="ListParagraph"/>
      </w:pPr>
      <w:r>
        <w:t>W</w:t>
      </w:r>
      <w:r w:rsidR="00777737" w:rsidRPr="00C673EA">
        <w:t>e’ve seen a renewed focus on stormwater infrastructure in the</w:t>
      </w:r>
      <w:r w:rsidR="00465FBD" w:rsidRPr="00C673EA">
        <w:t xml:space="preserve"> </w:t>
      </w:r>
      <w:r w:rsidR="00465FBD">
        <w:t>Long Term Pla</w:t>
      </w:r>
      <w:r w:rsidR="00716826">
        <w:t>n</w:t>
      </w:r>
      <w:r w:rsidR="00C74548">
        <w:t>s</w:t>
      </w:r>
      <w:r w:rsidR="00777737" w:rsidRPr="00C673EA">
        <w:t xml:space="preserve"> and infrastructure strategies that we reviewed, and mounting concern about potential future stormwater infrastructure costs from most councils that we talked to.</w:t>
      </w:r>
      <w:r w:rsidR="00B47336">
        <w:t xml:space="preserve"> </w:t>
      </w:r>
      <w:r w:rsidR="00777737" w:rsidRPr="00C673EA">
        <w:t>This change in focus is driven by two external factors</w:t>
      </w:r>
      <w:r w:rsidR="00B47336">
        <w:t>;</w:t>
      </w:r>
      <w:r w:rsidR="00777737" w:rsidRPr="00C673EA">
        <w:t xml:space="preserve"> climate change and increasing freshwater standards and regulation.</w:t>
      </w:r>
    </w:p>
    <w:p w14:paraId="38446148" w14:textId="77777777" w:rsidR="00777737" w:rsidRPr="00C673EA" w:rsidRDefault="00777737" w:rsidP="004A372C">
      <w:pPr>
        <w:pStyle w:val="ListParagraph"/>
      </w:pPr>
      <w:r w:rsidRPr="00C673EA">
        <w:t xml:space="preserve">Climate change impacts </w:t>
      </w:r>
      <w:r>
        <w:t>are being demonstrated as affecting</w:t>
      </w:r>
      <w:r w:rsidRPr="00C673EA">
        <w:t xml:space="preserve"> s</w:t>
      </w:r>
      <w:r>
        <w:t>tormwater systems in two ways.</w:t>
      </w:r>
    </w:p>
    <w:p w14:paraId="3254EAF6" w14:textId="77777777" w:rsidR="00777737" w:rsidRPr="00C673EA" w:rsidRDefault="00777737" w:rsidP="009D38AF">
      <w:pPr>
        <w:pStyle w:val="Bulletpoint"/>
      </w:pPr>
      <w:r w:rsidRPr="00C673EA">
        <w:t>The first being that rising water tables in low lying areas make stormwater systems less effectives as they are unable to rely on gravity to drain water away. Engineering solutions to this are challenging and require stormwater to be pumped away from low lying areas.</w:t>
      </w:r>
    </w:p>
    <w:p w14:paraId="7EC6B71B" w14:textId="3AAE8A6F" w:rsidR="00777737" w:rsidRPr="00C673EA" w:rsidRDefault="00777737" w:rsidP="009D38AF">
      <w:pPr>
        <w:pStyle w:val="Bulletpoint"/>
      </w:pPr>
      <w:r w:rsidRPr="00C673EA">
        <w:t>The second challenge for stormwater infrastructure from climate change comes from increased frequency of high intensity storm events. Stormwater systems are designed based on predicted rainfall in the region, and may be designed to be able to effectively drain rain from a 1 in 20 year event (for example). As climate change increases the regularity of these high intensity events however, the design specifications for stormwater systems will no longer be able to deliver the same level of service.</w:t>
      </w:r>
      <w:r>
        <w:t xml:space="preserve"> A symptom of this is increased levels of stormwater infiltration.</w:t>
      </w:r>
    </w:p>
    <w:p w14:paraId="286B7B8C" w14:textId="38C9ECA2" w:rsidR="00777737" w:rsidRDefault="00777737" w:rsidP="004A372C">
      <w:pPr>
        <w:pStyle w:val="ListParagraph"/>
      </w:pPr>
      <w:r w:rsidRPr="00C673EA">
        <w:t>Investment in stormwater infrastructure in the draft LTPs that we reviewed is typically more</w:t>
      </w:r>
      <w:r>
        <w:t xml:space="preserve"> modest than that of water or wastewater assets, with investment in stormwater upgrades and renewals over the life of the ten year plans being about 16% of those councils’ annual rates income.</w:t>
      </w:r>
    </w:p>
    <w:p w14:paraId="01FA2A1A" w14:textId="77777777" w:rsidR="00777737" w:rsidRDefault="00777737" w:rsidP="004A372C">
      <w:pPr>
        <w:pStyle w:val="ListParagraph"/>
      </w:pPr>
      <w:r>
        <w:t>The impact of increasing freshwater standards and regional council regulations is largely un-costed by territorial authorities at this stage. However, our conversations with councils consistently reiterated that freshwater standards, which are likely to set limits on the amount of contaminant/particulate in stormwater discharge, will impose major costs on the sector. Most stormwater systems have multiple discharge points into streams, rivers and the sea, and any form of treatment of that discharge is likely to be technically challenging.</w:t>
      </w:r>
    </w:p>
    <w:p w14:paraId="752DCFE7" w14:textId="78A37571" w:rsidR="00777737" w:rsidRDefault="00777737" w:rsidP="004A372C">
      <w:pPr>
        <w:pStyle w:val="ListParagraph"/>
      </w:pPr>
      <w:r>
        <w:t>Some councils are encouraging developers to focus on land based discharge of stormwater, such as through the installation of swales, although this imposes large costs on the developer. Ultimately these costs are then passed on to ratepayer or house buyers.</w:t>
      </w:r>
    </w:p>
    <w:p w14:paraId="7A714D40" w14:textId="3BFBD53D" w:rsidR="00904950" w:rsidRPr="00904950" w:rsidRDefault="00904950" w:rsidP="002911C6">
      <w:pPr>
        <w:pStyle w:val="Heading3"/>
      </w:pPr>
      <w:r w:rsidRPr="00904950">
        <w:t>Community facilities</w:t>
      </w:r>
    </w:p>
    <w:p w14:paraId="06E4F6D4" w14:textId="105AF984" w:rsidR="00904950" w:rsidRPr="00904950" w:rsidRDefault="00904950" w:rsidP="004A372C">
      <w:pPr>
        <w:pStyle w:val="ListParagraph"/>
      </w:pPr>
      <w:r w:rsidRPr="00904950">
        <w:t>Our conversations with local authorities that were carried out as a part of this study found that</w:t>
      </w:r>
      <w:r w:rsidR="00891F1B">
        <w:t xml:space="preserve"> a number of</w:t>
      </w:r>
      <w:r w:rsidRPr="00904950">
        <w:t xml:space="preserve"> councils </w:t>
      </w:r>
      <w:r w:rsidR="00891F1B">
        <w:t>reduced expenditure on community facilities and services</w:t>
      </w:r>
      <w:r w:rsidRPr="00904950">
        <w:t xml:space="preserve"> in the 2015 and 2012 </w:t>
      </w:r>
      <w:r w:rsidR="00465FBD">
        <w:t>Long Term Pla</w:t>
      </w:r>
      <w:r w:rsidR="00716826">
        <w:t>n</w:t>
      </w:r>
      <w:r w:rsidR="00C74548">
        <w:t>s</w:t>
      </w:r>
      <w:r w:rsidRPr="00904950">
        <w:t xml:space="preserve">. As a result of these budgets </w:t>
      </w:r>
      <w:r w:rsidR="0004006B">
        <w:t>those</w:t>
      </w:r>
      <w:r w:rsidRPr="00904950">
        <w:t xml:space="preserve"> councils reported levels of service delivered from community facilities to have diminished or remained static.</w:t>
      </w:r>
      <w:r w:rsidR="00B47336">
        <w:t xml:space="preserve"> </w:t>
      </w:r>
      <w:r w:rsidRPr="00904950">
        <w:t>W</w:t>
      </w:r>
      <w:r w:rsidR="00B47336">
        <w:t>e note that some</w:t>
      </w:r>
      <w:r w:rsidRPr="00904950">
        <w:t xml:space="preserve"> of the </w:t>
      </w:r>
      <w:r w:rsidR="00B47336">
        <w:t xml:space="preserve">corresponding </w:t>
      </w:r>
      <w:r w:rsidRPr="00904950">
        <w:t>2018 draft</w:t>
      </w:r>
      <w:r w:rsidR="00465FBD" w:rsidRPr="00904950">
        <w:t xml:space="preserve"> </w:t>
      </w:r>
      <w:r w:rsidR="00465FBD">
        <w:t>Long Term Pl</w:t>
      </w:r>
      <w:r w:rsidR="00716826">
        <w:t>a</w:t>
      </w:r>
      <w:r w:rsidR="00C74548">
        <w:t>ns</w:t>
      </w:r>
      <w:r w:rsidRPr="00904950">
        <w:t xml:space="preserve"> s</w:t>
      </w:r>
      <w:r w:rsidR="00B47336">
        <w:t>aw</w:t>
      </w:r>
      <w:r w:rsidRPr="00904950">
        <w:t xml:space="preserve"> a restoration of the levels of service to pre 2012 or 2015 levels.</w:t>
      </w:r>
    </w:p>
    <w:p w14:paraId="18DDCE07" w14:textId="77777777" w:rsidR="00904950" w:rsidRDefault="00904950" w:rsidP="004A372C">
      <w:pPr>
        <w:pStyle w:val="ListParagraph"/>
      </w:pPr>
      <w:r w:rsidRPr="00904950">
        <w:t>Councils also report that while capital investment opportunities are plentiful, there is little appetite for external funding of operating costs. This results in the level of service provided in new assets not always being commensurate with the quality of the facility.</w:t>
      </w:r>
    </w:p>
    <w:p w14:paraId="52CE859F" w14:textId="2DEB9B71" w:rsidR="00222B08" w:rsidRDefault="000F20C3" w:rsidP="00D04B21">
      <w:pPr>
        <w:pStyle w:val="ListParagraph"/>
      </w:pPr>
      <w:r>
        <w:t>The</w:t>
      </w:r>
      <w:r w:rsidR="00D04B21">
        <w:t xml:space="preserve"> data used</w:t>
      </w:r>
      <w:r>
        <w:t xml:space="preserve"> for this work d</w:t>
      </w:r>
      <w:r w:rsidR="009139F7">
        <w:t>oes not separate</w:t>
      </w:r>
      <w:r>
        <w:t xml:space="preserve"> operating cos</w:t>
      </w:r>
      <w:r w:rsidR="009139F7">
        <w:t>ts, or capital expenditure beyond the broad activities of water, wastewater, stormwater, roads, and other. The financial analysis shown here focuses on the “other” category, however it should be noted that this incorporates community facility, democracy, regulatory, and flood protection (whe</w:t>
      </w:r>
      <w:r w:rsidR="003928AE">
        <w:t>re relevant) costs</w:t>
      </w:r>
      <w:r w:rsidR="009139F7">
        <w:t>.</w:t>
      </w:r>
    </w:p>
    <w:p w14:paraId="7B9BCD92" w14:textId="42B7053C" w:rsidR="009139F7" w:rsidRDefault="0005786E" w:rsidP="00D04B21">
      <w:pPr>
        <w:pStyle w:val="ListParagraph"/>
      </w:pPr>
      <w:r>
        <w:t>Analysis of the 2015</w:t>
      </w:r>
      <w:r w:rsidR="00465FBD">
        <w:t xml:space="preserve"> Long Term Pla</w:t>
      </w:r>
      <w:r w:rsidR="00C74548">
        <w:t>ns</w:t>
      </w:r>
      <w:r>
        <w:t xml:space="preserve"> partly supports these assertions, showing a </w:t>
      </w:r>
      <w:r w:rsidR="00AD1894">
        <w:t>2.9%</w:t>
      </w:r>
      <w:r>
        <w:t xml:space="preserve"> per year decrease in real operating expenditure per ratepayer on “other” activities in urban councils and a 1</w:t>
      </w:r>
      <w:r w:rsidR="00AD1894">
        <w:t>.3</w:t>
      </w:r>
      <w:r w:rsidR="0062516D">
        <w:t>%</w:t>
      </w:r>
      <w:r>
        <w:t xml:space="preserve"> per year increase for rural councils. This data contains a number of distorting factors however, and is only indicative. Operating expenses per ratepayer are 65% higher for urban authorities than their rural counterparts.</w:t>
      </w:r>
    </w:p>
    <w:p w14:paraId="1BAB95FE" w14:textId="3CEE9E88" w:rsidR="00331531" w:rsidRDefault="00331531" w:rsidP="00331531">
      <w:pPr>
        <w:pStyle w:val="Caption"/>
      </w:pPr>
      <w:bookmarkStart w:id="64" w:name="_Toc520900281"/>
      <w:r>
        <w:t xml:space="preserve">Figure </w:t>
      </w:r>
      <w:r>
        <w:fldChar w:fldCharType="begin"/>
      </w:r>
      <w:r>
        <w:instrText xml:space="preserve"> SEQ Figure \* ARABIC </w:instrText>
      </w:r>
      <w:r>
        <w:fldChar w:fldCharType="separate"/>
      </w:r>
      <w:r w:rsidR="00A00D18">
        <w:rPr>
          <w:noProof/>
        </w:rPr>
        <w:t>27</w:t>
      </w:r>
      <w:r>
        <w:fldChar w:fldCharType="end"/>
      </w:r>
      <w:r>
        <w:tab/>
      </w:r>
      <w:r w:rsidR="00B24C25">
        <w:t>Real expenditure on other activities per ratepayer by type and location</w:t>
      </w:r>
      <w:bookmarkEnd w:id="64"/>
    </w:p>
    <w:p w14:paraId="3C268C56" w14:textId="7C68C63C" w:rsidR="0005786E" w:rsidRDefault="00B24C25" w:rsidP="00716826">
      <w:pPr>
        <w:pStyle w:val="Body"/>
        <w:spacing w:before="240" w:after="240"/>
      </w:pPr>
      <w:r>
        <w:rPr>
          <w:noProof/>
          <w:lang w:eastAsia="en-NZ"/>
        </w:rPr>
        <w:drawing>
          <wp:inline distT="0" distB="0" distL="0" distR="0" wp14:anchorId="5A89F524" wp14:editId="22F6B292">
            <wp:extent cx="5943600" cy="3636000"/>
            <wp:effectExtent l="0" t="0" r="19050" b="2222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0EF5153" w14:textId="44AF81F6" w:rsidR="0005786E" w:rsidRDefault="0005786E" w:rsidP="004A372C">
      <w:pPr>
        <w:pStyle w:val="ListParagraph"/>
      </w:pPr>
      <w:r>
        <w:t xml:space="preserve">Capital expenditure shows a more consistent downward trend across the groups, with reductions in real capital expenditure per ratepayer of </w:t>
      </w:r>
      <w:r w:rsidR="00CC38D2">
        <w:t>4.1%</w:t>
      </w:r>
      <w:r>
        <w:t xml:space="preserve"> and </w:t>
      </w:r>
      <w:r w:rsidR="00CC38D2">
        <w:t>7.6%</w:t>
      </w:r>
      <w:r>
        <w:t xml:space="preserve"> per year for urban and rural councils respectively. Again, urban councils are typically spending 30% more per ratepayer on “other” activities than rural councils.</w:t>
      </w:r>
    </w:p>
    <w:p w14:paraId="7BCF2A7E" w14:textId="38CF8170" w:rsidR="006C2D9B" w:rsidRDefault="006C2D9B" w:rsidP="002911C6">
      <w:pPr>
        <w:pStyle w:val="Heading3"/>
      </w:pPr>
      <w:r>
        <w:t>Section summary</w:t>
      </w:r>
    </w:p>
    <w:p w14:paraId="0B3AEC80" w14:textId="2740D268" w:rsidR="00E2594D" w:rsidRDefault="008A3C46" w:rsidP="004A372C">
      <w:pPr>
        <w:pStyle w:val="ListParagraph"/>
      </w:pPr>
      <w:r>
        <w:t>Local government in New Zealand operates using a cost based model, and consequently increases in costs have a direct impact on rates requirements for councils. Our earlier analysis showed councils planning to reduce costs, in real terms, over the life of their 2015</w:t>
      </w:r>
      <w:r w:rsidR="00465FBD">
        <w:t xml:space="preserve"> Long Term Plan</w:t>
      </w:r>
      <w:r w:rsidR="00C74548">
        <w:t>s</w:t>
      </w:r>
      <w:r>
        <w:t xml:space="preserve">, although </w:t>
      </w:r>
      <w:r w:rsidR="001B0969">
        <w:t>review of actual results demonstrated that this is not always being achieved.</w:t>
      </w:r>
    </w:p>
    <w:p w14:paraId="7DB8491E" w14:textId="77777777" w:rsidR="00716826" w:rsidRDefault="00716826">
      <w:pPr>
        <w:spacing w:before="200" w:after="200" w:line="276" w:lineRule="auto"/>
        <w:rPr>
          <w:rFonts w:eastAsia="Times New Roman" w:cs="Times New Roman"/>
          <w:color w:val="404142" w:themeColor="accent3" w:themeShade="80"/>
          <w:lang w:val="en-AU"/>
        </w:rPr>
      </w:pPr>
      <w:r>
        <w:br w:type="page"/>
      </w:r>
    </w:p>
    <w:p w14:paraId="151C9D0F" w14:textId="53ACE93E" w:rsidR="001B0969" w:rsidRDefault="001B0969" w:rsidP="004A372C">
      <w:pPr>
        <w:pStyle w:val="ListParagraph"/>
      </w:pPr>
      <w:r>
        <w:t>In order to examine how councils were planning to achieve these savings, or whether certain activities in councils are driving costs upwards, we looked at the four core activities carried out by councils in more detail, being roads, wat</w:t>
      </w:r>
      <w:r w:rsidR="00716826">
        <w:t xml:space="preserve">er, wastewater and stormwater. </w:t>
      </w:r>
      <w:r>
        <w:t>We also looked at the remaining activities together.</w:t>
      </w:r>
    </w:p>
    <w:p w14:paraId="741CD770" w14:textId="78286E8F" w:rsidR="00016887" w:rsidRDefault="00016887" w:rsidP="004A372C">
      <w:pPr>
        <w:pStyle w:val="ListParagraph"/>
      </w:pPr>
      <w:r>
        <w:t>We found that:</w:t>
      </w:r>
    </w:p>
    <w:p w14:paraId="19AFFAA1" w14:textId="2B7CD5E1" w:rsidR="008F6A53" w:rsidRDefault="00016887" w:rsidP="00716826">
      <w:pPr>
        <w:pStyle w:val="Bulletpoint"/>
      </w:pPr>
      <w:r>
        <w:t xml:space="preserve">Rural councils spend a much higher proportion, per ratepayer, on the provision of roads than </w:t>
      </w:r>
      <w:r w:rsidR="00B64C91">
        <w:t>u</w:t>
      </w:r>
      <w:r>
        <w:t>rban councils. Consequently, they spend less on the provision of the other activities that haven’t been analysed individually. Around one third of expenditure is applied towards the three waters in both rural and urban councils.</w:t>
      </w:r>
    </w:p>
    <w:p w14:paraId="3FFBDD6F" w14:textId="2CE07ADB" w:rsidR="00016887" w:rsidRDefault="00016887" w:rsidP="009D38AF">
      <w:pPr>
        <w:pStyle w:val="Bulletpoint"/>
      </w:pPr>
      <w:r>
        <w:t>Councils are not planning to substantially change the proportion of expenditure appli</w:t>
      </w:r>
      <w:r w:rsidR="00B64C91">
        <w:t>ed to each activity over time.</w:t>
      </w:r>
    </w:p>
    <w:p w14:paraId="3A49FD58" w14:textId="0BB77A5C" w:rsidR="00016887" w:rsidRDefault="00514954" w:rsidP="009D38AF">
      <w:pPr>
        <w:pStyle w:val="Bulletpoint"/>
      </w:pPr>
      <w:r>
        <w:t xml:space="preserve">The costs of providing water services, including the construction of water assets, are planned to increase at a faster rate than the other services examined. This is likely to continue into 2018 </w:t>
      </w:r>
      <w:r w:rsidR="00465FBD">
        <w:t>Long Term Pla</w:t>
      </w:r>
      <w:r w:rsidR="00716826">
        <w:t>ns</w:t>
      </w:r>
      <w:r>
        <w:t xml:space="preserve"> and beyond, as changes to drinking water standards and the way in which they are applied are developed.</w:t>
      </w:r>
    </w:p>
    <w:p w14:paraId="10A9FB98" w14:textId="6CEB3E93" w:rsidR="00514954" w:rsidRDefault="00514954" w:rsidP="00465FBD">
      <w:pPr>
        <w:pStyle w:val="Bulletpoint"/>
      </w:pPr>
      <w:r>
        <w:t xml:space="preserve">The maintenance of roads in rural, in particular, appears to be much more expensive than councils have provided for in their 2015 budgets, </w:t>
      </w:r>
      <w:r w:rsidR="00465FBD">
        <w:t>while</w:t>
      </w:r>
      <w:r w:rsidR="0025197A">
        <w:t xml:space="preserve"> </w:t>
      </w:r>
      <w:r w:rsidR="00465FBD">
        <w:t>Long Term Pla</w:t>
      </w:r>
      <w:r w:rsidR="00C74548">
        <w:t>ns</w:t>
      </w:r>
      <w:r>
        <w:t xml:space="preserve"> forecas</w:t>
      </w:r>
      <w:r w:rsidR="00465FBD">
        <w:t>t</w:t>
      </w:r>
      <w:r>
        <w:t xml:space="preserve"> a reduction in such costs, </w:t>
      </w:r>
      <w:r w:rsidR="00465FBD">
        <w:t>the</w:t>
      </w:r>
      <w:r>
        <w:t xml:space="preserve"> actual results show a significant increase.</w:t>
      </w:r>
    </w:p>
    <w:p w14:paraId="372D2904" w14:textId="5D3CAC1C" w:rsidR="00514954" w:rsidRDefault="00514954" w:rsidP="009D38AF">
      <w:pPr>
        <w:pStyle w:val="Bulletpoint"/>
      </w:pPr>
      <w:r>
        <w:t>Similarly, investment in stormwater assets appears to have increased at a much faster rate between 2015 and 2017, across both groups of councils, than is otherwise projected.</w:t>
      </w:r>
    </w:p>
    <w:p w14:paraId="30483597" w14:textId="6A481215" w:rsidR="00514954" w:rsidRDefault="00514954" w:rsidP="009D38AF">
      <w:pPr>
        <w:pStyle w:val="Bulletpoint"/>
      </w:pPr>
      <w:r>
        <w:t>While the delivery of wastewater and stormwater services are not projected to have large increases in costs over the 2015</w:t>
      </w:r>
      <w:r w:rsidR="00465FBD">
        <w:t xml:space="preserve"> Long Term Pl</w:t>
      </w:r>
      <w:r w:rsidR="0025197A">
        <w:t>a</w:t>
      </w:r>
      <w:r>
        <w:t xml:space="preserve">n periods, </w:t>
      </w:r>
      <w:r w:rsidR="007A170A">
        <w:t xml:space="preserve">analysis of the 2018 </w:t>
      </w:r>
      <w:r w:rsidR="00465FBD">
        <w:t>Long Term Pla</w:t>
      </w:r>
      <w:r w:rsidR="00C74548">
        <w:t>ns</w:t>
      </w:r>
      <w:r w:rsidR="007A170A">
        <w:t>, and draft infrastructure strategies, coupled with requirements of the National Policy Statement on Freshwater suggest that these costs may increase substantially.</w:t>
      </w:r>
    </w:p>
    <w:p w14:paraId="04D0C9C1" w14:textId="25CD0F1E" w:rsidR="007A170A" w:rsidRDefault="007A170A" w:rsidP="009D38AF">
      <w:pPr>
        <w:pStyle w:val="Bulletpoint"/>
      </w:pPr>
      <w:r>
        <w:t>Meanwhile, operating and capital expenditure of ‘other’ council activities (which includes community facilities and community services) are forecast to decrease per capita in real terms.  This may give rise to a reduction in levels of service (although it depends how councils intend to achieve these savings).</w:t>
      </w:r>
    </w:p>
    <w:p w14:paraId="485E4CA3" w14:textId="1F54EA00" w:rsidR="00B24C25" w:rsidRDefault="00B24C25">
      <w:pPr>
        <w:spacing w:before="200" w:after="200" w:line="276" w:lineRule="auto"/>
        <w:rPr>
          <w:rFonts w:asciiTheme="majorHAnsi" w:hAnsiTheme="majorHAnsi"/>
          <w:b/>
          <w:sz w:val="32"/>
          <w:szCs w:val="28"/>
        </w:rPr>
      </w:pPr>
      <w:r>
        <w:rPr>
          <w:rFonts w:asciiTheme="majorHAnsi" w:hAnsiTheme="majorHAnsi"/>
          <w:b/>
          <w:sz w:val="32"/>
          <w:szCs w:val="28"/>
        </w:rPr>
        <w:br w:type="page"/>
      </w:r>
    </w:p>
    <w:p w14:paraId="3A3D9C34" w14:textId="77777777" w:rsidR="001A0A10" w:rsidRDefault="001A0A10" w:rsidP="001A0A10">
      <w:pPr>
        <w:pStyle w:val="Heading1"/>
        <w:spacing w:before="120"/>
      </w:pPr>
      <w:bookmarkStart w:id="65" w:name="_Toc520703184"/>
      <w:r>
        <w:t>Debt</w:t>
      </w:r>
      <w:bookmarkEnd w:id="65"/>
    </w:p>
    <w:p w14:paraId="01366E57" w14:textId="34F58972" w:rsidR="006C2D9B" w:rsidRPr="002E779D" w:rsidRDefault="00B2760D" w:rsidP="004A372C">
      <w:pPr>
        <w:pStyle w:val="ListParagraph"/>
      </w:pPr>
      <w:r w:rsidRPr="002E779D">
        <w:t xml:space="preserve">Debt enables a council to </w:t>
      </w:r>
      <w:r w:rsidR="002E779D" w:rsidRPr="002E779D">
        <w:t>spread</w:t>
      </w:r>
      <w:r w:rsidRPr="002E779D">
        <w:t xml:space="preserve"> the full cost of constructing an asset </w:t>
      </w:r>
      <w:r w:rsidR="002E779D" w:rsidRPr="002E779D">
        <w:t>(or any other expenditure) over a number of years, thereby minimising the potential rates impact that may have otherwise occurred. Typically, councils use debt to fund the construction of growth and improved level of service assets, although the specific funding and financing policies for councils differ across the country.</w:t>
      </w:r>
    </w:p>
    <w:p w14:paraId="6E4DDA61" w14:textId="069E365F" w:rsidR="002E779D" w:rsidRPr="002E779D" w:rsidRDefault="002E779D" w:rsidP="004A372C">
      <w:pPr>
        <w:pStyle w:val="ListParagraph"/>
      </w:pPr>
      <w:r w:rsidRPr="002E779D">
        <w:t>The use of debt therefore impacts rates in two ways:</w:t>
      </w:r>
    </w:p>
    <w:p w14:paraId="44337F0F" w14:textId="39E93775" w:rsidR="002E779D" w:rsidRPr="002E779D" w:rsidRDefault="002E779D" w:rsidP="009D38AF">
      <w:pPr>
        <w:pStyle w:val="Bulletpoint"/>
      </w:pPr>
      <w:r w:rsidRPr="002E779D">
        <w:t>The use of debt instead of cash reserves/rates means rates rises can be deferred</w:t>
      </w:r>
      <w:r>
        <w:t>, and infrastructure can be constructed immediately without the need to accumulate reserves that otherwise may not exist</w:t>
      </w:r>
      <w:r w:rsidR="00B64C91">
        <w:t>.</w:t>
      </w:r>
    </w:p>
    <w:p w14:paraId="1EDD77E8" w14:textId="0EAF988E" w:rsidR="002E779D" w:rsidRPr="002E779D" w:rsidRDefault="002E779D" w:rsidP="009D38AF">
      <w:pPr>
        <w:pStyle w:val="Bulletpoint"/>
      </w:pPr>
      <w:r w:rsidRPr="002E779D">
        <w:t>The use of debt introduces servicing costs which must be met by ratepayers.</w:t>
      </w:r>
    </w:p>
    <w:p w14:paraId="19A648F9" w14:textId="77777777" w:rsidR="001A0A10" w:rsidRDefault="001A0A10" w:rsidP="004A372C">
      <w:pPr>
        <w:pStyle w:val="ListParagraph"/>
      </w:pPr>
      <w:r>
        <w:t>The debt to revenue ratio measures a council’s total level of debt against its total revenue collected. The ratio is useful for assessing the comparative level of debt a council has and is indicative of its ability to borrow further.</w:t>
      </w:r>
    </w:p>
    <w:p w14:paraId="1B4A46E9" w14:textId="05EE8093" w:rsidR="001A0A10" w:rsidRDefault="001A0A10" w:rsidP="004A372C">
      <w:pPr>
        <w:pStyle w:val="ListParagraph"/>
      </w:pPr>
      <w:r>
        <w:t xml:space="preserve">The debt to revenue ratio is </w:t>
      </w:r>
      <w:r w:rsidRPr="00F22D56">
        <w:t xml:space="preserve">one of the four criteria that are assessed as part of the financial covenants to borrow from the Local Government Funding Agency (LGFA). Additionally, section 18 of the Local Government (Financial Reporting and Prudence) Regulations 2014 requires </w:t>
      </w:r>
      <w:r>
        <w:t>c</w:t>
      </w:r>
      <w:r w:rsidRPr="00F22D56">
        <w:t>ouncils to ensure that their debt remains at a level that is below their “quantified limit on borrowing”. In order to borrow from</w:t>
      </w:r>
      <w:r>
        <w:t xml:space="preserve"> the LGFA, a council must have a debt to revenue ratio of less than 175%, or less than 250% if it has a long term credit rating of “A” or higher.</w:t>
      </w:r>
    </w:p>
    <w:p w14:paraId="5BF3D25B" w14:textId="2241C2F7" w:rsidR="00B47336" w:rsidRPr="0044305E" w:rsidRDefault="00B47336" w:rsidP="006C6C14">
      <w:pPr>
        <w:pStyle w:val="ListParagraph"/>
      </w:pPr>
      <w:r>
        <w:t>Figure 2</w:t>
      </w:r>
      <w:r w:rsidR="006C6C14">
        <w:t>8</w:t>
      </w:r>
      <w:r>
        <w:t xml:space="preserve"> charts all councils debt to revenue ratio with the selected councils shown in green.  The</w:t>
      </w:r>
      <w:r w:rsidRPr="0044305E">
        <w:t xml:space="preserve"> average debt to revenue ratio across all New Zealand councils sits at 72.3%, with 90% of councils having a ratio of less than 135%, and half of all councils having a ratio less than 73%.</w:t>
      </w:r>
    </w:p>
    <w:p w14:paraId="7638F99F" w14:textId="77777777" w:rsidR="0025197A" w:rsidRDefault="0025197A">
      <w:pPr>
        <w:spacing w:before="200" w:after="200" w:line="276" w:lineRule="auto"/>
        <w:rPr>
          <w:rFonts w:asciiTheme="minorHAnsi" w:hAnsiTheme="minorHAnsi"/>
          <w:b/>
          <w:color w:val="404142" w:themeColor="accent3" w:themeShade="80"/>
          <w:szCs w:val="28"/>
        </w:rPr>
      </w:pPr>
      <w:bookmarkStart w:id="66" w:name="_Toc516746891"/>
      <w:r>
        <w:br w:type="page"/>
      </w:r>
    </w:p>
    <w:p w14:paraId="0B8F12F1" w14:textId="508EFF97" w:rsidR="001A0A10" w:rsidRDefault="001A0A10" w:rsidP="001A0A10">
      <w:pPr>
        <w:pStyle w:val="Caption"/>
      </w:pPr>
      <w:bookmarkStart w:id="67" w:name="_Toc520900282"/>
      <w:r>
        <w:t xml:space="preserve">Figure </w:t>
      </w:r>
      <w:r>
        <w:fldChar w:fldCharType="begin"/>
      </w:r>
      <w:r>
        <w:instrText xml:space="preserve"> SEQ Figure \* ARABIC </w:instrText>
      </w:r>
      <w:r>
        <w:fldChar w:fldCharType="separate"/>
      </w:r>
      <w:r w:rsidR="00A00D18">
        <w:rPr>
          <w:noProof/>
        </w:rPr>
        <w:t>28</w:t>
      </w:r>
      <w:r>
        <w:fldChar w:fldCharType="end"/>
      </w:r>
      <w:r>
        <w:tab/>
        <w:t>Debt to revenue ratio – all councils 2015 LTP data</w:t>
      </w:r>
      <w:bookmarkEnd w:id="66"/>
      <w:bookmarkEnd w:id="67"/>
    </w:p>
    <w:p w14:paraId="0AD6672B" w14:textId="77777777" w:rsidR="001A0A10" w:rsidRDefault="001A0A10" w:rsidP="001A0A10">
      <w:pPr>
        <w:pStyle w:val="Body"/>
      </w:pPr>
      <w:r>
        <w:rPr>
          <w:noProof/>
          <w:lang w:eastAsia="en-NZ"/>
        </w:rPr>
        <w:drawing>
          <wp:inline distT="0" distB="0" distL="0" distR="0" wp14:anchorId="2E849575" wp14:editId="4BD3F431">
            <wp:extent cx="6156000" cy="3859078"/>
            <wp:effectExtent l="0" t="0" r="16510" b="2730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F1E32A8" w14:textId="331C83DB" w:rsidR="001A0A10" w:rsidRPr="0044305E" w:rsidRDefault="001A0A10" w:rsidP="004A372C">
      <w:pPr>
        <w:pStyle w:val="ListParagraph"/>
      </w:pPr>
      <w:r w:rsidRPr="0044305E">
        <w:t>Th</w:t>
      </w:r>
      <w:r w:rsidR="00B47336">
        <w:t>e analysis</w:t>
      </w:r>
      <w:r w:rsidRPr="0044305E">
        <w:t xml:space="preserve"> indicates that a large number of councils are potentially able to borrow more money within their prudential borrowing limits. However it is worth noting that:</w:t>
      </w:r>
    </w:p>
    <w:p w14:paraId="748A3B95" w14:textId="77777777" w:rsidR="001A0A10" w:rsidRDefault="001A0A10" w:rsidP="009D38AF">
      <w:pPr>
        <w:pStyle w:val="Bulletpoint"/>
      </w:pPr>
      <w:r w:rsidRPr="007C2823">
        <w:t>where councils have a declining population, the ability to make repayments on debt in the future is diminished so it may not be prudent to borrow up to the 175% of revenue</w:t>
      </w:r>
    </w:p>
    <w:p w14:paraId="761CBA30" w14:textId="77777777" w:rsidR="001A0A10" w:rsidRDefault="001A0A10" w:rsidP="009D38AF">
      <w:pPr>
        <w:pStyle w:val="Bulletpoint"/>
      </w:pPr>
      <w:r w:rsidRPr="007C2823">
        <w:t>debt is</w:t>
      </w:r>
      <w:r>
        <w:t xml:space="preserve"> typically reserved for funding capital expenditure (and more specifically growth or level of service infrastructure). In addition to debt repayments and financing costs, investment in these assets typically has additional operating expenditure associated with it. Small councils, or those that are unable to raise rates easily due to community affordability concerns, may not invest in such infrastructure</w:t>
      </w:r>
    </w:p>
    <w:p w14:paraId="471FB567" w14:textId="77777777" w:rsidR="001A0A10" w:rsidRPr="007C2823" w:rsidRDefault="001A0A10" w:rsidP="009D38AF">
      <w:pPr>
        <w:pStyle w:val="Bulletpoint"/>
      </w:pPr>
      <w:r>
        <w:t>growth</w:t>
      </w:r>
      <w:r w:rsidRPr="007C2823">
        <w:t xml:space="preserve"> councils are likely to have higher levels of debt as this is typically used when forward financing investment in growth related infrastructure. This can theoretically be repaid through the application of development contributions, although this is not </w:t>
      </w:r>
      <w:r>
        <w:t>entirely</w:t>
      </w:r>
      <w:r w:rsidRPr="007C2823">
        <w:t xml:space="preserve"> the case in practice</w:t>
      </w:r>
    </w:p>
    <w:p w14:paraId="267F14E6" w14:textId="230C0232" w:rsidR="001A0A10" w:rsidRDefault="00525E6A" w:rsidP="009D38AF">
      <w:pPr>
        <w:pStyle w:val="Bulletpoint"/>
      </w:pPr>
      <w:r>
        <w:t>a</w:t>
      </w:r>
      <w:r w:rsidR="001A0A10" w:rsidRPr="007C2823">
        <w:t xml:space="preserve"> council’s current debt levels may be deliberately low to enable future borrowing for asset renewals or level of serv</w:t>
      </w:r>
      <w:r w:rsidR="001A0A10">
        <w:t>ice upgrades (particularly for large infrastructure projects such as wastewater treatment plants), which may be outside of the ten year LTP horizon.</w:t>
      </w:r>
    </w:p>
    <w:p w14:paraId="74518548" w14:textId="118B8011" w:rsidR="001A0A10" w:rsidRDefault="001A0A10" w:rsidP="004A372C">
      <w:pPr>
        <w:pStyle w:val="ListParagraph"/>
      </w:pPr>
      <w:r>
        <w:t xml:space="preserve">When reviewing the debt to revenue ratio </w:t>
      </w:r>
      <w:r w:rsidR="006C2D9B">
        <w:t>it is</w:t>
      </w:r>
      <w:r>
        <w:t xml:space="preserve"> therefore important to consider the specific circumstances of a council before concluding on whether debt levels are too high (or whether additional borrowing is possible).</w:t>
      </w:r>
    </w:p>
    <w:p w14:paraId="7673112A" w14:textId="77777777" w:rsidR="001A0A10" w:rsidRDefault="001A0A10" w:rsidP="001A0A10">
      <w:pPr>
        <w:pStyle w:val="Heading3"/>
      </w:pPr>
      <w:r>
        <w:t>Impact of growth</w:t>
      </w:r>
    </w:p>
    <w:p w14:paraId="37667BC2" w14:textId="68D97B70" w:rsidR="001A0A10" w:rsidRDefault="001A0A10" w:rsidP="004A372C">
      <w:pPr>
        <w:pStyle w:val="ListParagraph"/>
      </w:pPr>
      <w:r>
        <w:t xml:space="preserve">As </w:t>
      </w:r>
      <w:r w:rsidR="00B47336">
        <w:t>highlighted above</w:t>
      </w:r>
      <w:r>
        <w:t>, growth councils are likely to carry comparatively higher levels of debt than declining population councils for two main reasons:</w:t>
      </w:r>
    </w:p>
    <w:p w14:paraId="71A692EC" w14:textId="1EBCF6BB" w:rsidR="001A0A10" w:rsidRPr="007C2823" w:rsidRDefault="001A0A10" w:rsidP="009D38AF">
      <w:pPr>
        <w:pStyle w:val="Bulletpoint"/>
      </w:pPr>
      <w:r w:rsidRPr="007C2823">
        <w:t>Debt is typically used to forward fund investment in growth related infrastructure which will be repaid over time from development contributions</w:t>
      </w:r>
      <w:r w:rsidR="00525E6A">
        <w:t>.</w:t>
      </w:r>
    </w:p>
    <w:p w14:paraId="1E5F5296" w14:textId="5252311C" w:rsidR="001A0A10" w:rsidRDefault="001A0A10" w:rsidP="009D38AF">
      <w:pPr>
        <w:pStyle w:val="Bulletpoint"/>
      </w:pPr>
      <w:r w:rsidRPr="007C2823">
        <w:t>Growth councils have an increasing revenue base so may consider themselves more able to carry high levels of debt, in contrast declining population councils may not be able to meet future debt repay</w:t>
      </w:r>
      <w:r>
        <w:t>ment obligations easily as their rating base diminishes</w:t>
      </w:r>
      <w:r w:rsidR="00525E6A">
        <w:t>.</w:t>
      </w:r>
    </w:p>
    <w:p w14:paraId="65B41D45" w14:textId="0E51A29C" w:rsidR="00C83F07" w:rsidRPr="00386651" w:rsidRDefault="00B47336" w:rsidP="006C6C14">
      <w:pPr>
        <w:pStyle w:val="ListParagraph"/>
      </w:pPr>
      <w:r>
        <w:t>Our a</w:t>
      </w:r>
      <w:r w:rsidR="001A0A10">
        <w:t>nalysis</w:t>
      </w:r>
      <w:r>
        <w:t xml:space="preserve"> (Figure 2</w:t>
      </w:r>
      <w:r w:rsidR="006C6C14">
        <w:t>9</w:t>
      </w:r>
      <w:r>
        <w:t xml:space="preserve"> below)</w:t>
      </w:r>
      <w:r w:rsidR="001A0A10">
        <w:t xml:space="preserve"> shows </w:t>
      </w:r>
      <w:r>
        <w:t>the</w:t>
      </w:r>
      <w:r w:rsidR="001A0A10">
        <w:t xml:space="preserve"> contrast between the comparative levels of debt in high growth and declining population councils</w:t>
      </w:r>
      <w:r>
        <w:t xml:space="preserve"> that would be expected.  </w:t>
      </w:r>
      <w:r w:rsidR="001A0A10">
        <w:t xml:space="preserve">High growth councils have an average debt to revenue ratio of 118%, and although there is significant variation across the group, typically exhibit higher levels of debt than declining population councils. Additionally, a number of councils sit substantially higher than the average, with four of the high growth councils predicting debt to revenue ratios in excess of 150%. </w:t>
      </w:r>
      <w:r w:rsidR="00C83F07">
        <w:t>In comparison, declining population councils have an average debt to revenue ratio of 49%, indicating a lack of desire, or need, to draw down debt.</w:t>
      </w:r>
    </w:p>
    <w:p w14:paraId="1B65F3E5" w14:textId="1EC05224" w:rsidR="006C2D9B" w:rsidRPr="006C2D9B" w:rsidRDefault="00C83F07" w:rsidP="004A372C">
      <w:pPr>
        <w:pStyle w:val="ListParagraph"/>
      </w:pPr>
      <w:r>
        <w:t>Overall t</w:t>
      </w:r>
      <w:r w:rsidR="001A0A10">
        <w:t>his demonstrates a level of maturity of understanding the long term position that the</w:t>
      </w:r>
      <w:r>
        <w:t xml:space="preserve"> respective councils </w:t>
      </w:r>
      <w:r w:rsidR="001A0A10">
        <w:t>are in.</w:t>
      </w:r>
    </w:p>
    <w:p w14:paraId="36187980" w14:textId="3B997B82" w:rsidR="001A0A10" w:rsidRDefault="001A0A10" w:rsidP="00D04B21">
      <w:pPr>
        <w:pStyle w:val="Caption"/>
      </w:pPr>
      <w:bookmarkStart w:id="68" w:name="_Toc516746892"/>
      <w:bookmarkStart w:id="69" w:name="_Toc520900283"/>
      <w:r>
        <w:t xml:space="preserve">Figure </w:t>
      </w:r>
      <w:r>
        <w:fldChar w:fldCharType="begin"/>
      </w:r>
      <w:r>
        <w:instrText xml:space="preserve"> SEQ Figure \* ARABIC </w:instrText>
      </w:r>
      <w:r>
        <w:fldChar w:fldCharType="separate"/>
      </w:r>
      <w:r w:rsidR="00A00D18">
        <w:rPr>
          <w:noProof/>
        </w:rPr>
        <w:t>29</w:t>
      </w:r>
      <w:r>
        <w:fldChar w:fldCharType="end"/>
      </w:r>
      <w:r>
        <w:tab/>
        <w:t xml:space="preserve">Debt to revenue ratio – </w:t>
      </w:r>
      <w:r w:rsidR="00D04B21">
        <w:t>all</w:t>
      </w:r>
      <w:r>
        <w:t xml:space="preserve"> councils 2015 LTP data</w:t>
      </w:r>
      <w:bookmarkEnd w:id="68"/>
      <w:r w:rsidR="00D04B21">
        <w:t xml:space="preserve"> by growth</w:t>
      </w:r>
      <w:bookmarkEnd w:id="69"/>
    </w:p>
    <w:p w14:paraId="63F9F578" w14:textId="77777777" w:rsidR="001A0A10" w:rsidRDefault="001A0A10" w:rsidP="001A0A10">
      <w:r>
        <w:rPr>
          <w:noProof/>
          <w:lang w:eastAsia="en-NZ"/>
        </w:rPr>
        <w:drawing>
          <wp:inline distT="0" distB="0" distL="0" distR="0" wp14:anchorId="6C2B0773" wp14:editId="6C778E34">
            <wp:extent cx="6084000" cy="3804834"/>
            <wp:effectExtent l="0" t="0" r="12065" b="24765"/>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140F78" w14:textId="13FBF20B" w:rsidR="00525E6A" w:rsidRPr="0025197A" w:rsidRDefault="001A0A10" w:rsidP="004A372C">
      <w:pPr>
        <w:pStyle w:val="ListParagraph"/>
        <w:rPr>
          <w:rFonts w:asciiTheme="minorHAnsi" w:hAnsiTheme="minorHAnsi"/>
          <w:b/>
          <w:szCs w:val="28"/>
        </w:rPr>
      </w:pPr>
      <w:r w:rsidRPr="00C673EA">
        <w:t>The impact of growth on a council’s debt levels and projected rates rises is</w:t>
      </w:r>
      <w:r>
        <w:t xml:space="preserve"> further</w:t>
      </w:r>
      <w:r w:rsidRPr="00C673EA">
        <w:t xml:space="preserve"> illustrated well in the following analysis completed by the Department of Internal Affairs. It shows substantial increases in projected levels of debt for high growth councils and similar increases in annual rates revenue.</w:t>
      </w:r>
      <w:r w:rsidR="00525E6A">
        <w:br w:type="page"/>
      </w:r>
    </w:p>
    <w:p w14:paraId="20634103" w14:textId="4C74BDC1" w:rsidR="001A0A10" w:rsidRDefault="001A0A10" w:rsidP="001A0A10">
      <w:pPr>
        <w:pStyle w:val="Caption"/>
      </w:pPr>
      <w:bookmarkStart w:id="70" w:name="_Toc520900284"/>
      <w:r>
        <w:t xml:space="preserve">Figure </w:t>
      </w:r>
      <w:r>
        <w:fldChar w:fldCharType="begin"/>
      </w:r>
      <w:r>
        <w:instrText xml:space="preserve"> SEQ Figure \* ARABIC </w:instrText>
      </w:r>
      <w:r>
        <w:fldChar w:fldCharType="separate"/>
      </w:r>
      <w:r w:rsidR="00A00D18">
        <w:rPr>
          <w:noProof/>
        </w:rPr>
        <w:t>30</w:t>
      </w:r>
      <w:r>
        <w:fldChar w:fldCharType="end"/>
      </w:r>
      <w:r>
        <w:tab/>
        <w:t>Total projected debt for growth councils – comparison of 2012, 2015 and</w:t>
      </w:r>
      <w:r w:rsidR="008D716F">
        <w:t xml:space="preserve"> draft</w:t>
      </w:r>
      <w:r>
        <w:t xml:space="preserve"> 2018</w:t>
      </w:r>
      <w:r w:rsidR="0025197A">
        <w:t xml:space="preserve"> long term plans</w:t>
      </w:r>
      <w:bookmarkEnd w:id="70"/>
    </w:p>
    <w:p w14:paraId="1807F160" w14:textId="38F9C945" w:rsidR="001A0A10" w:rsidRDefault="00525E6A" w:rsidP="00525E6A">
      <w:pPr>
        <w:spacing w:before="200" w:after="200" w:line="276" w:lineRule="auto"/>
        <w:rPr>
          <w:rFonts w:asciiTheme="minorHAnsi" w:hAnsiTheme="minorHAnsi"/>
          <w:color w:val="404142" w:themeColor="accent3" w:themeShade="80"/>
          <w:szCs w:val="28"/>
        </w:rPr>
      </w:pPr>
      <w:r>
        <w:rPr>
          <w:noProof/>
          <w:lang w:eastAsia="en-NZ"/>
        </w:rPr>
        <mc:AlternateContent>
          <mc:Choice Requires="wps">
            <w:drawing>
              <wp:anchor distT="0" distB="0" distL="114300" distR="114300" simplePos="0" relativeHeight="251655168" behindDoc="0" locked="0" layoutInCell="1" allowOverlap="1" wp14:anchorId="5BF1E7CB" wp14:editId="6438C215">
                <wp:simplePos x="0" y="0"/>
                <wp:positionH relativeFrom="column">
                  <wp:posOffset>198755</wp:posOffset>
                </wp:positionH>
                <wp:positionV relativeFrom="paragraph">
                  <wp:posOffset>3487549</wp:posOffset>
                </wp:positionV>
                <wp:extent cx="2764155" cy="294468"/>
                <wp:effectExtent l="0" t="0" r="0" b="10795"/>
                <wp:wrapNone/>
                <wp:docPr id="97" name="Text Box 97"/>
                <wp:cNvGraphicFramePr/>
                <a:graphic xmlns:a="http://schemas.openxmlformats.org/drawingml/2006/main">
                  <a:graphicData uri="http://schemas.microsoft.com/office/word/2010/wordprocessingShape">
                    <wps:wsp>
                      <wps:cNvSpPr txBox="1"/>
                      <wps:spPr>
                        <a:xfrm>
                          <a:off x="0" y="0"/>
                          <a:ext cx="2764155" cy="294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810E8" w14:textId="77777777" w:rsidR="007C0AF1" w:rsidRPr="00CD1045" w:rsidRDefault="007C0AF1" w:rsidP="001A0A10">
                            <w:pPr>
                              <w:rPr>
                                <w:b/>
                                <w:bCs/>
                                <w:color w:val="404142" w:themeColor="accent3" w:themeShade="80"/>
                              </w:rPr>
                            </w:pPr>
                            <w:r w:rsidRPr="00CD1045">
                              <w:rPr>
                                <w:b/>
                                <w:bCs/>
                                <w:i/>
                                <w:iCs/>
                                <w:color w:val="404142" w:themeColor="accent3" w:themeShade="80"/>
                              </w:rPr>
                              <w:t>Source: Department of Internal Affairs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9" type="#_x0000_t202" style="position:absolute;margin-left:15.65pt;margin-top:274.6pt;width:217.65pt;height:2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I6gAIAAGQFAAAOAAAAZHJzL2Uyb0RvYy54bWysVN9P2zAQfp+0/8Hy+0jblQIVKepATJMQ&#10;oMHEs+vYNJrt8+xrk+6v5+wkpWJ7YdqLc7n7fL4f3935RWsN26oQa3AlHx+NOFNOQlW755L/eLz+&#10;dMpZROEqYcCpku9U5BeLjx/OGz9XE1iDqVRg5MTFeeNLvkb086KIcq2siEfglSOjhmAF0m94Lqog&#10;GvJuTTEZjWZFA6HyAaSKkbRXnZEvsn+tlcQ7raNCZkpOsWE+Qz5X6SwW52L+HIRf17IPQ/xDFFbU&#10;jh7du7oSKNgm1H+4srUMEEHjkQRbgNa1VDkHymY8epPNw1p4lXOh4kS/L1P8f27l7fY+sLoq+dkJ&#10;Z05Y6tGjapF9gZaRiurT+Dgn2IMnILakpz4P+kjKlHarg01fSoiRnSq921c3eZOknJzMpuPjY84k&#10;2SZn0+nsNLkpXm/7EPGrAsuSUPJA3ctFFdubiB10gKTHHFzXxuQOGseaks8+H4/yhb2FnBuXsCpz&#10;oXeTMuoizxLujEoY474rTbXICSRFZqG6NIFtBfFHSKkc5tyzX0InlKYg3nOxx79G9Z7LXR7Dy+Bw&#10;f9nWDkLO/k3Y1c8hZN3hqeYHeScR21WbSTCeDJ1dQbWjhgfoRiZ6eV1TV25ExHsRaEaoxzT3eEeH&#10;NkDVh17ibA3h99/0CU/UJStnDc1cyeOvjQiKM/PNEanPxtNpGtL8Q0I41K4GrdvYS6B2jGmzeJnF&#10;hEUziDqAfaK1sEyvkUk4SW+WHAfxErsNQGtFquUyg2gcvcAb9+Blcp26k7j22D6J4HtCIlH5Foap&#10;FPM3vOyw6aaD5QZB15m0qcBdNfvC0yhn2vdrJ+2Kw/+Mel2OixcAAAD//wMAUEsDBBQABgAIAAAA&#10;IQACO+5R3wAAAAoBAAAPAAAAZHJzL2Rvd25yZXYueG1sTI9NT8MwDIbvSPyHyEjcWLqvjJamEwLt&#10;goRExy7cssa0FY1TNVlb/j3mBEfbrx4/b76fXSdGHELrScNykYBAqrxtqdZwej/c3YMI0ZA1nSfU&#10;8I0B9sX1VW4y6ycqcTzGWjCEQmY0NDH2mZShatCZsPA9Et8+/eBM5HGopR3MxHDXyVWSKOlMS/yh&#10;MT0+NVh9HS+OKenzyxxfd28+dOVhGt3HaVf2Wt/ezI8PICLO8S8Mv/qsDgU7nf2FbBCdhvVyzUkN&#10;2026AsGBjVIKxJk36VaBLHL5v0LxAwAA//8DAFBLAQItABQABgAIAAAAIQC2gziS/gAAAOEBAAAT&#10;AAAAAAAAAAAAAAAAAAAAAABbQ29udGVudF9UeXBlc10ueG1sUEsBAi0AFAAGAAgAAAAhADj9If/W&#10;AAAAlAEAAAsAAAAAAAAAAAAAAAAALwEAAF9yZWxzLy5yZWxzUEsBAi0AFAAGAAgAAAAhAJYEcjqA&#10;AgAAZAUAAA4AAAAAAAAAAAAAAAAALgIAAGRycy9lMm9Eb2MueG1sUEsBAi0AFAAGAAgAAAAhAAI7&#10;7lHfAAAACgEAAA8AAAAAAAAAAAAAAAAA2gQAAGRycy9kb3ducmV2LnhtbFBLBQYAAAAABAAEAPMA&#10;AADmBQAAAAA=&#10;" filled="f" stroked="f" strokeweight=".5pt">
                <v:textbox inset=",0,,0">
                  <w:txbxContent>
                    <w:p w14:paraId="74C810E8" w14:textId="77777777" w:rsidR="007C0AF1" w:rsidRPr="00CD1045" w:rsidRDefault="007C0AF1" w:rsidP="001A0A10">
                      <w:pPr>
                        <w:rPr>
                          <w:b/>
                          <w:bCs/>
                          <w:color w:val="404142" w:themeColor="accent3" w:themeShade="80"/>
                        </w:rPr>
                      </w:pPr>
                      <w:r w:rsidRPr="00CD1045">
                        <w:rPr>
                          <w:b/>
                          <w:bCs/>
                          <w:i/>
                          <w:iCs/>
                          <w:color w:val="404142" w:themeColor="accent3" w:themeShade="80"/>
                        </w:rPr>
                        <w:t>Source: Department of Internal Affairs</w:t>
                      </w:r>
                    </w:p>
                  </w:txbxContent>
                </v:textbox>
              </v:shape>
            </w:pict>
          </mc:Fallback>
        </mc:AlternateContent>
      </w:r>
      <w:r w:rsidRPr="008E7BAC">
        <w:rPr>
          <w:noProof/>
          <w:lang w:eastAsia="en-NZ"/>
        </w:rPr>
        <w:drawing>
          <wp:inline distT="0" distB="0" distL="0" distR="0" wp14:anchorId="136BC46D" wp14:editId="707A7B30">
            <wp:extent cx="4912360" cy="2961640"/>
            <wp:effectExtent l="438150" t="438150" r="440690" b="4292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12360" cy="2961640"/>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03C3A587" w14:textId="233BE10E" w:rsidR="001A0A10" w:rsidRDefault="001A0A10" w:rsidP="00525E6A">
      <w:pPr>
        <w:pStyle w:val="Heading3"/>
        <w:spacing w:before="360"/>
      </w:pPr>
      <w:r>
        <w:t>Impact of population size</w:t>
      </w:r>
      <w:r w:rsidR="006C2D9B">
        <w:t xml:space="preserve"> and household income</w:t>
      </w:r>
    </w:p>
    <w:p w14:paraId="487F79AD" w14:textId="57B6B824" w:rsidR="00B2760D" w:rsidRDefault="00B2760D" w:rsidP="004A372C">
      <w:pPr>
        <w:pStyle w:val="ListParagraph"/>
      </w:pPr>
      <w:r>
        <w:t>We also considered whether average household income or population size had any bearing on the level of</w:t>
      </w:r>
      <w:r w:rsidR="00525E6A">
        <w:t xml:space="preserve"> debt carried by councils.</w:t>
      </w:r>
    </w:p>
    <w:p w14:paraId="3DBD5392" w14:textId="2856A7B4" w:rsidR="006C2D9B" w:rsidRPr="00B2760D" w:rsidRDefault="00B2760D" w:rsidP="004A372C">
      <w:pPr>
        <w:pStyle w:val="ListParagraph"/>
      </w:pPr>
      <w:r w:rsidRPr="00B2760D">
        <w:t>Our analysis found that large populations typically have a much higher debt to revenue ratio than those with small populations. The average debt to revenue ratio across high population councils is 144%, while the average debt to revenue ratio for low population councils was only 35.6%</w:t>
      </w:r>
      <w:r w:rsidR="0025197A">
        <w:t>.</w:t>
      </w:r>
    </w:p>
    <w:p w14:paraId="03B1E19F" w14:textId="77777777" w:rsidR="001A0A10" w:rsidRPr="00B2760D" w:rsidRDefault="001A0A10" w:rsidP="004A372C">
      <w:pPr>
        <w:pStyle w:val="ListParagraph"/>
      </w:pPr>
      <w:r w:rsidRPr="00B2760D">
        <w:t>Councils with a large number of ratepayers could be expected to carry comparatively higher levels of debt for a number of reasons:</w:t>
      </w:r>
    </w:p>
    <w:p w14:paraId="5A293F5E" w14:textId="17C313C6" w:rsidR="001A0A10" w:rsidRPr="00B2760D" w:rsidRDefault="001A0A10" w:rsidP="009D38AF">
      <w:pPr>
        <w:pStyle w:val="Bulletpoint"/>
      </w:pPr>
      <w:r w:rsidRPr="00B2760D">
        <w:t>They are more likely to hold a high credit rating, and are therefore able to access cheaper debt financing</w:t>
      </w:r>
      <w:r w:rsidR="00525E6A">
        <w:t>.</w:t>
      </w:r>
    </w:p>
    <w:p w14:paraId="7B70D23C" w14:textId="31DA4C7A" w:rsidR="001A0A10" w:rsidRPr="00B2760D" w:rsidRDefault="001A0A10" w:rsidP="009D38AF">
      <w:pPr>
        <w:pStyle w:val="Bulletpoint"/>
      </w:pPr>
      <w:r w:rsidRPr="00B2760D">
        <w:t>They have potentially higher level of service expectations from their communities, meaning capital investment in assets that are traditionally debt funded is likely to be higher</w:t>
      </w:r>
      <w:r w:rsidR="00525E6A">
        <w:t>.</w:t>
      </w:r>
    </w:p>
    <w:p w14:paraId="6023F942" w14:textId="70C93B2B" w:rsidR="00B2760D" w:rsidRPr="00B2760D" w:rsidRDefault="00B2760D" w:rsidP="004A372C">
      <w:pPr>
        <w:pStyle w:val="ListParagraph"/>
      </w:pPr>
      <w:r w:rsidRPr="00B2760D">
        <w:t>While the analysis also showed a difference in debt levels between high income (average 89.9%) and low income (average 59.7%) communities, this difference is likely to be due to the nexus between household income, growth and population (that is, councils with lower income communities typically have smaller populations and experience lower levels of growth).</w:t>
      </w:r>
    </w:p>
    <w:p w14:paraId="184DE7B5" w14:textId="404479A1" w:rsidR="006C2D9B" w:rsidRPr="008D716F" w:rsidRDefault="006C2D9B" w:rsidP="00C83F07">
      <w:pPr>
        <w:pStyle w:val="Heading3"/>
      </w:pPr>
      <w:r w:rsidRPr="008D716F">
        <w:t>Section summary</w:t>
      </w:r>
    </w:p>
    <w:p w14:paraId="7C1F712A" w14:textId="7FBFC67D" w:rsidR="00592AD7" w:rsidRDefault="00592AD7" w:rsidP="004A372C">
      <w:pPr>
        <w:pStyle w:val="ListParagraph"/>
      </w:pPr>
      <w:r>
        <w:t>Debt is used by councils to spread the full cost of investing in infrastructure over a long period of time, thereby minimising the immediate impact to rates, and attributing costs of new infrastructure to the ratepayers that will benefit from it (i.e. future ratepayers). Typically debt is used to fund investment in assets required to service growth or provide increased levels of service, though councils</w:t>
      </w:r>
      <w:r w:rsidR="00525E6A">
        <w:t>’</w:t>
      </w:r>
      <w:r>
        <w:t xml:space="preserve"> approaches vary.</w:t>
      </w:r>
    </w:p>
    <w:p w14:paraId="49607219" w14:textId="7EE65F7D" w:rsidR="00592AD7" w:rsidRDefault="00592AD7" w:rsidP="004A372C">
      <w:pPr>
        <w:pStyle w:val="ListParagraph"/>
      </w:pPr>
      <w:r>
        <w:t xml:space="preserve">Debt can be a legitimate way of paying for asset investment for a council, however limits are placed on how much a council can borrow. These limits are typically in place to ensure that a council has the capability to meet future debt servicing costs, and that it is able to maintain a high credit rating to access </w:t>
      </w:r>
      <w:r w:rsidR="00525E6A">
        <w:t>‘</w:t>
      </w:r>
      <w:r>
        <w:t>cheap</w:t>
      </w:r>
      <w:r w:rsidR="00525E6A">
        <w:t>’</w:t>
      </w:r>
      <w:r>
        <w:t xml:space="preserve"> debt.</w:t>
      </w:r>
    </w:p>
    <w:p w14:paraId="5A2D26CA" w14:textId="74E4E564" w:rsidR="00592AD7" w:rsidRDefault="008D716F" w:rsidP="004A372C">
      <w:pPr>
        <w:pStyle w:val="ListParagraph"/>
      </w:pPr>
      <w:r>
        <w:t xml:space="preserve">Our </w:t>
      </w:r>
      <w:r w:rsidRPr="00995E62">
        <w:t>analysis</w:t>
      </w:r>
      <w:r>
        <w:t xml:space="preserve"> of the debt to revenue ratios of New Zealand councils found that:</w:t>
      </w:r>
    </w:p>
    <w:p w14:paraId="3A274851" w14:textId="77777777" w:rsidR="00CC1C38" w:rsidRDefault="00CC1C38" w:rsidP="00CC1C38">
      <w:pPr>
        <w:pStyle w:val="Bulletpoint"/>
      </w:pPr>
      <w:r>
        <w:t xml:space="preserve">local </w:t>
      </w:r>
      <w:r w:rsidRPr="008D716F">
        <w:t>government</w:t>
      </w:r>
      <w:r>
        <w:t xml:space="preserve"> debt sits mainly in the right councils. That is high growth and high population councils carrying comparatively more debt than declining or small population councils</w:t>
      </w:r>
    </w:p>
    <w:p w14:paraId="1073CD10" w14:textId="000B70B5" w:rsidR="007A170A" w:rsidRDefault="00525E6A" w:rsidP="009D38AF">
      <w:pPr>
        <w:pStyle w:val="Bulletpoint"/>
      </w:pPr>
      <w:r>
        <w:t>g</w:t>
      </w:r>
      <w:r w:rsidR="007A170A">
        <w:t>rowth councils are carrying high levels of debt and this is projected to increase further. This may constrain their ability to borrow more or may impact their abilit</w:t>
      </w:r>
      <w:r>
        <w:t>y to deal with financial shocks</w:t>
      </w:r>
    </w:p>
    <w:p w14:paraId="0D1589F3" w14:textId="78F252CD" w:rsidR="007A170A" w:rsidRPr="001D608A" w:rsidRDefault="00525E6A" w:rsidP="009D38AF">
      <w:pPr>
        <w:pStyle w:val="Bulletpoint"/>
      </w:pPr>
      <w:r>
        <w:t>t</w:t>
      </w:r>
      <w:r w:rsidR="007A170A">
        <w:t>he reduced ability for small or declining population communities to service debt repayments and operating expenditure on new major infrastructure may be constraining their ability to invest in expensive but much needed infrastructure.</w:t>
      </w:r>
    </w:p>
    <w:p w14:paraId="00A08EA9" w14:textId="77777777" w:rsidR="006C2D9B" w:rsidRPr="006C2D9B" w:rsidRDefault="006C2D9B" w:rsidP="006C2D9B">
      <w:pPr>
        <w:pStyle w:val="Body"/>
        <w:rPr>
          <w:highlight w:val="yellow"/>
        </w:rPr>
      </w:pPr>
    </w:p>
    <w:p w14:paraId="4B58F38F" w14:textId="77777777" w:rsidR="001A0A10" w:rsidRDefault="001A0A10" w:rsidP="001A0A10">
      <w:pPr>
        <w:spacing w:before="200" w:after="200" w:line="276" w:lineRule="auto"/>
        <w:rPr>
          <w:rFonts w:asciiTheme="minorHAnsi" w:hAnsiTheme="minorHAnsi"/>
          <w:color w:val="404142" w:themeColor="accent3" w:themeShade="80"/>
          <w:szCs w:val="28"/>
        </w:rPr>
      </w:pPr>
      <w:r>
        <w:rPr>
          <w:rFonts w:asciiTheme="minorHAnsi" w:hAnsiTheme="minorHAnsi"/>
          <w:color w:val="404142" w:themeColor="accent3" w:themeShade="80"/>
          <w:szCs w:val="28"/>
        </w:rPr>
        <w:br w:type="page"/>
      </w:r>
    </w:p>
    <w:p w14:paraId="718B07AB" w14:textId="1ADD4CC0" w:rsidR="000F20C3" w:rsidRDefault="006C2D9B" w:rsidP="000F20C3">
      <w:pPr>
        <w:pStyle w:val="Heading1"/>
      </w:pPr>
      <w:bookmarkStart w:id="71" w:name="_Toc520703185"/>
      <w:r>
        <w:t xml:space="preserve">Other </w:t>
      </w:r>
      <w:r w:rsidR="00316A3D">
        <w:t>Issues Creating Cost Pressur</w:t>
      </w:r>
      <w:r>
        <w:t>es</w:t>
      </w:r>
      <w:bookmarkEnd w:id="71"/>
    </w:p>
    <w:p w14:paraId="4D3A0277" w14:textId="457D7489" w:rsidR="006C2D9B" w:rsidRPr="006C2D9B" w:rsidRDefault="006C2D9B" w:rsidP="006C2D9B">
      <w:pPr>
        <w:pStyle w:val="Heading2"/>
      </w:pPr>
      <w:bookmarkStart w:id="72" w:name="_Toc520703186"/>
      <w:r>
        <w:t>Population and demographic changes</w:t>
      </w:r>
      <w:bookmarkEnd w:id="72"/>
    </w:p>
    <w:p w14:paraId="3E058B8C" w14:textId="77777777" w:rsidR="000F20C3" w:rsidRPr="00A6118A" w:rsidRDefault="000F20C3" w:rsidP="004A372C">
      <w:pPr>
        <w:pStyle w:val="ListParagraph"/>
      </w:pPr>
      <w:r w:rsidRPr="00A6118A">
        <w:t>Addressing changing populations and demographics presents a major challenge for many New Zealand councils. The challenges faced by high growth councils are well known and heavily publicised nationally, however aging and declining populations (which often go hand in hand) are equally challenging for councils to deal with.</w:t>
      </w:r>
    </w:p>
    <w:p w14:paraId="75C755A5" w14:textId="5B845492" w:rsidR="000F20C3" w:rsidRPr="00A6118A" w:rsidRDefault="000F20C3" w:rsidP="004A372C">
      <w:pPr>
        <w:pStyle w:val="ListParagraph"/>
      </w:pPr>
      <w:r w:rsidRPr="00A6118A">
        <w:t xml:space="preserve">Because the issues facing each group of councils are different, we discuss the matters of growth, decline and an aging population separately below. </w:t>
      </w:r>
      <w:r w:rsidR="00891F1B">
        <w:t>W</w:t>
      </w:r>
      <w:r w:rsidRPr="00A6118A">
        <w:t>e note that some councils are facing all three of these challenges over the long term, and planning for that is difficult.</w:t>
      </w:r>
    </w:p>
    <w:p w14:paraId="1CD42C94" w14:textId="77777777" w:rsidR="000F20C3" w:rsidRPr="00AA74DC" w:rsidRDefault="000F20C3" w:rsidP="006C2D9B">
      <w:pPr>
        <w:pStyle w:val="Heading3"/>
      </w:pPr>
      <w:r w:rsidRPr="00AA74DC">
        <w:t>Population growth</w:t>
      </w:r>
    </w:p>
    <w:p w14:paraId="6398FF88" w14:textId="7DB20CAD" w:rsidR="000F20C3" w:rsidRPr="00AA74DC" w:rsidRDefault="000F20C3" w:rsidP="004A372C">
      <w:pPr>
        <w:pStyle w:val="ListParagraph"/>
      </w:pPr>
      <w:r w:rsidRPr="00AA74DC">
        <w:t>The issues facing high growth councils primarily relate to the need to increase land supply and install the necessary infrastructure to service that land. In particular, high growth councils must deal with:</w:t>
      </w:r>
    </w:p>
    <w:p w14:paraId="7F8FF445" w14:textId="77777777" w:rsidR="000F20C3" w:rsidRPr="008E2777" w:rsidRDefault="000F20C3" w:rsidP="009D38AF">
      <w:pPr>
        <w:pStyle w:val="Bulletpoint"/>
      </w:pPr>
      <w:r w:rsidRPr="008E2777">
        <w:t>a reduction in the available land for greenfield development within their area, and where that land is available, significant cost to connect it to existing roading and three waters networks</w:t>
      </w:r>
    </w:p>
    <w:p w14:paraId="509B0289" w14:textId="77777777" w:rsidR="000F20C3" w:rsidRPr="008E2777" w:rsidRDefault="000F20C3" w:rsidP="009D38AF">
      <w:pPr>
        <w:pStyle w:val="Bulletpoint"/>
      </w:pPr>
      <w:r w:rsidRPr="008E2777">
        <w:t>requirements imposed by the National Policy Statement – Urban Development Capacity</w:t>
      </w:r>
    </w:p>
    <w:p w14:paraId="65BD2B31" w14:textId="77777777" w:rsidR="000F20C3" w:rsidRPr="008E2777" w:rsidRDefault="000F20C3" w:rsidP="009D38AF">
      <w:pPr>
        <w:pStyle w:val="Bulletpoint"/>
      </w:pPr>
      <w:r w:rsidRPr="008E2777">
        <w:t>the inability to collect development contributions for the full cost of infrastructure which is required because of growth</w:t>
      </w:r>
    </w:p>
    <w:p w14:paraId="134B6F9F" w14:textId="77777777" w:rsidR="000F20C3" w:rsidRPr="008E2777" w:rsidRDefault="000F20C3" w:rsidP="009D38AF">
      <w:pPr>
        <w:pStyle w:val="Bulletpoint"/>
      </w:pPr>
      <w:r w:rsidRPr="008E2777">
        <w:t>increased level of service expectations from communities</w:t>
      </w:r>
    </w:p>
    <w:p w14:paraId="5005CFD2" w14:textId="6E0AFAB2" w:rsidR="000F20C3" w:rsidRPr="008E2777" w:rsidRDefault="000F20C3" w:rsidP="00D04B21">
      <w:pPr>
        <w:pStyle w:val="Bulletpoint"/>
      </w:pPr>
      <w:r w:rsidRPr="008E2777">
        <w:t xml:space="preserve">the need to finance the cost </w:t>
      </w:r>
      <w:r w:rsidR="00D04B21">
        <w:t xml:space="preserve">of </w:t>
      </w:r>
      <w:r w:rsidRPr="008E2777">
        <w:t>installing growth infrastructure in advance of the growth occurring, and development contributions being received.</w:t>
      </w:r>
    </w:p>
    <w:p w14:paraId="0A0299D0" w14:textId="77777777" w:rsidR="000F20C3" w:rsidRPr="00AA74DC" w:rsidRDefault="000F20C3" w:rsidP="004A372C">
      <w:pPr>
        <w:pStyle w:val="ListParagraph"/>
      </w:pPr>
      <w:r w:rsidRPr="00AA74DC">
        <w:t>These issues mean that most high growth councils carry high levels of debt which will only be repaid from development contributions over a number of years.</w:t>
      </w:r>
    </w:p>
    <w:p w14:paraId="76EBBFA2" w14:textId="2B8401F5" w:rsidR="00490474" w:rsidRPr="000F20C3" w:rsidRDefault="000F20C3" w:rsidP="004A372C">
      <w:pPr>
        <w:pStyle w:val="ListParagraph"/>
      </w:pPr>
      <w:r w:rsidRPr="000F20C3">
        <w:t xml:space="preserve">The development contributions regime, and surrounding case law, means that councils are rarely, if ever, able to collect development contributions for the full cost </w:t>
      </w:r>
      <w:r w:rsidR="00891F1B">
        <w:t>o</w:t>
      </w:r>
      <w:r w:rsidRPr="000F20C3">
        <w:t>f investing in infra</w:t>
      </w:r>
      <w:r w:rsidR="007A32E3">
        <w:t>structure required for growth.</w:t>
      </w:r>
    </w:p>
    <w:p w14:paraId="383A7BC6" w14:textId="561FD526" w:rsidR="00490474" w:rsidRPr="00762E28" w:rsidRDefault="00490474" w:rsidP="004A372C">
      <w:pPr>
        <w:pStyle w:val="ListParagraph"/>
      </w:pPr>
      <w:r w:rsidRPr="00762E28">
        <w:t>One potential cause of rates increases, particularly for growth councils</w:t>
      </w:r>
      <w:r w:rsidR="00891F1B">
        <w:t>,</w:t>
      </w:r>
      <w:r w:rsidRPr="00762E28">
        <w:t xml:space="preserve"> could</w:t>
      </w:r>
      <w:r w:rsidR="00891F1B">
        <w:t xml:space="preserve"> be</w:t>
      </w:r>
      <w:r w:rsidRPr="00762E28">
        <w:t xml:space="preserve"> an increasing differential between the costs of investing in growth infrastructure and the amounts received from development contributions. This is because any costs that are not funded from development contributions will have to be </w:t>
      </w:r>
      <w:r w:rsidR="007A32E3">
        <w:t>funded from rates (over time).</w:t>
      </w:r>
    </w:p>
    <w:p w14:paraId="2574F70E" w14:textId="7EAD441F" w:rsidR="00490474" w:rsidRPr="00762E28" w:rsidRDefault="00490474" w:rsidP="004A372C">
      <w:pPr>
        <w:pStyle w:val="ListParagraph"/>
      </w:pPr>
      <w:r w:rsidRPr="00762E28">
        <w:t>What is important when considering whether this is a relevant factor when considering the quantum of rates rises above inflation is not the size of the gap but</w:t>
      </w:r>
      <w:r w:rsidR="007A32E3">
        <w:t xml:space="preserve"> whether the gap is increasing.</w:t>
      </w:r>
    </w:p>
    <w:p w14:paraId="2F48E1FC" w14:textId="19D7490E" w:rsidR="00490474" w:rsidRPr="00762E28" w:rsidRDefault="00762E28" w:rsidP="004A372C">
      <w:pPr>
        <w:pStyle w:val="ListParagraph"/>
      </w:pPr>
      <w:r w:rsidRPr="00762E28">
        <w:t>Analysis</w:t>
      </w:r>
      <w:r w:rsidR="00490474" w:rsidRPr="00762E28">
        <w:t xml:space="preserve"> of 2015</w:t>
      </w:r>
      <w:r w:rsidR="00465FBD" w:rsidRPr="00762E28">
        <w:t xml:space="preserve"> Long Term Pla</w:t>
      </w:r>
      <w:r w:rsidR="00490474" w:rsidRPr="00762E28">
        <w:t xml:space="preserve">n data suggests that the gap is effectively unchanged over the </w:t>
      </w:r>
      <w:r w:rsidRPr="00762E28">
        <w:t xml:space="preserve">life of the </w:t>
      </w:r>
      <w:r w:rsidR="00465FBD">
        <w:t>Long Term Plan</w:t>
      </w:r>
      <w:r w:rsidR="00C74548">
        <w:t>s</w:t>
      </w:r>
      <w:r w:rsidRPr="00762E28">
        <w:t>, with only a very small decrease in the average percentage of growth capital expenditure funded</w:t>
      </w:r>
      <w:r w:rsidR="007A32E3">
        <w:t xml:space="preserve"> by development contributions.</w:t>
      </w:r>
    </w:p>
    <w:p w14:paraId="6EC90BC4" w14:textId="77777777" w:rsidR="00331531" w:rsidRDefault="00331531">
      <w:pPr>
        <w:spacing w:before="200" w:after="200" w:line="276" w:lineRule="auto"/>
        <w:rPr>
          <w:rFonts w:asciiTheme="minorHAnsi" w:hAnsiTheme="minorHAnsi"/>
          <w:b/>
          <w:color w:val="404142" w:themeColor="accent3" w:themeShade="80"/>
          <w:szCs w:val="28"/>
        </w:rPr>
      </w:pPr>
      <w:r>
        <w:br w:type="page"/>
      </w:r>
    </w:p>
    <w:p w14:paraId="7914E104" w14:textId="463E50A6" w:rsidR="00762E28" w:rsidRPr="00762E28" w:rsidRDefault="00762E28" w:rsidP="001567EB">
      <w:pPr>
        <w:pStyle w:val="Caption"/>
      </w:pPr>
      <w:bookmarkStart w:id="73" w:name="_Toc520900285"/>
      <w:r w:rsidRPr="00762E28">
        <w:t xml:space="preserve">Figure </w:t>
      </w:r>
      <w:r w:rsidRPr="00762E28">
        <w:fldChar w:fldCharType="begin"/>
      </w:r>
      <w:r w:rsidRPr="00762E28">
        <w:instrText xml:space="preserve"> SEQ Figure \* ARABIC </w:instrText>
      </w:r>
      <w:r w:rsidRPr="00762E28">
        <w:fldChar w:fldCharType="separate"/>
      </w:r>
      <w:r w:rsidR="00A00D18">
        <w:rPr>
          <w:noProof/>
        </w:rPr>
        <w:t>31</w:t>
      </w:r>
      <w:r w:rsidRPr="00762E28">
        <w:fldChar w:fldCharType="end"/>
      </w:r>
      <w:r w:rsidRPr="00762E28">
        <w:tab/>
        <w:t>Forecast percentage of growth capital expenditure funded by development contributions</w:t>
      </w:r>
      <w:r w:rsidR="00AB24CB">
        <w:rPr>
          <w:rStyle w:val="FootnoteReference"/>
        </w:rPr>
        <w:footnoteReference w:id="10"/>
      </w:r>
      <w:bookmarkEnd w:id="73"/>
    </w:p>
    <w:p w14:paraId="3172E99D" w14:textId="0D999295" w:rsidR="00490474" w:rsidRPr="00762E28" w:rsidRDefault="00AB24CB" w:rsidP="001567EB">
      <w:pPr>
        <w:pStyle w:val="Caption"/>
      </w:pPr>
      <w:r>
        <w:rPr>
          <w:noProof/>
          <w:lang w:eastAsia="en-NZ"/>
        </w:rPr>
        <w:drawing>
          <wp:inline distT="0" distB="0" distL="0" distR="0" wp14:anchorId="57991919" wp14:editId="25D4DF4B">
            <wp:extent cx="6152827" cy="3921071"/>
            <wp:effectExtent l="0" t="0" r="19685" b="2286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78F3F8" w14:textId="44AEA807" w:rsidR="00490474" w:rsidRPr="00762E28" w:rsidRDefault="00762E28" w:rsidP="004A372C">
      <w:pPr>
        <w:pStyle w:val="ListParagraph"/>
      </w:pPr>
      <w:r w:rsidRPr="00762E28">
        <w:t>Further analysis, considering only high and medium growth councils yields similar results, showing a slight increase in the average percentage of growth capital expenditure funded by development contributions.</w:t>
      </w:r>
    </w:p>
    <w:p w14:paraId="52705FFC" w14:textId="075C908F" w:rsidR="00AA74DC" w:rsidRDefault="00762E28" w:rsidP="009677BC">
      <w:pPr>
        <w:pStyle w:val="ListParagraph"/>
      </w:pPr>
      <w:r w:rsidRPr="00762E28">
        <w:t>This would indicate that the ability to recover growth costs from developers does not appear to have a direct impact on year on year rates increases or pre-inflation rates rises.</w:t>
      </w:r>
      <w:r>
        <w:t xml:space="preserve"> </w:t>
      </w:r>
      <w:r w:rsidR="004457D7">
        <w:t>It is w</w:t>
      </w:r>
      <w:r>
        <w:t xml:space="preserve">orth noting however that this analysis does not consider the impact of the National Policy Statement on Urban Development Capacity, which will have decreased the percentage of growth costs recovered from development contributions for high growth councils. This is likely to be a contributing factor for rates </w:t>
      </w:r>
      <w:r w:rsidR="009677BC">
        <w:t xml:space="preserve">rises </w:t>
      </w:r>
      <w:r>
        <w:t xml:space="preserve">in the first year or two of the 2018 </w:t>
      </w:r>
      <w:r w:rsidR="00465FBD">
        <w:t>Long Term Pla</w:t>
      </w:r>
      <w:r w:rsidR="0025197A">
        <w:t>n</w:t>
      </w:r>
      <w:r w:rsidR="00C74548">
        <w:t>s</w:t>
      </w:r>
      <w:r>
        <w:t xml:space="preserve"> for high growth councils.</w:t>
      </w:r>
    </w:p>
    <w:p w14:paraId="39EEAC55" w14:textId="1E40EEAB" w:rsidR="00EA0C78" w:rsidRPr="00AA74DC" w:rsidRDefault="000F20C3" w:rsidP="004A372C">
      <w:pPr>
        <w:pStyle w:val="ListParagraph"/>
      </w:pPr>
      <w:r>
        <w:t>I</w:t>
      </w:r>
      <w:r w:rsidR="00EA0C78" w:rsidRPr="00AA74DC">
        <w:t>ncreases in the levels of debt limit the ability for a council to borrow further for level of service assets or for the investment in community facilities which are not funded from development contributions. While the Housing Infrastructure Fund</w:t>
      </w:r>
      <w:r w:rsidR="00891F1B">
        <w:t xml:space="preserve"> (HIF)</w:t>
      </w:r>
      <w:r w:rsidR="00EA0C78" w:rsidRPr="00AA74DC">
        <w:t xml:space="preserve"> provided some relief from the financing costs associated with this debt, it has had a limited impact as the debt remains on a council’s balance sheet. Further, interest savings from the HIF fund are effectively passed on to developers who would otherwise have paid a finance cost component when the development contributions were calculated. This may or may not flow through to purchasers.</w:t>
      </w:r>
    </w:p>
    <w:p w14:paraId="761D91FE" w14:textId="77777777" w:rsidR="0025197A" w:rsidRDefault="0025197A">
      <w:pPr>
        <w:spacing w:before="200" w:after="200" w:line="276" w:lineRule="auto"/>
        <w:rPr>
          <w:rFonts w:eastAsia="Times New Roman" w:cs="Times New Roman"/>
          <w:color w:val="404142" w:themeColor="accent3" w:themeShade="80"/>
          <w:lang w:val="en-AU"/>
        </w:rPr>
      </w:pPr>
      <w:r>
        <w:br w:type="page"/>
      </w:r>
    </w:p>
    <w:p w14:paraId="1456174B" w14:textId="6AAC7BFD" w:rsidR="00EA0C78" w:rsidRPr="00AA74DC" w:rsidRDefault="00EA0C78" w:rsidP="004A372C">
      <w:pPr>
        <w:pStyle w:val="ListParagraph"/>
      </w:pPr>
      <w:r w:rsidRPr="00AA74DC">
        <w:t>High growth councils are looking to alleviate this burden by:</w:t>
      </w:r>
    </w:p>
    <w:p w14:paraId="45C846A0" w14:textId="77777777" w:rsidR="00EA0C78" w:rsidRPr="008E2777" w:rsidRDefault="00EA0C78" w:rsidP="009D38AF">
      <w:pPr>
        <w:pStyle w:val="Bulletpoint"/>
      </w:pPr>
      <w:r w:rsidRPr="00AA74DC">
        <w:t>r</w:t>
      </w:r>
      <w:r w:rsidRPr="008E2777">
        <w:t>eviewing development contributions policies to attempt to collect a higher proportion of growth costs from developers</w:t>
      </w:r>
    </w:p>
    <w:p w14:paraId="2F4A52AD" w14:textId="6ADC9721" w:rsidR="00EA0C78" w:rsidRPr="00AA74DC" w:rsidRDefault="00EA0C78" w:rsidP="009D38AF">
      <w:pPr>
        <w:pStyle w:val="Bulletpoint"/>
      </w:pPr>
      <w:r w:rsidRPr="008E2777">
        <w:t>seeking alternative funding mechanisms, such as the Crown Infrastructure Partners model, which may shift costs ‘of</w:t>
      </w:r>
      <w:r w:rsidRPr="00AA74DC">
        <w:t>f balance sheet’</w:t>
      </w:r>
    </w:p>
    <w:p w14:paraId="51527590" w14:textId="31D53F03" w:rsidR="00EA0C78" w:rsidRPr="008E2777" w:rsidRDefault="00EA0C78" w:rsidP="009D38AF">
      <w:pPr>
        <w:pStyle w:val="Bulletpoint"/>
      </w:pPr>
      <w:r w:rsidRPr="00AA74DC">
        <w:t>looking forward to proposed changes to the development contributions regime to allow councils to resu</w:t>
      </w:r>
      <w:r w:rsidRPr="008E2777">
        <w:t>me collecting development contributions for the construction of community assets</w:t>
      </w:r>
    </w:p>
    <w:p w14:paraId="6374F06C" w14:textId="77777777" w:rsidR="00EA0C78" w:rsidRPr="00AA74DC" w:rsidRDefault="00EA0C78" w:rsidP="009D38AF">
      <w:pPr>
        <w:pStyle w:val="Bulletpoint"/>
      </w:pPr>
      <w:r w:rsidRPr="008E2777">
        <w:t>looking in</w:t>
      </w:r>
      <w:r w:rsidRPr="00AA74DC">
        <w:t>to partnerships with other organisations or councils to deliver shared infrastructure.</w:t>
      </w:r>
    </w:p>
    <w:p w14:paraId="18385AA5" w14:textId="77777777" w:rsidR="00EA0C78" w:rsidRPr="00AA74DC" w:rsidRDefault="00EA0C78" w:rsidP="004A372C">
      <w:pPr>
        <w:pStyle w:val="ListParagraph"/>
      </w:pPr>
      <w:r w:rsidRPr="00AA74DC">
        <w:t>Due to the need to carry debt to fund growth infrastructure, high growth councils also carry a substantial amount of risk that is tied to external factors such as immigration, internal migration and the local and global economy. Changes in interest rates or downturns in the level of growth can have major impacts on a council’s financial sustainability.</w:t>
      </w:r>
    </w:p>
    <w:p w14:paraId="44FA25A3" w14:textId="24B2BEF1" w:rsidR="00EA0C78" w:rsidRPr="00AA74DC" w:rsidRDefault="00EA0C78" w:rsidP="004A372C">
      <w:pPr>
        <w:pStyle w:val="ListParagraph"/>
      </w:pPr>
      <w:r w:rsidRPr="00AA74DC">
        <w:t>As growth councils look to reduce debt and service increasing interest costs they are likely to require larger rates rises than they may have previously anticipated</w:t>
      </w:r>
      <w:r w:rsidR="00267907" w:rsidRPr="00AA74DC">
        <w:t xml:space="preserve"> as demonstrated in the following analysis provided by the Department of Internal Affairs</w:t>
      </w:r>
      <w:r w:rsidRPr="00AA74DC">
        <w:t>.</w:t>
      </w:r>
    </w:p>
    <w:p w14:paraId="70128BCF" w14:textId="79E627B3" w:rsidR="00EA0C78" w:rsidRDefault="00EA0C78" w:rsidP="0003617E">
      <w:pPr>
        <w:pStyle w:val="Caption"/>
      </w:pPr>
      <w:bookmarkStart w:id="74" w:name="_Toc520900286"/>
      <w:r w:rsidRPr="00AA74DC">
        <w:t xml:space="preserve">Figure </w:t>
      </w:r>
      <w:r w:rsidR="00762E28">
        <w:fldChar w:fldCharType="begin"/>
      </w:r>
      <w:r w:rsidR="00762E28">
        <w:instrText xml:space="preserve"> SEQ Figure \* ARABIC </w:instrText>
      </w:r>
      <w:r w:rsidR="00762E28">
        <w:fldChar w:fldCharType="separate"/>
      </w:r>
      <w:r w:rsidR="00A00D18">
        <w:rPr>
          <w:noProof/>
        </w:rPr>
        <w:t>32</w:t>
      </w:r>
      <w:r w:rsidR="00762E28">
        <w:fldChar w:fldCharType="end"/>
      </w:r>
      <w:r w:rsidRPr="00AA74DC">
        <w:tab/>
        <w:t>Annual increases in rates revenue for growth councils – comparison of 2015 and</w:t>
      </w:r>
      <w:r w:rsidR="008D716F">
        <w:t xml:space="preserve"> draft</w:t>
      </w:r>
      <w:r w:rsidRPr="00AA74DC">
        <w:t xml:space="preserve"> 2018 </w:t>
      </w:r>
      <w:r w:rsidR="0025197A">
        <w:t>long term pla</w:t>
      </w:r>
      <w:r w:rsidR="00C74548">
        <w:t>ns</w:t>
      </w:r>
      <w:bookmarkEnd w:id="74"/>
    </w:p>
    <w:p w14:paraId="3583B1EF" w14:textId="4FE1A3CC" w:rsidR="006C2D9B" w:rsidRPr="006C2D9B" w:rsidRDefault="00525E6A" w:rsidP="006C2D9B">
      <w:r>
        <w:rPr>
          <w:noProof/>
          <w:lang w:eastAsia="en-NZ"/>
        </w:rPr>
        <mc:AlternateContent>
          <mc:Choice Requires="wps">
            <w:drawing>
              <wp:anchor distT="0" distB="0" distL="114300" distR="114300" simplePos="0" relativeHeight="251644928" behindDoc="0" locked="0" layoutInCell="1" allowOverlap="1" wp14:anchorId="4F9FA174" wp14:editId="728707A6">
                <wp:simplePos x="0" y="0"/>
                <wp:positionH relativeFrom="column">
                  <wp:posOffset>271780</wp:posOffset>
                </wp:positionH>
                <wp:positionV relativeFrom="paragraph">
                  <wp:posOffset>3459437</wp:posOffset>
                </wp:positionV>
                <wp:extent cx="2764155" cy="33274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2764155"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98837" w14:textId="77777777" w:rsidR="007C0AF1" w:rsidRPr="002D6ED1" w:rsidRDefault="007C0AF1" w:rsidP="00331531">
                            <w:pPr>
                              <w:rPr>
                                <w:b/>
                                <w:bCs/>
                                <w:color w:val="404142" w:themeColor="accent3" w:themeShade="80"/>
                              </w:rPr>
                            </w:pPr>
                            <w:r w:rsidRPr="002D6ED1">
                              <w:rPr>
                                <w:b/>
                                <w:bCs/>
                                <w:i/>
                                <w:iCs/>
                                <w:color w:val="404142" w:themeColor="accent3" w:themeShade="80"/>
                              </w:rPr>
                              <w:t>Source: Department of Internal Affairs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0" type="#_x0000_t202" style="position:absolute;margin-left:21.4pt;margin-top:272.4pt;width:217.65pt;height:2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oLhAIAAGwFAAAOAAAAZHJzL2Uyb0RvYy54bWysVEtv2zAMvg/YfxB0X51nuwZ1iqxFhwHF&#10;WqwdelZkqTEmiZrExM5+/SjZToNulw672BL5keLjIy8uW2vYToVYgyv5+GTEmXISqto9l/z7482H&#10;j5xFFK4SBpwq+V5Ffrl8/+6i8Qs1gQ2YSgVGTlxcNL7kG0S/KIooN8qKeAJeOVJqCFYgXcNzUQXR&#10;kHdrislodFo0ECofQKoYSXrdKfky+9daSbzTOipkpuQUG+ZvyN91+hbLC7F4DsJvatmHIf4hCitq&#10;R48eXF0LFGwb6j9c2VoGiKDxRIItQOtaqpwDZTMevcrmYSO8yrlQcaI/lCn+P7fy6+4+sLoq+fk5&#10;Z05Y6tGjapF9gpaRiOrT+Lgg2IMnILYkpz4P8kjClHarg01/SoiRniq9P1Q3eZMknJydzsbzOWeS&#10;dNPp5GyWy1+8WPsQ8bMCy9Kh5IG6l4sqdrcRKRKCDpD0mIOb2pjcQeNYU/LT6XyUDQ4asjAuYVXm&#10;Qu8mZdRFnk+4NyphjPumNNUiJ5AEmYXqygS2E8QfIaVymHPPfgmdUJqCeIthj3+J6i3GXR7Dy+Dw&#10;YGxrByFn/yrs6scQsu7wVMijvNMR23WbSTCeDp1dQ7WnhgfoRiZ6eVNTV25FxHsRaEaoxzT3eEcf&#10;bYCqD/2Jsw2EX3+TJzxRl7ScNTRzJY8/tyIozswXR6Q+H8+IEwzzZTY/m9AlHGvWxxq3tVdAbRnT&#10;hvEyHxMezXDUAewTrYdVepVUwkl6u+Q4HK+w2wS0XqRarTKIxtILvHUPXibXqUuJc4/tkwi+JyYS&#10;pb/CMJ1i8YqfHTZZOlhtEXSdyZsK3VW1bwCNdOZ0v37Szji+Z9TLklz+BgAA//8DAFBLAwQUAAYA&#10;CAAAACEANXGN8eIAAAAKAQAADwAAAGRycy9kb3ducmV2LnhtbEyPQU/DMAyF70j8h8hI3Fi6qmOl&#10;NJ2mShMSGoeNXbi5TdZWNE5psq3s12NOcLOfn977nK8m24uzGX3nSMF8FoEwVDvdUaPg8L55SEH4&#10;gKSxd2QUfBsPq+L2JsdMuwvtzHkfGsEh5DNU0IYwZFL6ujUW/cwNhvh2dKPFwOvYSD3ihcNtL+Mo&#10;epQWO+KGFgdTtqb+3J+sgtdy84a7KrbptS9ftsf18HX4WCh1fzetn0EEM4U/M/ziMzoUzFS5E2kv&#10;egVJzORBwSJJeGBDskznICpWnpYxyCKX/18ofgAAAP//AwBQSwECLQAUAAYACAAAACEAtoM4kv4A&#10;AADhAQAAEwAAAAAAAAAAAAAAAAAAAAAAW0NvbnRlbnRfVHlwZXNdLnhtbFBLAQItABQABgAIAAAA&#10;IQA4/SH/1gAAAJQBAAALAAAAAAAAAAAAAAAAAC8BAABfcmVscy8ucmVsc1BLAQItABQABgAIAAAA&#10;IQCc3ToLhAIAAGwFAAAOAAAAAAAAAAAAAAAAAC4CAABkcnMvZTJvRG9jLnhtbFBLAQItABQABgAI&#10;AAAAIQA1cY3x4gAAAAoBAAAPAAAAAAAAAAAAAAAAAN4EAABkcnMvZG93bnJldi54bWxQSwUGAAAA&#10;AAQABADzAAAA7QUAAAAA&#10;" filled="f" stroked="f" strokeweight=".5pt">
                <v:textbox>
                  <w:txbxContent>
                    <w:p w14:paraId="19198837" w14:textId="77777777" w:rsidR="007C0AF1" w:rsidRPr="002D6ED1" w:rsidRDefault="007C0AF1" w:rsidP="00331531">
                      <w:pPr>
                        <w:rPr>
                          <w:b/>
                          <w:bCs/>
                          <w:color w:val="404142" w:themeColor="accent3" w:themeShade="80"/>
                        </w:rPr>
                      </w:pPr>
                      <w:r w:rsidRPr="002D6ED1">
                        <w:rPr>
                          <w:b/>
                          <w:bCs/>
                          <w:i/>
                          <w:iCs/>
                          <w:color w:val="404142" w:themeColor="accent3" w:themeShade="80"/>
                        </w:rPr>
                        <w:t>Source: Department of Internal Affairs</w:t>
                      </w:r>
                    </w:p>
                  </w:txbxContent>
                </v:textbox>
              </v:shape>
            </w:pict>
          </mc:Fallback>
        </mc:AlternateContent>
      </w:r>
      <w:r w:rsidR="008D716F" w:rsidRPr="008E7BAC">
        <w:rPr>
          <w:noProof/>
          <w:lang w:eastAsia="en-NZ"/>
        </w:rPr>
        <w:drawing>
          <wp:inline distT="0" distB="0" distL="0" distR="0" wp14:anchorId="522EFE2E" wp14:editId="413D6F7A">
            <wp:extent cx="5012464" cy="3022169"/>
            <wp:effectExtent l="438150" t="438150" r="436245" b="4451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2936" cy="3040542"/>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27CD274F" w14:textId="288ADB40" w:rsidR="00EA0C78" w:rsidRPr="00AA74DC" w:rsidRDefault="00EA0C78" w:rsidP="00525E6A">
      <w:pPr>
        <w:pStyle w:val="Heading3"/>
        <w:spacing w:before="360"/>
      </w:pPr>
      <w:r w:rsidRPr="00AA74DC">
        <w:t>Population decline</w:t>
      </w:r>
    </w:p>
    <w:p w14:paraId="0469C24B" w14:textId="082DA7E7" w:rsidR="00525E6A" w:rsidRDefault="00EA0C78" w:rsidP="004A372C">
      <w:pPr>
        <w:pStyle w:val="ListParagraph"/>
      </w:pPr>
      <w:r w:rsidRPr="00AA74DC">
        <w:t>The issues relating to population decline present different challenges to those faced by growth councils, and are typically more difficult to understand through the review of infrastructure strategies and</w:t>
      </w:r>
      <w:r w:rsidR="00465FBD" w:rsidRPr="00AA74DC">
        <w:t xml:space="preserve"> </w:t>
      </w:r>
      <w:r w:rsidR="00465FBD">
        <w:t>Long Term Pla</w:t>
      </w:r>
      <w:r w:rsidR="00C74548">
        <w:t>ns</w:t>
      </w:r>
      <w:r w:rsidRPr="00AA74DC">
        <w:t xml:space="preserve"> or through discussions with councils.</w:t>
      </w:r>
    </w:p>
    <w:p w14:paraId="684F5A63" w14:textId="69337F2B" w:rsidR="00EA0C78" w:rsidRPr="00AA74DC" w:rsidRDefault="00EA0C78" w:rsidP="004A372C">
      <w:pPr>
        <w:pStyle w:val="ListParagraph"/>
      </w:pPr>
      <w:r w:rsidRPr="00AA74DC">
        <w:t>Where the population of a region is in decline, councils can face very real challenges regarding their long term sustainability. In particular:</w:t>
      </w:r>
    </w:p>
    <w:p w14:paraId="474B6912" w14:textId="4539700E" w:rsidR="00EA0C78" w:rsidRPr="008E2777" w:rsidRDefault="00EA0C78" w:rsidP="009D38AF">
      <w:pPr>
        <w:pStyle w:val="Bulletpoint"/>
      </w:pPr>
      <w:r w:rsidRPr="00AA74DC">
        <w:t>co</w:t>
      </w:r>
      <w:r w:rsidRPr="008E2777">
        <w:t xml:space="preserve">uncils </w:t>
      </w:r>
      <w:r w:rsidR="00891F1B">
        <w:t>face significant difficulties when trying to cease provision of existing</w:t>
      </w:r>
      <w:r w:rsidRPr="008E2777">
        <w:t xml:space="preserve"> three waters and roads to their communities and will therefore always have a minimum cost of operating and those costs represent the substantial costs of the council. Many councils have limited capacity to scale</w:t>
      </w:r>
      <w:r w:rsidR="00525E6A">
        <w:t xml:space="preserve"> back operations and trim costs</w:t>
      </w:r>
    </w:p>
    <w:p w14:paraId="330AC0F7" w14:textId="2358F3A1" w:rsidR="00EA0C78" w:rsidRPr="008E2777" w:rsidRDefault="00EA0C78" w:rsidP="00CC1C38">
      <w:pPr>
        <w:pStyle w:val="Bulletpoint"/>
      </w:pPr>
      <w:r w:rsidRPr="008E2777">
        <w:t>it is difficult for councils to simply cease to provide services or significantly cut levels of service</w:t>
      </w:r>
      <w:r w:rsidR="00CC1C38">
        <w:t xml:space="preserve"> and doing so may contribute to</w:t>
      </w:r>
      <w:r w:rsidRPr="008E2777">
        <w:t xml:space="preserve"> the rate of decline in some areas</w:t>
      </w:r>
    </w:p>
    <w:p w14:paraId="3E998D03" w14:textId="77777777" w:rsidR="00EA0C78" w:rsidRPr="008E2777" w:rsidRDefault="00EA0C78" w:rsidP="009D38AF">
      <w:pPr>
        <w:pStyle w:val="Bulletpoint"/>
      </w:pPr>
      <w:r w:rsidRPr="008E2777">
        <w:t>population decline does not occur in neat blocks. That is, a population that declines by ten ratepayers in a year will not experience those ratepayers all leaving from a single street. It is therefore impossible to reduce the size of the network that receives council services</w:t>
      </w:r>
    </w:p>
    <w:p w14:paraId="23C3784B" w14:textId="3F9104D2" w:rsidR="00EA0C78" w:rsidRPr="00AA74DC" w:rsidRDefault="00EA0C78" w:rsidP="009D38AF">
      <w:pPr>
        <w:pStyle w:val="Bulletpoint"/>
      </w:pPr>
      <w:r w:rsidRPr="008E2777">
        <w:t>a reduction in the number of ratepayers will result in higher rate</w:t>
      </w:r>
      <w:r w:rsidR="00753DED">
        <w:t>s for the remaining ratepayers.</w:t>
      </w:r>
    </w:p>
    <w:p w14:paraId="1CEAA4AC" w14:textId="2CC27357" w:rsidR="00EA0C78" w:rsidRPr="00AA74DC" w:rsidRDefault="00EA0C78" w:rsidP="004A372C">
      <w:pPr>
        <w:pStyle w:val="ListParagraph"/>
      </w:pPr>
      <w:r w:rsidRPr="00AA74DC">
        <w:t>It has been difficult to determine what strategies are employed by declining population councils, or indeed what the financial implications of a declining population are likely to be as the</w:t>
      </w:r>
      <w:r w:rsidR="0025197A" w:rsidRPr="00AA74DC">
        <w:t xml:space="preserve"> </w:t>
      </w:r>
      <w:r w:rsidR="00465FBD">
        <w:t>Long Term Plans</w:t>
      </w:r>
      <w:r w:rsidR="0025197A" w:rsidRPr="00AA74DC">
        <w:t xml:space="preserve"> </w:t>
      </w:r>
      <w:r w:rsidRPr="00AA74DC">
        <w:t>that we reviewed did not address decline specifically.</w:t>
      </w:r>
    </w:p>
    <w:p w14:paraId="70BC22A3" w14:textId="56611455" w:rsidR="00EA0C78" w:rsidRPr="00AA74DC" w:rsidRDefault="00EA0C78" w:rsidP="004A372C">
      <w:pPr>
        <w:pStyle w:val="ListParagraph"/>
      </w:pPr>
      <w:r w:rsidRPr="00AA74DC">
        <w:t xml:space="preserve">In our conversations with councils that are projected to have a declining population we heard that these councils were necessarily optimistic about the growth of their regions. Faced with projections of declining populations, these councils are putting forward proposals or investment initiatives that are intended to buck that trend. Where such proposals are being put forward, councils genuinely believe that these present them with the best chance to prevent or reverse population decline. Accordingly, financial strategies and </w:t>
      </w:r>
      <w:r w:rsidR="00465FBD" w:rsidRPr="00AA74DC">
        <w:t xml:space="preserve">Long Term Plan </w:t>
      </w:r>
      <w:r w:rsidRPr="00AA74DC">
        <w:t>documents reflect this optimism.</w:t>
      </w:r>
    </w:p>
    <w:p w14:paraId="7C89C457" w14:textId="77777777" w:rsidR="00EA0C78" w:rsidRPr="00AA74DC" w:rsidRDefault="00EA0C78" w:rsidP="006C2D9B">
      <w:pPr>
        <w:pStyle w:val="Heading3"/>
      </w:pPr>
      <w:r w:rsidRPr="00AA74DC">
        <w:t>Aging population</w:t>
      </w:r>
    </w:p>
    <w:p w14:paraId="4C3E4AD8" w14:textId="77777777" w:rsidR="00EA0C78" w:rsidRPr="00AA74DC" w:rsidRDefault="00EA0C78" w:rsidP="004A372C">
      <w:pPr>
        <w:pStyle w:val="ListParagraph"/>
      </w:pPr>
      <w:r w:rsidRPr="00AA74DC">
        <w:t>Many councils facing population decline also have an aging population, which can again create its own issues, including:</w:t>
      </w:r>
    </w:p>
    <w:p w14:paraId="0CCA2972" w14:textId="72EFDA4D" w:rsidR="00EA0C78" w:rsidRPr="008E2777" w:rsidRDefault="00EA0C78" w:rsidP="009D38AF">
      <w:pPr>
        <w:pStyle w:val="Bulletpoint"/>
      </w:pPr>
      <w:r w:rsidRPr="008E2777">
        <w:t>a larger proportion of the population living on fixed incomes may limit the ability for councils to raise rates</w:t>
      </w:r>
      <w:r w:rsidR="00B2760D">
        <w:t xml:space="preserve"> and may create affordability issues</w:t>
      </w:r>
    </w:p>
    <w:p w14:paraId="42A4C03F" w14:textId="7F0E796A" w:rsidR="00EA0C78" w:rsidRPr="008E2777" w:rsidRDefault="00EA0C78" w:rsidP="009D38AF">
      <w:pPr>
        <w:pStyle w:val="Bulletpoint"/>
      </w:pPr>
      <w:r w:rsidRPr="008E2777">
        <w:t xml:space="preserve">reduced population density can create the outcome of a static number of dwellings with a decrease in the number of people to </w:t>
      </w:r>
      <w:r w:rsidR="00891F1B">
        <w:t>share</w:t>
      </w:r>
      <w:r w:rsidRPr="008E2777">
        <w:t xml:space="preserve"> the rates liability</w:t>
      </w:r>
    </w:p>
    <w:p w14:paraId="457015D1" w14:textId="14FD6CE9" w:rsidR="00EA0C78" w:rsidRPr="008E2777" w:rsidRDefault="00EA0C78" w:rsidP="009D38AF">
      <w:pPr>
        <w:pStyle w:val="Bulletpoint"/>
      </w:pPr>
      <w:r w:rsidRPr="008E2777">
        <w:t>increased demand for certain services and reducing demand for other services. For example, demand for library services and social housing is likely to increase, while some sports facilities and playgrounds face reducing demand</w:t>
      </w:r>
    </w:p>
    <w:p w14:paraId="7801C019" w14:textId="77777777" w:rsidR="00EA0C78" w:rsidRPr="008E2777" w:rsidRDefault="00EA0C78" w:rsidP="009D38AF">
      <w:pPr>
        <w:pStyle w:val="Bulletpoint"/>
      </w:pPr>
      <w:r w:rsidRPr="008E2777">
        <w:t>while uptake is currently low, a change in approach to rates postponement schemes (such as a removal or capping of interest charges or increased promotion of the scheme) could see constraints in councils’ cash flows.</w:t>
      </w:r>
    </w:p>
    <w:p w14:paraId="763382BA" w14:textId="77777777" w:rsidR="00EA0C78" w:rsidRPr="00AA74DC" w:rsidRDefault="00EA0C78" w:rsidP="004A372C">
      <w:pPr>
        <w:pStyle w:val="ListParagraph"/>
      </w:pPr>
      <w:r w:rsidRPr="00AA74DC">
        <w:t>In centres that are seen as ideal retirement locations, an aging population can also be accompanied by growth. In these areas a key challenge relates to the need to attract a younger demographic to move to the area to fulfil the needs of the workforce. These challenges mean that some councils with ageing populations need to balance the demands of the residents that it is seeking to attract as well as its current demographic.</w:t>
      </w:r>
    </w:p>
    <w:p w14:paraId="7B2ADEBA" w14:textId="77777777" w:rsidR="00EA0C78" w:rsidRDefault="00EA0C78" w:rsidP="00EA0C78">
      <w:pPr>
        <w:pStyle w:val="Heading2"/>
      </w:pPr>
      <w:bookmarkStart w:id="75" w:name="_Toc516129493"/>
      <w:bookmarkStart w:id="76" w:name="_Toc516829061"/>
      <w:bookmarkStart w:id="77" w:name="_Toc520703187"/>
      <w:r>
        <w:t>Tourism pressures</w:t>
      </w:r>
      <w:bookmarkEnd w:id="75"/>
      <w:bookmarkEnd w:id="76"/>
      <w:bookmarkEnd w:id="77"/>
    </w:p>
    <w:p w14:paraId="36AF7CEF" w14:textId="77777777" w:rsidR="00EA0C78" w:rsidRDefault="00EA0C78" w:rsidP="004A372C">
      <w:pPr>
        <w:pStyle w:val="ListParagraph"/>
      </w:pPr>
      <w:r>
        <w:t>Areas with high levels of tourism face significant infrastructure costs and costs of providing services to the community. The areas with the highest levels of tourism in our sample councils face tourist numbers that are many times higher than the normally resident population of the region.</w:t>
      </w:r>
    </w:p>
    <w:p w14:paraId="05589DF1" w14:textId="2BEB21B2" w:rsidR="00EA0C78" w:rsidRDefault="00EA0C78" w:rsidP="004A372C">
      <w:pPr>
        <w:pStyle w:val="ListParagraph"/>
      </w:pPr>
      <w:r>
        <w:t>This creates particular challenges for communities with low populations as councils need to scale infrastructure to cater for peak</w:t>
      </w:r>
      <w:r w:rsidR="00891F1B">
        <w:t xml:space="preserve"> (i.e. resident plus tourist)</w:t>
      </w:r>
      <w:r>
        <w:t xml:space="preserve"> population levels rather than the usual resident demand. As there are often only limited mechanisms for councils to </w:t>
      </w:r>
      <w:r w:rsidR="00CC1C38">
        <w:t>obtain</w:t>
      </w:r>
      <w:r>
        <w:t xml:space="preserve"> revenue from tourists directly, the costs of servicing and replacing this infrastructure inevitably falls on ratepayers.</w:t>
      </w:r>
    </w:p>
    <w:p w14:paraId="33AFD41C" w14:textId="77777777" w:rsidR="00EA0C78" w:rsidRDefault="00EA0C78" w:rsidP="004A372C">
      <w:pPr>
        <w:pStyle w:val="ListParagraph"/>
      </w:pPr>
      <w:r>
        <w:t>In addition to the simple need to increase the size and scale of facilities, tourists often have higher level of service expectations than local ratepayers. While councils will not always meet these service level expectations, this can create additional issues. For example, when tourists expect waste transfer stations to have longer opening hours than provided, there may be increases in illegal dumping.</w:t>
      </w:r>
    </w:p>
    <w:p w14:paraId="7B68FA6E" w14:textId="2F596174" w:rsidR="00EA0C78" w:rsidRDefault="00EA0C78" w:rsidP="004A372C">
      <w:pPr>
        <w:pStyle w:val="ListParagraph"/>
      </w:pPr>
      <w:r>
        <w:t>The extent to which a community benefits from tourism in its region also varies widely. In some areas with high levels of tourism, much of the tourism occurs on Department of Conservation Land, with tourists either camping or staying in tramping huts or simply visiting for the day. While the Department of Conservation does pay for services that council provides to it, its land is not rateable. These councils do not have the costs of operating tourism related infrastructure offset by additional tourism revenue. In other areas, regional tourism impacts on the council but activities (a</w:t>
      </w:r>
      <w:r w:rsidR="00BC6A43">
        <w:t>nd the associated revenue) fall</w:t>
      </w:r>
      <w:r>
        <w:t xml:space="preserve"> outside of the area.</w:t>
      </w:r>
    </w:p>
    <w:p w14:paraId="055C3A03" w14:textId="760A03BC" w:rsidR="00EA0C78" w:rsidRDefault="00891F1B" w:rsidP="004A372C">
      <w:pPr>
        <w:pStyle w:val="ListParagraph"/>
      </w:pPr>
      <w:r>
        <w:t>Councils with high levels of tourism</w:t>
      </w:r>
      <w:r w:rsidR="00EA0C78">
        <w:t xml:space="preserve"> have generally been quick to utilise government grant funding, including from the Tourism Infrastructure Fund, to assist with the construction of tourism related infrastructure in their regions. However, this funding does not come with any operational funding commitment, meaning ratepayers must cover the additional costs of servicing that infrastructure (which is often otherwise incapable of generating its own revenue). In round one, the government approved 34 applications for funding from the Tourism Infrastructure Fund, with $14.2 million being awarded. A high proportion of this funding related to public toilet facilities.</w:t>
      </w:r>
    </w:p>
    <w:p w14:paraId="3E2A35B8" w14:textId="767879AF" w:rsidR="00EA0C78" w:rsidRDefault="00EA0C78" w:rsidP="004A372C">
      <w:pPr>
        <w:pStyle w:val="ListParagraph"/>
      </w:pPr>
      <w:r>
        <w:t xml:space="preserve">While in many cases the infrastructure needed is indeed car parks or toilets (which are the predominant recipients of tourism infrastructure funding), in some cases tourism pressures have required additional investment in road safety enhancements or road improvements which often comes at a great cost. For example, one council is undertaking a road safety enhancement project that is likely to cost over $40 million to respond to </w:t>
      </w:r>
      <w:r w:rsidR="00CC1C38">
        <w:t xml:space="preserve">an </w:t>
      </w:r>
      <w:r>
        <w:t>increasing numbers of accidents. While this project receives an NZTA subsidy, the council must still contribute almost 50% of the total cost of the infrastructure.</w:t>
      </w:r>
    </w:p>
    <w:p w14:paraId="761B6855" w14:textId="77777777" w:rsidR="0025197A" w:rsidRDefault="0025197A">
      <w:pPr>
        <w:spacing w:before="200" w:after="200" w:line="276" w:lineRule="auto"/>
        <w:rPr>
          <w:rFonts w:eastAsia="Times New Roman" w:cs="Times New Roman"/>
          <w:color w:val="404142" w:themeColor="accent3" w:themeShade="80"/>
          <w:lang w:val="en-AU"/>
        </w:rPr>
      </w:pPr>
      <w:r>
        <w:br w:type="page"/>
      </w:r>
    </w:p>
    <w:p w14:paraId="745BA942" w14:textId="7C0C11FF" w:rsidR="00EA0C78" w:rsidRPr="008E2777" w:rsidRDefault="00EA0C78" w:rsidP="004A372C">
      <w:pPr>
        <w:pStyle w:val="ListParagraph"/>
      </w:pPr>
      <w:r w:rsidRPr="008E2777">
        <w:t>In order to cover some of the costs associated with servicing tourists, some councils are proposing, or investigating, the use of targeted rates or rates differentials to extract more rates from accommodation providers and holiday home owners. While useful, these tools are a blunt instrument and are not able to easily adapt to levels of tourism or volumes of overnight visitation. For example, a targeted rate on holiday home owners will apply to all holiday homes at the same amount (or on the same basis) and cannot be adjusted to reflect the actual level of use that the holiday home receives. Holiday homes that are rented only once a year will be subject to the same targeted rate as those rented every night, despite the demand on infrastructure and services varying.</w:t>
      </w:r>
    </w:p>
    <w:p w14:paraId="7760B6CD" w14:textId="2A748A9B" w:rsidR="00EA0C78" w:rsidRDefault="00EA0C78" w:rsidP="00EA0C78">
      <w:pPr>
        <w:pStyle w:val="Heading2"/>
      </w:pPr>
      <w:bookmarkStart w:id="78" w:name="_Toc516129494"/>
      <w:bookmarkStart w:id="79" w:name="_Toc516829062"/>
      <w:bookmarkStart w:id="80" w:name="_Toc520703188"/>
      <w:r>
        <w:t>Climate change</w:t>
      </w:r>
      <w:bookmarkEnd w:id="78"/>
      <w:bookmarkEnd w:id="79"/>
      <w:bookmarkEnd w:id="80"/>
    </w:p>
    <w:p w14:paraId="5451BC00" w14:textId="433AA324" w:rsidR="00EA0C78" w:rsidRPr="008E2777" w:rsidRDefault="00891F1B" w:rsidP="004A372C">
      <w:pPr>
        <w:pStyle w:val="ListParagraph"/>
      </w:pPr>
      <w:r>
        <w:t>Climate change is an issue</w:t>
      </w:r>
      <w:r w:rsidR="007A32E3">
        <w:t xml:space="preserve"> </w:t>
      </w:r>
      <w:r w:rsidR="00EA0C78">
        <w:t xml:space="preserve">in draft 2018 </w:t>
      </w:r>
      <w:r w:rsidR="00465FBD">
        <w:t>Long Term Plans,</w:t>
      </w:r>
      <w:r w:rsidR="00EA0C78">
        <w:t xml:space="preserve"> and is increasingly becoming a major focus area for most c</w:t>
      </w:r>
      <w:r w:rsidR="00EA0C78" w:rsidRPr="008E2777">
        <w:t>ouncils (including those that are not located on the coast). The vast majority of</w:t>
      </w:r>
      <w:r w:rsidR="00465FBD" w:rsidRPr="008E2777">
        <w:t xml:space="preserve"> </w:t>
      </w:r>
      <w:r w:rsidR="00465FBD">
        <w:t>Long Term Plan</w:t>
      </w:r>
      <w:r w:rsidR="0025197A">
        <w:t>s</w:t>
      </w:r>
      <w:r w:rsidR="0025197A" w:rsidRPr="008E2777">
        <w:t xml:space="preserve"> a</w:t>
      </w:r>
      <w:r w:rsidR="00EA0C78" w:rsidRPr="008E2777">
        <w:t>nd infrastructure strategies that we reviewed included some reference to climate change and how the council was looking to deal with it.</w:t>
      </w:r>
    </w:p>
    <w:p w14:paraId="5EA62AA2" w14:textId="052277A6" w:rsidR="00EA0C78" w:rsidRPr="008E2777" w:rsidRDefault="00EA0C78" w:rsidP="004A372C">
      <w:pPr>
        <w:pStyle w:val="ListParagraph"/>
      </w:pPr>
      <w:r w:rsidRPr="008E2777">
        <w:t>However, in most cases while climate change was a major focus</w:t>
      </w:r>
      <w:r w:rsidR="009677BC">
        <w:t>,</w:t>
      </w:r>
      <w:r w:rsidRPr="008E2777">
        <w:t xml:space="preserve"> the potential future costs had not yet been determined. This is primarily because climate change science is constantly evolving and there is little consensus on how, or when climate change will impact individual communities.</w:t>
      </w:r>
    </w:p>
    <w:p w14:paraId="27BE7281" w14:textId="77777777" w:rsidR="00EA0C78" w:rsidRPr="008E2777" w:rsidRDefault="00EA0C78" w:rsidP="004A372C">
      <w:pPr>
        <w:pStyle w:val="ListParagraph"/>
      </w:pPr>
      <w:r w:rsidRPr="008E2777">
        <w:t>In the councils that are likely to be hardest hit we are seeing some level of investment to understand and begin to try to alleviate the symptoms of climate change. In particular, major stormwater infrastructure investment and schemes to divert stormwater and wastewater runoff into low lying areas have been proposed by some councils. Upgrades to wastewater and stormwater pipes to reduce infiltration into the wastewater system are also being carried out in low lying and flood prone communities to minimise the impact of high intensity storms.</w:t>
      </w:r>
    </w:p>
    <w:p w14:paraId="503B76AF" w14:textId="77777777" w:rsidR="00EA0C78" w:rsidRPr="008E2777" w:rsidRDefault="00EA0C78" w:rsidP="004A372C">
      <w:pPr>
        <w:pStyle w:val="ListParagraph"/>
      </w:pPr>
      <w:r w:rsidRPr="008E2777">
        <w:t>These investments have been described to us as being necessary in the short term while councils investigate what options are available for the long term.</w:t>
      </w:r>
    </w:p>
    <w:p w14:paraId="1444FDC8" w14:textId="630881E9" w:rsidR="00EA0C78" w:rsidRPr="008E2777" w:rsidRDefault="00EA0C78" w:rsidP="004A372C">
      <w:pPr>
        <w:pStyle w:val="ListParagraph"/>
      </w:pPr>
      <w:r w:rsidRPr="008E2777">
        <w:t>While managed retreat is not being specifically considere</w:t>
      </w:r>
      <w:r w:rsidR="00891F1B">
        <w:t>d by any councils at this stage,</w:t>
      </w:r>
      <w:r w:rsidR="002D6ED1">
        <w:t xml:space="preserve"> </w:t>
      </w:r>
      <w:r w:rsidR="00891F1B">
        <w:t>m</w:t>
      </w:r>
      <w:r w:rsidRPr="008E2777">
        <w:t xml:space="preserve">ost councils are reluctant to be the first to make </w:t>
      </w:r>
      <w:r w:rsidR="00891F1B">
        <w:t>these types of decisions</w:t>
      </w:r>
      <w:r w:rsidRPr="008E2777">
        <w:t>, and are looking to central government to take the lead on climate science or provide legislative protection to councils that make climate change based decisions.</w:t>
      </w:r>
    </w:p>
    <w:p w14:paraId="35C88BD8" w14:textId="77777777" w:rsidR="00EA0C78" w:rsidRPr="00D02A94" w:rsidRDefault="00EA0C78" w:rsidP="004A372C">
      <w:pPr>
        <w:pStyle w:val="ListParagraph"/>
      </w:pPr>
      <w:r w:rsidRPr="008E2777">
        <w:t>While the costs of long term prot</w:t>
      </w:r>
      <w:r>
        <w:t>ection against climate change are largely unknown in councils, the issues caused by climate change are not. Some of the issues experienced by councils as a result of a changing climate include:</w:t>
      </w:r>
    </w:p>
    <w:p w14:paraId="69A99B0F" w14:textId="77777777" w:rsidR="00EA0C78" w:rsidRPr="008E2777" w:rsidRDefault="00EA0C78" w:rsidP="009D38AF">
      <w:pPr>
        <w:pStyle w:val="Bulletpoint"/>
      </w:pPr>
      <w:r w:rsidRPr="008E2777">
        <w:t>security of water supplies and the ability to get water to isolated communities. Many councils rely on one or two water sources for their town supply, and changes in the climate may mean that these sources can no longer provide for the demand, or may require extra treatment</w:t>
      </w:r>
    </w:p>
    <w:p w14:paraId="2AAE7421" w14:textId="77777777" w:rsidR="00EA0C78" w:rsidRPr="008E2777" w:rsidRDefault="00EA0C78" w:rsidP="009D38AF">
      <w:pPr>
        <w:pStyle w:val="Bulletpoint"/>
      </w:pPr>
      <w:r w:rsidRPr="008E2777">
        <w:t>forestry roads constructed on poor sub-bases are deteriorating quickly following wet weather events</w:t>
      </w:r>
    </w:p>
    <w:p w14:paraId="01A9DC20" w14:textId="77777777" w:rsidR="00EA0C78" w:rsidRPr="008E2777" w:rsidRDefault="00EA0C78" w:rsidP="009D38AF">
      <w:pPr>
        <w:pStyle w:val="Bulletpoint"/>
      </w:pPr>
      <w:r w:rsidRPr="008E2777">
        <w:t>roads being closed due to slip and flooding events, which can isolate communities or entire regions</w:t>
      </w:r>
    </w:p>
    <w:p w14:paraId="6C6E6BB3" w14:textId="586CC453" w:rsidR="00EA0C78" w:rsidRPr="008E2777" w:rsidRDefault="00EA0C78" w:rsidP="009D38AF">
      <w:pPr>
        <w:pStyle w:val="Bulletpoint"/>
      </w:pPr>
      <w:r w:rsidRPr="008E2777">
        <w:t>the continued investment in coastal roads etc which are facing increasing erosion</w:t>
      </w:r>
    </w:p>
    <w:p w14:paraId="328DE1AA" w14:textId="77777777" w:rsidR="0025197A" w:rsidRDefault="0025197A">
      <w:pPr>
        <w:spacing w:before="200" w:after="200" w:line="276" w:lineRule="auto"/>
        <w:rPr>
          <w:rFonts w:asciiTheme="minorHAnsi" w:hAnsiTheme="minorHAnsi"/>
          <w:color w:val="404142" w:themeColor="accent3" w:themeShade="80"/>
          <w:szCs w:val="28"/>
        </w:rPr>
      </w:pPr>
      <w:r>
        <w:br w:type="page"/>
      </w:r>
    </w:p>
    <w:p w14:paraId="63269515" w14:textId="0816FB05" w:rsidR="00EA0C78" w:rsidRPr="008E2777" w:rsidRDefault="00EA0C78" w:rsidP="009D38AF">
      <w:pPr>
        <w:pStyle w:val="Bulletpoint"/>
      </w:pPr>
      <w:r w:rsidRPr="008E2777">
        <w:t>in areas with high water tables</w:t>
      </w:r>
      <w:r w:rsidR="0025197A">
        <w:t>,</w:t>
      </w:r>
      <w:r w:rsidRPr="008E2777">
        <w:t xml:space="preserve"> the ability to carry out capital works is limited to a few months. As water tables continue to rise the window of opportunity to efficiently carry out capital works is decreasing</w:t>
      </w:r>
    </w:p>
    <w:p w14:paraId="5A3230F3" w14:textId="77777777" w:rsidR="00EA0C78" w:rsidRPr="008E2777" w:rsidRDefault="00EA0C78" w:rsidP="009D38AF">
      <w:pPr>
        <w:pStyle w:val="Bulletpoint"/>
      </w:pPr>
      <w:r w:rsidRPr="008E2777">
        <w:t>cemeteries in low lying areas are unable to inter bodies at certain times of the year</w:t>
      </w:r>
    </w:p>
    <w:p w14:paraId="528CD0D0" w14:textId="77777777" w:rsidR="00EA0C78" w:rsidRPr="008E2777" w:rsidRDefault="00EA0C78" w:rsidP="009D38AF">
      <w:pPr>
        <w:pStyle w:val="Bulletpoint"/>
      </w:pPr>
      <w:r w:rsidRPr="008E2777">
        <w:t>impacts of increased storm events may increase stormwater infiltration into wastewater networks, and stormwater discharge into rivers and waterways</w:t>
      </w:r>
    </w:p>
    <w:p w14:paraId="7F33A309" w14:textId="77777777" w:rsidR="00EA0C78" w:rsidRPr="008E2777" w:rsidRDefault="00EA0C78" w:rsidP="009D38AF">
      <w:pPr>
        <w:pStyle w:val="Bulletpoint"/>
      </w:pPr>
      <w:r w:rsidRPr="008E2777">
        <w:t>some impacts on community infrastructure, in particular parks located on peaty soils, also exist which may require significant investment to maintain levels of service (drainage may be needed to make parks serviceable in periods of high rainfall, and irrigation required for periods of drought)</w:t>
      </w:r>
    </w:p>
    <w:p w14:paraId="7B028A8D" w14:textId="671FD37C" w:rsidR="00EA0C78" w:rsidRDefault="0025197A" w:rsidP="009D38AF">
      <w:pPr>
        <w:pStyle w:val="Bulletpoint"/>
      </w:pPr>
      <w:r>
        <w:t>reductions in a council’</w:t>
      </w:r>
      <w:r w:rsidR="00EA0C78" w:rsidRPr="008E2777">
        <w:t>s ability to deliver business as usual services when meeting civil defence responsibilities to assist during local emerge</w:t>
      </w:r>
      <w:r w:rsidR="00EA0C78">
        <w:t>ncies.</w:t>
      </w:r>
    </w:p>
    <w:p w14:paraId="2B8A2DD9" w14:textId="77777777" w:rsidR="00EA0C78" w:rsidRDefault="00EA0C78" w:rsidP="004A372C">
      <w:pPr>
        <w:pStyle w:val="ListParagraph"/>
      </w:pPr>
      <w:r>
        <w:t>Many of the challenges presented by climate change are unlikely to be avoidable or preventable and they may require significant changes in the way that councils deliver services. The costs associated with these challenges are likely to be major, and it is unlikely that councils will be able to afford these costs alone.</w:t>
      </w:r>
    </w:p>
    <w:p w14:paraId="6F0DA396" w14:textId="77777777" w:rsidR="00EA0C78" w:rsidRDefault="00EA0C78" w:rsidP="000F20C3">
      <w:pPr>
        <w:pStyle w:val="Heading2"/>
      </w:pPr>
      <w:bookmarkStart w:id="81" w:name="_Toc520703189"/>
      <w:r>
        <w:t>Seismic strengthening</w:t>
      </w:r>
      <w:bookmarkEnd w:id="81"/>
    </w:p>
    <w:p w14:paraId="7949B5D0" w14:textId="7FFF9C8B" w:rsidR="00EA0C78" w:rsidRDefault="00EA0C78" w:rsidP="004A372C">
      <w:pPr>
        <w:pStyle w:val="ListParagraph"/>
      </w:pPr>
      <w:r>
        <w:t>Seismic strengthening is emerging as another major cost area for local government across the country, although again thi</w:t>
      </w:r>
      <w:r w:rsidR="008E2777">
        <w:t>s is largely un-costed in 2018</w:t>
      </w:r>
      <w:r w:rsidR="00465FBD">
        <w:t xml:space="preserve"> Long Term Plan</w:t>
      </w:r>
      <w:r w:rsidR="00C74548">
        <w:t>s</w:t>
      </w:r>
      <w:r w:rsidR="007A32E3">
        <w:t>.</w:t>
      </w:r>
    </w:p>
    <w:p w14:paraId="1BD0E43A" w14:textId="1A1B293B" w:rsidR="00EA0C78" w:rsidRDefault="00EA0C78" w:rsidP="004A372C">
      <w:pPr>
        <w:pStyle w:val="ListParagraph"/>
      </w:pPr>
      <w:r>
        <w:t>As councils are continuing to carry out assessments of their own buildings, it is becoming apparent that a number of buildings will need strengthening at great cost to their communities. Additionally, increasing engineering standards are imposing additional costs on councils when constructing new assets.</w:t>
      </w:r>
      <w:r w:rsidR="00194C27">
        <w:t xml:space="preserve"> One example cited to us was a 10% increase in construction costs for a bridge.</w:t>
      </w:r>
    </w:p>
    <w:p w14:paraId="37D03BB2" w14:textId="77777777" w:rsidR="00EA0C78" w:rsidRPr="000A3C9F" w:rsidRDefault="00EA0C78" w:rsidP="004A372C">
      <w:pPr>
        <w:pStyle w:val="ListParagraph"/>
      </w:pPr>
      <w:r>
        <w:t>Rural councils are concerned not only with the costs of strengthening their own buildings but also those of the businesses operating within their communities. Many rural businesses simply cannot afford to carry out the work as there is no, or little, financial return on the investment. In small communities, this may eventually lead to these buildings being demolished or the businesses closing.</w:t>
      </w:r>
    </w:p>
    <w:p w14:paraId="4C335A3F" w14:textId="77777777" w:rsidR="00AA74DC" w:rsidRPr="00AA74DC" w:rsidRDefault="00AA74DC" w:rsidP="00AA74DC">
      <w:pPr>
        <w:pStyle w:val="Heading2"/>
      </w:pPr>
      <w:bookmarkStart w:id="82" w:name="_Toc516829065"/>
      <w:bookmarkStart w:id="83" w:name="_Toc520703190"/>
      <w:r w:rsidRPr="00AA74DC">
        <w:t>Innovative funding mechanisms</w:t>
      </w:r>
      <w:bookmarkEnd w:id="82"/>
      <w:bookmarkEnd w:id="83"/>
    </w:p>
    <w:p w14:paraId="6919F1C9" w14:textId="77777777" w:rsidR="00AA74DC" w:rsidRPr="00AA74DC" w:rsidRDefault="00AA74DC" w:rsidP="004A372C">
      <w:pPr>
        <w:pStyle w:val="ListParagraph"/>
      </w:pPr>
      <w:r w:rsidRPr="00AA74DC">
        <w:t>In order to minimise the impact of rising costs and increasing capital works programmes on ratepayers, many councils have explored alternative funding mechanisms. In some cases these have been effective in enabling councils to deliver services or facilities that they would have been unable to do otherwise. Examples of some innovative funding mechanisms that we have observed include:</w:t>
      </w:r>
    </w:p>
    <w:p w14:paraId="235D9020" w14:textId="77777777" w:rsidR="00AA74DC" w:rsidRPr="008E2777" w:rsidRDefault="00AA74DC" w:rsidP="009D38AF">
      <w:pPr>
        <w:pStyle w:val="Bulletpoint"/>
      </w:pPr>
      <w:r w:rsidRPr="008E2777">
        <w:t>partnerships with central government and educational institutes to provide shared facilities for the community (for example by making a school gym available for public use). Where these relate to growth projects, councils face some constraints in providing funding as they are unable to collect development contributions to fund infrastructure that they do not own</w:t>
      </w:r>
    </w:p>
    <w:p w14:paraId="576EE8E0" w14:textId="5FB48795" w:rsidR="00AA74DC" w:rsidRPr="00AA74DC" w:rsidRDefault="00AA74DC" w:rsidP="009D38AF">
      <w:pPr>
        <w:pStyle w:val="Bulletpoint"/>
      </w:pPr>
      <w:r w:rsidRPr="008E2777">
        <w:t>partnering w</w:t>
      </w:r>
      <w:r w:rsidRPr="00AA74DC">
        <w:t>ith sporting codes to develop or improve facilities. However</w:t>
      </w:r>
      <w:r w:rsidR="00891F1B">
        <w:t>,</w:t>
      </w:r>
      <w:r w:rsidRPr="00AA74DC">
        <w:t xml:space="preserve"> while capital funding is easily obtained, it is often difficult to obtain operating funding from these codes</w:t>
      </w:r>
    </w:p>
    <w:p w14:paraId="54E8BDA1" w14:textId="77777777" w:rsidR="00AA74DC" w:rsidRPr="00AA74DC" w:rsidRDefault="00AA74DC" w:rsidP="009D38AF">
      <w:pPr>
        <w:pStyle w:val="Bulletpoint"/>
      </w:pPr>
      <w:r w:rsidRPr="00AA74DC">
        <w:t>engaging full time resources to seek external funding opportunities</w:t>
      </w:r>
    </w:p>
    <w:p w14:paraId="761D5CDB" w14:textId="77777777" w:rsidR="00AA74DC" w:rsidRPr="00AA74DC" w:rsidRDefault="00AA74DC" w:rsidP="009D38AF">
      <w:pPr>
        <w:pStyle w:val="Bulletpoint"/>
      </w:pPr>
      <w:r w:rsidRPr="00AA74DC">
        <w:t>corporate sponsorship</w:t>
      </w:r>
    </w:p>
    <w:p w14:paraId="5F803FDB" w14:textId="77777777" w:rsidR="00AA74DC" w:rsidRPr="00AA74DC" w:rsidRDefault="00AA74DC" w:rsidP="009D38AF">
      <w:pPr>
        <w:pStyle w:val="Bulletpoint"/>
      </w:pPr>
      <w:r w:rsidRPr="00AA74DC">
        <w:t>co-funding arrangements with local industry to repair or upgrade roads that the industry relies on</w:t>
      </w:r>
    </w:p>
    <w:p w14:paraId="561EAFF7" w14:textId="77777777" w:rsidR="00AA74DC" w:rsidRPr="00AA74DC" w:rsidRDefault="00AA74DC" w:rsidP="009D38AF">
      <w:pPr>
        <w:pStyle w:val="Bulletpoint"/>
      </w:pPr>
      <w:r w:rsidRPr="00AA74DC">
        <w:t>exploration of funding and governance arrangements with Iwi, particularly in the wastewater and affordable housing areas</w:t>
      </w:r>
    </w:p>
    <w:p w14:paraId="725176C9" w14:textId="77777777" w:rsidR="00AA74DC" w:rsidRPr="00AA74DC" w:rsidRDefault="00AA74DC" w:rsidP="009D38AF">
      <w:pPr>
        <w:pStyle w:val="Bulletpoint"/>
      </w:pPr>
      <w:r w:rsidRPr="00AA74DC">
        <w:t>lobbying for fuel taxes, increased road user charge shares or local congestion/toll roads</w:t>
      </w:r>
    </w:p>
    <w:p w14:paraId="3A46F7FA" w14:textId="77777777" w:rsidR="00AA74DC" w:rsidRPr="00AA74DC" w:rsidRDefault="00AA74DC" w:rsidP="009D38AF">
      <w:pPr>
        <w:pStyle w:val="Bulletpoint"/>
      </w:pPr>
      <w:r w:rsidRPr="00AA74DC">
        <w:t>shared funding with neighbouring councils.</w:t>
      </w:r>
    </w:p>
    <w:p w14:paraId="0BE543E1" w14:textId="77777777" w:rsidR="001A0A10" w:rsidRPr="005566F5" w:rsidRDefault="001A0A10" w:rsidP="00877B57">
      <w:pPr>
        <w:pStyle w:val="Heading2"/>
        <w:ind w:left="0" w:firstLine="0"/>
      </w:pPr>
      <w:bookmarkStart w:id="84" w:name="_Toc520703191"/>
      <w:r>
        <w:t>Compliance costs</w:t>
      </w:r>
      <w:bookmarkEnd w:id="84"/>
    </w:p>
    <w:p w14:paraId="7569C07D" w14:textId="77777777" w:rsidR="001A0A10" w:rsidRDefault="001A0A10" w:rsidP="004A372C">
      <w:pPr>
        <w:pStyle w:val="ListParagraph"/>
      </w:pPr>
      <w:r>
        <w:t>One area that is likely to explain some of the increase in costs that council incur (in real terms) is the increasing burden of compliance costs and regulatory functions.</w:t>
      </w:r>
    </w:p>
    <w:p w14:paraId="750A6CA0" w14:textId="77777777" w:rsidR="001A0A10" w:rsidRDefault="001A0A10" w:rsidP="004A372C">
      <w:pPr>
        <w:pStyle w:val="ListParagraph"/>
      </w:pPr>
      <w:r>
        <w:t>Councils reported that the costs of complying with new government regulations can often be large and difficult to fund. Examples of recent government policies that imposed regulatory costs include:</w:t>
      </w:r>
    </w:p>
    <w:p w14:paraId="2BF621A6" w14:textId="77777777" w:rsidR="001A0A10" w:rsidRPr="007C2823" w:rsidRDefault="001A0A10" w:rsidP="009D38AF">
      <w:pPr>
        <w:pStyle w:val="Bulletpoint"/>
      </w:pPr>
      <w:r>
        <w:t>The</w:t>
      </w:r>
      <w:r w:rsidRPr="007C2823">
        <w:t xml:space="preserve"> National Policy Statement on Urban Development Capacity</w:t>
      </w:r>
    </w:p>
    <w:p w14:paraId="1C75A9F5" w14:textId="77777777" w:rsidR="001A0A10" w:rsidRPr="007C2823" w:rsidRDefault="001A0A10" w:rsidP="009D38AF">
      <w:pPr>
        <w:pStyle w:val="Bulletpoint"/>
      </w:pPr>
      <w:r w:rsidRPr="007C2823">
        <w:t>Drinking water standards</w:t>
      </w:r>
    </w:p>
    <w:p w14:paraId="6905EEDF" w14:textId="77777777" w:rsidR="001A0A10" w:rsidRPr="007C2823" w:rsidRDefault="001A0A10" w:rsidP="009D38AF">
      <w:pPr>
        <w:pStyle w:val="Bulletpoint"/>
      </w:pPr>
      <w:r w:rsidRPr="007C2823">
        <w:t>The National Policy Statement on Freshwater Management</w:t>
      </w:r>
    </w:p>
    <w:p w14:paraId="23A9DD2C" w14:textId="77777777" w:rsidR="001A0A10" w:rsidRPr="007C2823" w:rsidRDefault="001A0A10" w:rsidP="009D38AF">
      <w:pPr>
        <w:pStyle w:val="Bulletpoint"/>
      </w:pPr>
      <w:r w:rsidRPr="007C2823">
        <w:t>The establishment of district licensing committees</w:t>
      </w:r>
    </w:p>
    <w:p w14:paraId="469693A3" w14:textId="77777777" w:rsidR="001A0A10" w:rsidRDefault="001A0A10" w:rsidP="009D38AF">
      <w:pPr>
        <w:pStyle w:val="Bulletpoint"/>
      </w:pPr>
      <w:r w:rsidRPr="007C2823">
        <w:t>Changes to t</w:t>
      </w:r>
      <w:r>
        <w:t>he Civil Defence Emergency Management Act.</w:t>
      </w:r>
    </w:p>
    <w:p w14:paraId="19AAA5F7" w14:textId="77777777" w:rsidR="001A0A10" w:rsidRDefault="001A0A10" w:rsidP="004A372C">
      <w:pPr>
        <w:pStyle w:val="ListParagraph"/>
      </w:pPr>
      <w:r>
        <w:t>Proposals to develop additional National Policy Statements on biodiversity and climate change are also expected to impose additional regulatory costs on councils. While larger councils may have sufficient resources to be able to absorb some of these regulatory activities within current staff levels, small councils may need to employ additional resource to manage some of this compliance burden.</w:t>
      </w:r>
    </w:p>
    <w:p w14:paraId="155AE5AB" w14:textId="43C24192" w:rsidR="002D6ED1" w:rsidRDefault="008D716F" w:rsidP="00BF1B60">
      <w:pPr>
        <w:pStyle w:val="Heading3"/>
      </w:pPr>
      <w:r>
        <w:t>Section summary</w:t>
      </w:r>
    </w:p>
    <w:p w14:paraId="08CC8897" w14:textId="4CFEEBF6" w:rsidR="00995E62" w:rsidRDefault="00995E62" w:rsidP="004A372C">
      <w:pPr>
        <w:pStyle w:val="ListParagraph"/>
      </w:pPr>
      <w:r>
        <w:t>Councils do not operate in isolation from the external environment, and as such must manage a number of challenges and risks from the wider external environment.  These costs naturally create cost pressures for councils.</w:t>
      </w:r>
    </w:p>
    <w:p w14:paraId="7487EC1C" w14:textId="455A5034" w:rsidR="000C3824" w:rsidRDefault="00995E62" w:rsidP="004A372C">
      <w:pPr>
        <w:pStyle w:val="ListParagraph"/>
      </w:pPr>
      <w:r>
        <w:t>One of the most significant, and topical, external issues that must be managed by councils is that of changi</w:t>
      </w:r>
      <w:r w:rsidR="00BC6A43">
        <w:t>ng population and demographics.</w:t>
      </w:r>
      <w:r>
        <w:t xml:space="preserve"> Councils experiencing high levels of growth, while able to spread the rates burden over an ever growing number of people, face challenges associated with the need to invest in and maintain infrastructure to support that growth. These costs are only partly funded by the development community, with a share of those costs having to be borne by </w:t>
      </w:r>
      <w:r w:rsidR="000C3824">
        <w:t>existing ratepayers.</w:t>
      </w:r>
    </w:p>
    <w:p w14:paraId="72DE7E56" w14:textId="34C3B2A2" w:rsidR="000C3824" w:rsidRDefault="000C3824" w:rsidP="004A372C">
      <w:pPr>
        <w:pStyle w:val="ListParagraph"/>
      </w:pPr>
      <w:r>
        <w:t xml:space="preserve">Consequently, growth councils carry high levels of debt, with some councils approaching the top of their debt to revenue ratio limits. This constrains the ability for those </w:t>
      </w:r>
      <w:r w:rsidR="00BC6A43">
        <w:t>councils</w:t>
      </w:r>
      <w:r>
        <w:t xml:space="preserve"> to invest further in growth or improved level of service assets.</w:t>
      </w:r>
    </w:p>
    <w:p w14:paraId="62F6DB53" w14:textId="77777777" w:rsidR="00877B57" w:rsidRDefault="00877B57">
      <w:pPr>
        <w:spacing w:before="200" w:after="200" w:line="276" w:lineRule="auto"/>
        <w:rPr>
          <w:rFonts w:eastAsia="Times New Roman" w:cs="Times New Roman"/>
          <w:color w:val="404142" w:themeColor="accent3" w:themeShade="80"/>
          <w:lang w:val="en-AU"/>
        </w:rPr>
      </w:pPr>
      <w:r>
        <w:br w:type="page"/>
      </w:r>
    </w:p>
    <w:p w14:paraId="5CA18E3E" w14:textId="6A0528B0" w:rsidR="000C3824" w:rsidRDefault="000C3824" w:rsidP="004A372C">
      <w:pPr>
        <w:pStyle w:val="ListParagraph"/>
      </w:pPr>
      <w:r>
        <w:t>On the other hand, councils facing declining populations may face issues relating to affordability, as the rating base decreases the ability for councils to increase total rates revenue while maintaining affordability is diminished. These councils cannot simply cease to deliver services, or turn services off for certain communities.</w:t>
      </w:r>
    </w:p>
    <w:p w14:paraId="4BF0AC81" w14:textId="4A177A04" w:rsidR="000C3824" w:rsidRDefault="00291EA6" w:rsidP="004A372C">
      <w:pPr>
        <w:pStyle w:val="ListParagraph"/>
      </w:pPr>
      <w:r>
        <w:t>Other external risks and issues councils are having to manage include:</w:t>
      </w:r>
    </w:p>
    <w:p w14:paraId="3348F4DE" w14:textId="77777777" w:rsidR="00877B57" w:rsidRDefault="009D195F" w:rsidP="009D38AF">
      <w:pPr>
        <w:pStyle w:val="Bulletpoint"/>
      </w:pPr>
      <w:r>
        <w:t>C</w:t>
      </w:r>
      <w:r w:rsidR="00291EA6">
        <w:t>limate change</w:t>
      </w:r>
      <w:r>
        <w:t xml:space="preserve">, </w:t>
      </w:r>
      <w:r w:rsidR="00291EA6">
        <w:t xml:space="preserve">which presents a major risk for many councils in New Zealand. While the cost implications of </w:t>
      </w:r>
      <w:r>
        <w:t>this</w:t>
      </w:r>
      <w:r w:rsidR="00291EA6">
        <w:t xml:space="preserve"> and the timing of those costs is largely unknown, many councils are anticipating tha</w:t>
      </w:r>
      <w:r>
        <w:t>t the costs will be significant</w:t>
      </w:r>
      <w:r w:rsidR="00291EA6">
        <w:t xml:space="preserve"> and are unlikely to be affordable for their communities. Uncertainty about how or when changes in the climate will come about make</w:t>
      </w:r>
      <w:r>
        <w:t>s</w:t>
      </w:r>
      <w:r w:rsidR="00291EA6">
        <w:t xml:space="preserve"> this risk difficult to manage.</w:t>
      </w:r>
    </w:p>
    <w:p w14:paraId="46E56218" w14:textId="298B8136" w:rsidR="00291EA6" w:rsidRDefault="009D195F" w:rsidP="009D38AF">
      <w:pPr>
        <w:pStyle w:val="Bulletpoint"/>
      </w:pPr>
      <w:r>
        <w:t>Tourism,</w:t>
      </w:r>
      <w:r w:rsidR="00291EA6">
        <w:t xml:space="preserve"> which creates addition</w:t>
      </w:r>
      <w:r w:rsidR="00B17293">
        <w:t>al demand on infrastructure without creating additional revenue for counci</w:t>
      </w:r>
      <w:r w:rsidR="00B17293" w:rsidRPr="009D195F">
        <w:t>l</w:t>
      </w:r>
      <w:r w:rsidR="00B17293">
        <w:t>s. Tourism is typically creating more pressure for small, or rural, councils than it is for larger councils.</w:t>
      </w:r>
    </w:p>
    <w:p w14:paraId="6D00064C" w14:textId="48B6A460" w:rsidR="00B17293" w:rsidRDefault="00B17293" w:rsidP="009D38AF">
      <w:pPr>
        <w:pStyle w:val="Bulletpoint"/>
      </w:pPr>
      <w:r>
        <w:t>Seismic strengthening</w:t>
      </w:r>
      <w:r w:rsidR="009D195F">
        <w:t>,</w:t>
      </w:r>
      <w:r>
        <w:t xml:space="preserve"> which is generating new costs to ensure the safety of publicly owned buildings and infrastructure. New seismic standards are increasing the costs of constructing new bridges and other major infrastructure. The requirement for privately owned buildings to </w:t>
      </w:r>
      <w:r w:rsidR="009D195F">
        <w:t>meet</w:t>
      </w:r>
      <w:r>
        <w:t xml:space="preserve"> earthquake standards is also placing pressure on small communities.</w:t>
      </w:r>
    </w:p>
    <w:p w14:paraId="1FF7EAC3" w14:textId="7241E8EB" w:rsidR="00B17293" w:rsidRDefault="00B17293" w:rsidP="009D38AF">
      <w:pPr>
        <w:pStyle w:val="Bulletpoint"/>
      </w:pPr>
      <w:r>
        <w:t>Compliance costs</w:t>
      </w:r>
      <w:r w:rsidR="009D195F">
        <w:t>. T</w:t>
      </w:r>
      <w:r>
        <w:t>he introduction of new standards and regulations is creating additional costs on councils. In some cases this has a direct impact on the amount and cost of infrastructure that councils must invest in, while in other cases this creates additional operating costs.</w:t>
      </w:r>
    </w:p>
    <w:p w14:paraId="657FB458" w14:textId="3F87C76E" w:rsidR="002D6ED1" w:rsidRDefault="00B17293" w:rsidP="004A372C">
      <w:pPr>
        <w:pStyle w:val="ListParagraph"/>
      </w:pPr>
      <w:r>
        <w:t>In order to respond to some of these external risks, and to maintain lower rates rises, councils have investigated alternative funding options, including partnerships with government departments and local Iwi to deliver services more efficiently.</w:t>
      </w:r>
    </w:p>
    <w:p w14:paraId="0BE504FF" w14:textId="6BFD56C4" w:rsidR="00EA0C78" w:rsidRDefault="00EA0C78" w:rsidP="009D38AF">
      <w:pPr>
        <w:pStyle w:val="Bulletpoint"/>
        <w:numPr>
          <w:ilvl w:val="0"/>
          <w:numId w:val="0"/>
        </w:numPr>
        <w:ind w:left="993"/>
      </w:pPr>
      <w:r>
        <w:br w:type="page"/>
      </w:r>
    </w:p>
    <w:p w14:paraId="7039EAA1" w14:textId="38AC2EF8" w:rsidR="00125343" w:rsidRDefault="00316A3D" w:rsidP="00316A3D">
      <w:pPr>
        <w:pStyle w:val="Heading1"/>
        <w:tabs>
          <w:tab w:val="left" w:pos="2127"/>
        </w:tabs>
      </w:pPr>
      <w:bookmarkStart w:id="85" w:name="_Toc520703192"/>
      <w:r>
        <w:t>Appendix</w:t>
      </w:r>
      <w:r w:rsidR="00FC7644">
        <w:t xml:space="preserve"> A</w:t>
      </w:r>
      <w:r w:rsidR="008D7D76">
        <w:tab/>
      </w:r>
      <w:r w:rsidR="007B361B">
        <w:t>Methodology</w:t>
      </w:r>
      <w:bookmarkEnd w:id="85"/>
    </w:p>
    <w:p w14:paraId="7CC9C4EC" w14:textId="77777777" w:rsidR="007B361B" w:rsidRDefault="007B361B" w:rsidP="007B361B">
      <w:pPr>
        <w:pStyle w:val="Heading2"/>
      </w:pPr>
      <w:bookmarkStart w:id="86" w:name="_Toc516129482"/>
      <w:bookmarkStart w:id="87" w:name="_Toc516829041"/>
      <w:bookmarkStart w:id="88" w:name="_Toc520703193"/>
      <w:r>
        <w:t>Our process</w:t>
      </w:r>
      <w:bookmarkEnd w:id="86"/>
      <w:bookmarkEnd w:id="87"/>
      <w:bookmarkEnd w:id="88"/>
    </w:p>
    <w:p w14:paraId="63949E4C" w14:textId="77777777" w:rsidR="007B361B" w:rsidRDefault="007B361B" w:rsidP="004A372C">
      <w:pPr>
        <w:pStyle w:val="ListParagraph"/>
      </w:pPr>
      <w:r>
        <w:t>Local government in New Zealand follows a cost driven model, whereby the level of rates required to be collected from a community is determined by the funding requirements of the council.  Working within an agreed funding envelope, councils first determine their required level of expenditure to deliver an agreed level of service, before determining the amount of revenue that they need to collect in rates.</w:t>
      </w:r>
    </w:p>
    <w:p w14:paraId="5789C085" w14:textId="2C4FA716" w:rsidR="007B361B" w:rsidRDefault="007B361B" w:rsidP="004A372C">
      <w:pPr>
        <w:pStyle w:val="ListParagraph"/>
      </w:pPr>
      <w:r>
        <w:t>In order to assess appropriateness of current funding mechanisms, affordability of rates, and the potential pressures that may impact long term affordability, it is therefore necessary to examine the key cost</w:t>
      </w:r>
      <w:r w:rsidR="009D195F">
        <w:t>s that local government faces.</w:t>
      </w:r>
    </w:p>
    <w:p w14:paraId="5AAB9245" w14:textId="77777777" w:rsidR="007B361B" w:rsidRDefault="007B361B" w:rsidP="004A372C">
      <w:pPr>
        <w:pStyle w:val="ListParagraph"/>
      </w:pPr>
      <w:r>
        <w:t>Our approach involved:</w:t>
      </w:r>
    </w:p>
    <w:p w14:paraId="031746C0" w14:textId="065A98B2" w:rsidR="007B361B" w:rsidRDefault="009D195F" w:rsidP="009D38AF">
      <w:pPr>
        <w:pStyle w:val="Bulletpoint"/>
      </w:pPr>
      <w:r>
        <w:t>a</w:t>
      </w:r>
      <w:r w:rsidR="007B361B">
        <w:t>ssessment of all New Zealand local authorities against an agreed set of financial performance measures to inform council selection</w:t>
      </w:r>
    </w:p>
    <w:p w14:paraId="2F01D385" w14:textId="277648E8" w:rsidR="007B361B" w:rsidRPr="008E607D" w:rsidRDefault="009D195F" w:rsidP="00877B57">
      <w:pPr>
        <w:pStyle w:val="Bulletpoint"/>
      </w:pPr>
      <w:r>
        <w:t>d</w:t>
      </w:r>
      <w:r w:rsidR="007B361B" w:rsidRPr="008E607D">
        <w:t xml:space="preserve">evelopment of a financial model to measure key affordability and financial performance metrics for a selection of </w:t>
      </w:r>
      <w:r w:rsidR="00877B57">
        <w:t>fifteen</w:t>
      </w:r>
      <w:r w:rsidR="007B361B" w:rsidRPr="008E607D">
        <w:t xml:space="preserve"> councils using published 2015 </w:t>
      </w:r>
      <w:r w:rsidR="00465FBD" w:rsidRPr="008E607D">
        <w:t>Long Term Pla</w:t>
      </w:r>
      <w:r w:rsidR="007B361B" w:rsidRPr="008E607D">
        <w:t>n data</w:t>
      </w:r>
    </w:p>
    <w:p w14:paraId="741C6FC1" w14:textId="17BEF24A" w:rsidR="007B361B" w:rsidRPr="008E607D" w:rsidRDefault="009D195F" w:rsidP="009D38AF">
      <w:pPr>
        <w:pStyle w:val="Bulletpoint"/>
      </w:pPr>
      <w:r>
        <w:t>r</w:t>
      </w:r>
      <w:r w:rsidR="007B361B" w:rsidRPr="008E607D">
        <w:t>eview of 2015</w:t>
      </w:r>
      <w:r w:rsidR="00465FBD" w:rsidRPr="008E607D">
        <w:t xml:space="preserve"> </w:t>
      </w:r>
      <w:r w:rsidR="00465FBD">
        <w:t>Long Term Plan</w:t>
      </w:r>
      <w:r w:rsidR="00C74548">
        <w:t>s</w:t>
      </w:r>
      <w:r w:rsidR="007B361B" w:rsidRPr="008E607D">
        <w:t xml:space="preserve">, draft 2018 </w:t>
      </w:r>
      <w:r w:rsidR="00465FBD">
        <w:t>Long Term Plan</w:t>
      </w:r>
      <w:r w:rsidR="00C74548">
        <w:t>s</w:t>
      </w:r>
      <w:r w:rsidR="007B361B" w:rsidRPr="008E607D">
        <w:t>, and draft infrastructure strategies for the selected councils</w:t>
      </w:r>
    </w:p>
    <w:p w14:paraId="01F8392D" w14:textId="5546A509" w:rsidR="007B361B" w:rsidRPr="008E607D" w:rsidRDefault="009D195F" w:rsidP="00877B57">
      <w:pPr>
        <w:pStyle w:val="Bulletpoint"/>
      </w:pPr>
      <w:r>
        <w:t>s</w:t>
      </w:r>
      <w:r w:rsidR="007B361B" w:rsidRPr="008E607D">
        <w:t xml:space="preserve">ite visits with five of the </w:t>
      </w:r>
      <w:r w:rsidR="00877B57">
        <w:t>fifteen</w:t>
      </w:r>
      <w:r w:rsidR="007B361B" w:rsidRPr="008E607D">
        <w:t xml:space="preserve"> councils, and informal discussions with other councils across New Zealand</w:t>
      </w:r>
      <w:r w:rsidR="007B361B">
        <w:t xml:space="preserve"> to further inform the cost pressures for local government</w:t>
      </w:r>
      <w:r w:rsidR="007B361B" w:rsidRPr="008E607D">
        <w:t>.</w:t>
      </w:r>
    </w:p>
    <w:p w14:paraId="2AB622C7" w14:textId="77777777" w:rsidR="007B361B" w:rsidRDefault="007B361B" w:rsidP="004A372C">
      <w:pPr>
        <w:pStyle w:val="ListParagraph"/>
      </w:pPr>
      <w:r>
        <w:t>Issues identified throughout this process were grouped into themes for presentation within this report.</w:t>
      </w:r>
    </w:p>
    <w:p w14:paraId="28610550" w14:textId="335B26DA" w:rsidR="007B361B" w:rsidRDefault="007B361B" w:rsidP="00316A3D">
      <w:pPr>
        <w:pStyle w:val="Heading2"/>
      </w:pPr>
      <w:bookmarkStart w:id="89" w:name="_Toc516129485"/>
      <w:bookmarkStart w:id="90" w:name="_Toc516829044"/>
      <w:bookmarkStart w:id="91" w:name="_Toc520703194"/>
      <w:r>
        <w:t xml:space="preserve">Analysis of all </w:t>
      </w:r>
      <w:r w:rsidR="009D195F">
        <w:t>council</w:t>
      </w:r>
      <w:r w:rsidR="00316A3D">
        <w:t>s</w:t>
      </w:r>
      <w:r w:rsidR="009D195F">
        <w:t>'</w:t>
      </w:r>
      <w:r w:rsidR="00316A3D">
        <w:t xml:space="preserve"> summar</w:t>
      </w:r>
      <w:r>
        <w:t xml:space="preserve">ised 2015 LTP </w:t>
      </w:r>
      <w:r w:rsidR="00316A3D">
        <w:t>d</w:t>
      </w:r>
      <w:r>
        <w:t>ata</w:t>
      </w:r>
      <w:bookmarkEnd w:id="89"/>
      <w:bookmarkEnd w:id="90"/>
      <w:bookmarkEnd w:id="91"/>
    </w:p>
    <w:p w14:paraId="2D159073" w14:textId="0DA96CF7" w:rsidR="007B361B" w:rsidRDefault="007B361B" w:rsidP="004A372C">
      <w:pPr>
        <w:pStyle w:val="ListParagraph"/>
      </w:pPr>
      <w:r>
        <w:t xml:space="preserve">As part of the process used to select the councils to be included in this study, high level analysis was carried out using the Department of Internal Affairs’ 2015 </w:t>
      </w:r>
      <w:r w:rsidR="00465FBD">
        <w:t>Long Term Pla</w:t>
      </w:r>
      <w:r>
        <w:t>n data for all of the councils in New Zealand.</w:t>
      </w:r>
    </w:p>
    <w:p w14:paraId="2F536312" w14:textId="725B2CAC" w:rsidR="007B361B" w:rsidRDefault="007B361B" w:rsidP="004A372C">
      <w:pPr>
        <w:pStyle w:val="ListParagraph"/>
      </w:pPr>
      <w:r>
        <w:t xml:space="preserve">The analysis was kept at a high level, reflecting the source of data and the use of the analysis within the study. Additionally, the analysis relies solely on 2015 LTP data, and is unlikely to reflect either actual performance as at the date of this report or up to date financial strategies (as set out in draft 2018 </w:t>
      </w:r>
      <w:r w:rsidR="00465FBD">
        <w:t>Long Term Plans</w:t>
      </w:r>
      <w:r>
        <w:t>).</w:t>
      </w:r>
    </w:p>
    <w:p w14:paraId="2D0C7478" w14:textId="77777777" w:rsidR="007B361B" w:rsidRDefault="007B361B" w:rsidP="004A372C">
      <w:pPr>
        <w:pStyle w:val="ListParagraph"/>
      </w:pPr>
      <w:r>
        <w:t>Notwithstanding the limitations set out above, the analysis of LTP data across all New Zealand councils provides some useful insight into some of the key infrastructure and financial issues addressed in this report across the entire sector.</w:t>
      </w:r>
    </w:p>
    <w:p w14:paraId="51DCEBA5" w14:textId="77777777" w:rsidR="007B361B" w:rsidRDefault="007B361B" w:rsidP="007B361B">
      <w:pPr>
        <w:spacing w:before="200" w:after="200" w:line="276" w:lineRule="auto"/>
        <w:rPr>
          <w:rFonts w:asciiTheme="majorHAnsi" w:hAnsiTheme="majorHAnsi"/>
          <w:b/>
          <w:color w:val="84AC2F"/>
          <w:sz w:val="28"/>
          <w:szCs w:val="28"/>
        </w:rPr>
      </w:pPr>
      <w:bookmarkStart w:id="92" w:name="_Toc516129483"/>
      <w:bookmarkStart w:id="93" w:name="_Toc516829042"/>
      <w:r>
        <w:br w:type="page"/>
      </w:r>
    </w:p>
    <w:p w14:paraId="234900CB" w14:textId="77777777" w:rsidR="007B361B" w:rsidRDefault="007B361B" w:rsidP="007B361B">
      <w:pPr>
        <w:pStyle w:val="Heading2"/>
      </w:pPr>
      <w:bookmarkStart w:id="94" w:name="_Toc520703195"/>
      <w:r>
        <w:t>Interaction and interpretation of ratios</w:t>
      </w:r>
      <w:bookmarkEnd w:id="94"/>
    </w:p>
    <w:p w14:paraId="42B03C25" w14:textId="61C8D86E" w:rsidR="007B361B" w:rsidRDefault="007B361B" w:rsidP="004A372C">
      <w:pPr>
        <w:pStyle w:val="ListParagraph"/>
      </w:pPr>
      <w:r>
        <w:t xml:space="preserve">This report discusses the performance of councils against a number of different ratios that relate to affordability of the current rating system and the sustainability of current financial and asset management practices in local government. The ratios selected for inclusion within this report focus on specific financial and infrastructure measures that can be obtained from data contained within </w:t>
      </w:r>
      <w:r w:rsidR="009677BC">
        <w:t>Long Term Plan</w:t>
      </w:r>
      <w:r w:rsidR="00877B57">
        <w:t>s</w:t>
      </w:r>
      <w:r>
        <w:t xml:space="preserve"> and annual reports.</w:t>
      </w:r>
    </w:p>
    <w:p w14:paraId="7E002D75" w14:textId="77777777" w:rsidR="007B361B" w:rsidRDefault="007B361B" w:rsidP="004A372C">
      <w:pPr>
        <w:pStyle w:val="ListParagraph"/>
      </w:pPr>
      <w:r>
        <w:t>It is important to recognise that:</w:t>
      </w:r>
    </w:p>
    <w:p w14:paraId="67DCCF6C" w14:textId="77777777" w:rsidR="007B361B" w:rsidRPr="008E607D" w:rsidRDefault="007B361B" w:rsidP="009D38AF">
      <w:pPr>
        <w:pStyle w:val="Bulletpoint"/>
      </w:pPr>
      <w:r w:rsidRPr="008E607D">
        <w:t>these ratios do not directly compare the condition, quality, or level of service provided by councils</w:t>
      </w:r>
    </w:p>
    <w:p w14:paraId="1D0E4E0F" w14:textId="77777777" w:rsidR="007B361B" w:rsidRPr="008E607D" w:rsidRDefault="007B361B" w:rsidP="009D38AF">
      <w:pPr>
        <w:pStyle w:val="Bulletpoint"/>
      </w:pPr>
      <w:r w:rsidRPr="008E607D">
        <w:t>these ratios should not be considered in isolation. A number of the ratios or performance measures included within this report interact with each other, meaning ‘good’ performance in one ratio may result in ‘poor’ performance in a different ratio</w:t>
      </w:r>
    </w:p>
    <w:p w14:paraId="48D55789" w14:textId="77777777" w:rsidR="007B361B" w:rsidRPr="008E607D" w:rsidRDefault="007B361B" w:rsidP="009D38AF">
      <w:pPr>
        <w:pStyle w:val="Bulletpoint"/>
      </w:pPr>
      <w:r w:rsidRPr="008E607D">
        <w:t>performance against measures presented within the report should be viewed within the context of a community’s needs or wants. The specific circumstances facing individual councils may mean that the approach taken by one council may not be appropriate for a different council.</w:t>
      </w:r>
    </w:p>
    <w:p w14:paraId="3B8C048D" w14:textId="10B7F11A" w:rsidR="007B361B" w:rsidRDefault="007B361B" w:rsidP="004A372C">
      <w:pPr>
        <w:pStyle w:val="ListParagraph"/>
      </w:pPr>
      <w:r>
        <w:t xml:space="preserve">The interaction of different ratios is an important consideration when reviewing this report and is likely to aid in the understanding of how councils’ performance may differ, and why. Appendix </w:t>
      </w:r>
      <w:r w:rsidR="004457D7">
        <w:t>A</w:t>
      </w:r>
      <w:r>
        <w:t xml:space="preserve"> discusses how some of the key ratios referred to in the report are calculated and how they interact.</w:t>
      </w:r>
    </w:p>
    <w:p w14:paraId="059770A4" w14:textId="77777777" w:rsidR="007B361B" w:rsidRDefault="007B361B" w:rsidP="007B361B">
      <w:pPr>
        <w:pStyle w:val="Heading2"/>
      </w:pPr>
      <w:bookmarkStart w:id="95" w:name="_Toc520703196"/>
      <w:r>
        <w:t>Differences in data sets</w:t>
      </w:r>
      <w:bookmarkEnd w:id="95"/>
    </w:p>
    <w:p w14:paraId="1DC8E7C5" w14:textId="15B14949" w:rsidR="007B361B" w:rsidRDefault="007B361B" w:rsidP="004A372C">
      <w:pPr>
        <w:pStyle w:val="ListParagraph"/>
      </w:pPr>
      <w:r>
        <w:t xml:space="preserve">At the time of the study 2018 </w:t>
      </w:r>
      <w:r w:rsidR="009677BC">
        <w:t>Long Term Pla</w:t>
      </w:r>
      <w:r>
        <w:t xml:space="preserve">n data was only available in draft form for some New Zealand councils, with the remainder of the councils yet to release draft </w:t>
      </w:r>
      <w:r w:rsidR="009677BC">
        <w:t>Long Term Pla</w:t>
      </w:r>
      <w:r w:rsidR="00877B57">
        <w:t>n</w:t>
      </w:r>
      <w:r w:rsidR="00C74548">
        <w:t>s</w:t>
      </w:r>
      <w:r>
        <w:t>.</w:t>
      </w:r>
    </w:p>
    <w:p w14:paraId="3F704024" w14:textId="4D430EDB" w:rsidR="007B361B" w:rsidRDefault="007B361B" w:rsidP="004A372C">
      <w:pPr>
        <w:pStyle w:val="ListParagraph"/>
      </w:pPr>
      <w:r>
        <w:t>Our report uses 2015</w:t>
      </w:r>
      <w:r w:rsidR="009677BC">
        <w:t xml:space="preserve"> Long Term Pla</w:t>
      </w:r>
      <w:r>
        <w:t xml:space="preserve">n data to illustrate trends and measure performance of councils in a number of different areas. At the time of writing this report, all of the </w:t>
      </w:r>
      <w:r w:rsidR="00877B57">
        <w:t>fifteen</w:t>
      </w:r>
      <w:r>
        <w:t xml:space="preserve"> councils included in this study had released draft 2018</w:t>
      </w:r>
      <w:r w:rsidR="009677BC">
        <w:t xml:space="preserve"> Long Term Pl</w:t>
      </w:r>
      <w:r w:rsidR="00877B57">
        <w:t>an</w:t>
      </w:r>
      <w:r w:rsidR="00C74548">
        <w:t>s</w:t>
      </w:r>
      <w:r>
        <w:t xml:space="preserve"> and associated consultation material. While this material was reviewed as part of the study, draft </w:t>
      </w:r>
      <w:r w:rsidR="009677BC">
        <w:t>Long Term Pla</w:t>
      </w:r>
      <w:r>
        <w:t>n data was not modelled as it is highly likely to change.</w:t>
      </w:r>
    </w:p>
    <w:p w14:paraId="50597B2C" w14:textId="4DC46961" w:rsidR="007B361B" w:rsidRDefault="007B361B" w:rsidP="004A372C">
      <w:pPr>
        <w:pStyle w:val="ListParagraph"/>
      </w:pPr>
      <w:r>
        <w:t>It is important that graphs and figures presented in this report are viewed within that context. Many councils signalled significant changes in their 2018</w:t>
      </w:r>
      <w:r w:rsidR="00877B57">
        <w:t xml:space="preserve"> </w:t>
      </w:r>
      <w:r w:rsidR="009677BC">
        <w:t>Long Term Pla</w:t>
      </w:r>
      <w:r w:rsidR="00C74548">
        <w:t>ns</w:t>
      </w:r>
      <w:r>
        <w:t>. This section highlights where some of these changes exist and what those changes may be signalling in terms of the sector as a whole.</w:t>
      </w:r>
    </w:p>
    <w:p w14:paraId="13D71583" w14:textId="29BD6D44" w:rsidR="007B361B" w:rsidRDefault="007B361B" w:rsidP="004A372C">
      <w:pPr>
        <w:pStyle w:val="ListParagraph"/>
      </w:pPr>
      <w:r>
        <w:t>High level comparison of draft 2018</w:t>
      </w:r>
      <w:r w:rsidR="00877B57">
        <w:t xml:space="preserve"> </w:t>
      </w:r>
      <w:r w:rsidR="009677BC">
        <w:t>Long Term Pla</w:t>
      </w:r>
      <w:r w:rsidR="00877B57">
        <w:t>ns</w:t>
      </w:r>
      <w:r>
        <w:t xml:space="preserve"> with published 2015</w:t>
      </w:r>
      <w:r w:rsidR="009677BC">
        <w:t xml:space="preserve"> Long Term Pl</w:t>
      </w:r>
      <w:r w:rsidR="00877B57">
        <w:t>a</w:t>
      </w:r>
      <w:r w:rsidR="00C74548">
        <w:t>ns</w:t>
      </w:r>
      <w:r>
        <w:t xml:space="preserve"> was provided by the Department of Internal Affairs.</w:t>
      </w:r>
    </w:p>
    <w:p w14:paraId="3D6103DA" w14:textId="67DD3983" w:rsidR="007B361B" w:rsidRDefault="007B361B" w:rsidP="004A372C">
      <w:pPr>
        <w:pStyle w:val="ListParagraph"/>
      </w:pPr>
      <w:r>
        <w:t xml:space="preserve">The data shows a significant change in the annual percentage of rates revenue collected and the levels of projected debt across all New Zealand councils. This follows a fundamental shift in financial planning observed in many of the </w:t>
      </w:r>
      <w:r w:rsidR="00877B57">
        <w:t>fifteen</w:t>
      </w:r>
      <w:r>
        <w:t xml:space="preserve"> councils we reviewed. The features of this include increased capital expenditure and services being driven up by the level of service and community expectations.</w:t>
      </w:r>
    </w:p>
    <w:p w14:paraId="4DDDA40D" w14:textId="77777777" w:rsidR="007B361B" w:rsidRDefault="007B361B" w:rsidP="007B361B">
      <w:pPr>
        <w:pStyle w:val="Body"/>
        <w:rPr>
          <w:rFonts w:eastAsia="Times New Roman" w:cs="Times New Roman"/>
          <w:lang w:val="en-AU"/>
        </w:rPr>
      </w:pPr>
      <w:r>
        <w:br w:type="page"/>
      </w:r>
    </w:p>
    <w:p w14:paraId="442BF73E" w14:textId="39F5DE6A" w:rsidR="007B361B" w:rsidRDefault="007B361B" w:rsidP="007B361B">
      <w:pPr>
        <w:pStyle w:val="Caption"/>
      </w:pPr>
      <w:bookmarkStart w:id="96" w:name="_Ref518291549"/>
      <w:bookmarkStart w:id="97" w:name="_Toc516746904"/>
      <w:bookmarkStart w:id="98" w:name="_Ref518291532"/>
      <w:bookmarkStart w:id="99" w:name="_Toc520900287"/>
      <w:r>
        <w:t xml:space="preserve">Figure </w:t>
      </w:r>
      <w:r>
        <w:fldChar w:fldCharType="begin"/>
      </w:r>
      <w:r>
        <w:instrText xml:space="preserve"> SEQ Figure \* ARABIC </w:instrText>
      </w:r>
      <w:r>
        <w:fldChar w:fldCharType="separate"/>
      </w:r>
      <w:r w:rsidR="00A00D18">
        <w:rPr>
          <w:noProof/>
        </w:rPr>
        <w:t>33</w:t>
      </w:r>
      <w:r>
        <w:fldChar w:fldCharType="end"/>
      </w:r>
      <w:bookmarkEnd w:id="96"/>
      <w:r>
        <w:tab/>
        <w:t>Annual change</w:t>
      </w:r>
      <w:bookmarkEnd w:id="97"/>
      <w:r>
        <w:t xml:space="preserve"> in rates for all councils – comparison of 2015 and</w:t>
      </w:r>
      <w:r w:rsidR="008D716F">
        <w:t xml:space="preserve"> draft</w:t>
      </w:r>
      <w:r>
        <w:t xml:space="preserve"> 2018 </w:t>
      </w:r>
      <w:r w:rsidR="00877B57">
        <w:t>long term plan</w:t>
      </w:r>
      <w:r w:rsidR="00C74548">
        <w:t>s</w:t>
      </w:r>
      <w:bookmarkEnd w:id="98"/>
      <w:bookmarkEnd w:id="99"/>
    </w:p>
    <w:p w14:paraId="65B8D578" w14:textId="69658510" w:rsidR="007B361B" w:rsidRPr="003518B7" w:rsidRDefault="008D716F" w:rsidP="007B361B">
      <w:pPr>
        <w:spacing w:after="120"/>
      </w:pPr>
      <w:r>
        <w:rPr>
          <w:noProof/>
          <w:lang w:eastAsia="en-NZ"/>
        </w:rPr>
        <mc:AlternateContent>
          <mc:Choice Requires="wps">
            <w:drawing>
              <wp:anchor distT="0" distB="0" distL="114300" distR="114300" simplePos="0" relativeHeight="251664384" behindDoc="0" locked="0" layoutInCell="1" allowOverlap="1" wp14:anchorId="76AE948B" wp14:editId="6CEA850B">
                <wp:simplePos x="0" y="0"/>
                <wp:positionH relativeFrom="column">
                  <wp:posOffset>91492</wp:posOffset>
                </wp:positionH>
                <wp:positionV relativeFrom="paragraph">
                  <wp:posOffset>3175592</wp:posOffset>
                </wp:positionV>
                <wp:extent cx="2764024" cy="392414"/>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2764024" cy="392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598D9" w14:textId="77777777" w:rsidR="007C0AF1" w:rsidRPr="00A6118A" w:rsidRDefault="007C0AF1" w:rsidP="008D716F">
                            <w:pPr>
                              <w:rPr>
                                <w:b/>
                                <w:bCs/>
                                <w:color w:val="404142" w:themeColor="accent3" w:themeShade="80"/>
                              </w:rPr>
                            </w:pPr>
                            <w:r w:rsidRPr="00A6118A">
                              <w:rPr>
                                <w:b/>
                                <w:bCs/>
                                <w:i/>
                                <w:iCs/>
                                <w:color w:val="404142" w:themeColor="accent3" w:themeShade="80"/>
                              </w:rPr>
                              <w:t>Source: Department of Internal Affairs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7" o:spid="_x0000_s1051" type="#_x0000_t202" style="position:absolute;margin-left:7.2pt;margin-top:250.05pt;width:217.65pt;height:3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sxggIAAG4FAAAOAAAAZHJzL2Uyb0RvYy54bWysVN9v2jAQfp+0/8Hy+xqgga6IUDGqTpOq&#10;tlo79dk4NkSzfZ5tSNhf37OTAGJ76bSX5Hz3+Xw/vrvZTaMV2QnnKzAFHV4MKBGGQ1mZdUF/vNx9&#10;+kyJD8yUTIERBd0LT2/mHz/MajsVI9iAKoUj6MT4aW0LugnBTrPM843QzF+AFQaNEpxmAY9unZWO&#10;1ehdq2w0GEyyGlxpHXDhPWpvWyOdJ/9SCh4epfQiEFVQjC2kr0vfVfxm8xmbrh2zm4p3YbB/iEKz&#10;yuCjB1e3LDCyddUfrnTFHXiQ4YKDzkDKiouUA2YzHJxl87xhVqRcsDjeHsrk/59b/rB7cqQqsXfj&#10;K0oM09ikF9EE8gUaEnVYodr6KQKfLUJDgwZE93qPyph4I52Of0yJoB1rvT/UN7rjqBxdTfLBKKeE&#10;o+3yepQP8+gmO962zoevAjSJQkEd9i+Vle3ufWihPSQ+ZuCuUir1UBlSF3RyOR6kCwcLOlcmYkVi&#10;Q+cmZtRGnqSwVyJilPkuJFYjJRAViYdiqRzZMWQQ41yYkHJPfhEdURKDeM/FDn+M6j2X2zz6l8GE&#10;w2VdGXAp+7Owy599yLLFY81P8o5iaFZNS4PUkqhaQbnHhjtoh8ZbfldhV+6ZD0/M4ZRgj3HywyN+&#10;pAKsPnQSJRtwv/+mj3gkL1opqXHqCup/bZkTlKhvBml9PczzOKbpkI+vRnhwp5bVqcVs9RKwLUPc&#10;MZYnMeKD6kXpQL/igljEV9HEDMe3Cxp6cRnaXYALhovFIoFwMC0L9+bZ8ug6dily7qV5Zc52xAxI&#10;6Qfo55NNz/jZYuNNA4ttAFkl8h6r2jUAhzrRv1tAcWucnhPquCbnbwAAAP//AwBQSwMEFAAGAAgA&#10;AAAhAPu/DVzhAAAACgEAAA8AAABkcnMvZG93bnJldi54bWxMj01PwkAQhu8m/ofNmHiT3ZKCULol&#10;pAkxMXoAuXibdpe2YT9qd4Hqr3c84fGdefLOM/l6tIZd9BA67yQkEwFMu9qrzjUSDh/bpwWwENEp&#10;NN5pCd86wLq4v8sxU/7qdvqyjw2jEhcylNDG2Gech7rVFsPE99rR7ugHi5Hi0HA14JXKreFTIebc&#10;YufoQou9Lltdn/ZnK+G13L7jrpraxY8pX96Om/7r8DmT8vFh3KyART3GGwx/+qQOBTlV/uxUYIZy&#10;mhIpYSZEAoyANF0+A6toMk+WwIuc/3+h+AUAAP//AwBQSwECLQAUAAYACAAAACEAtoM4kv4AAADh&#10;AQAAEwAAAAAAAAAAAAAAAAAAAAAAW0NvbnRlbnRfVHlwZXNdLnhtbFBLAQItABQABgAIAAAAIQA4&#10;/SH/1gAAAJQBAAALAAAAAAAAAAAAAAAAAC8BAABfcmVscy8ucmVsc1BLAQItABQABgAIAAAAIQCQ&#10;kusxggIAAG4FAAAOAAAAAAAAAAAAAAAAAC4CAABkcnMvZTJvRG9jLnhtbFBLAQItABQABgAIAAAA&#10;IQD7vw1c4QAAAAoBAAAPAAAAAAAAAAAAAAAAANwEAABkcnMvZG93bnJldi54bWxQSwUGAAAAAAQA&#10;BADzAAAA6gUAAAAA&#10;" filled="f" stroked="f" strokeweight=".5pt">
                <v:textbox>
                  <w:txbxContent>
                    <w:p w14:paraId="1C2598D9" w14:textId="77777777" w:rsidR="007C0AF1" w:rsidRPr="00A6118A" w:rsidRDefault="007C0AF1" w:rsidP="008D716F">
                      <w:pPr>
                        <w:rPr>
                          <w:b/>
                          <w:bCs/>
                          <w:color w:val="404142" w:themeColor="accent3" w:themeShade="80"/>
                        </w:rPr>
                      </w:pPr>
                      <w:r w:rsidRPr="00A6118A">
                        <w:rPr>
                          <w:b/>
                          <w:bCs/>
                          <w:i/>
                          <w:iCs/>
                          <w:color w:val="404142" w:themeColor="accent3" w:themeShade="80"/>
                        </w:rPr>
                        <w:t>Source: Department of Internal Affairs</w:t>
                      </w:r>
                    </w:p>
                  </w:txbxContent>
                </v:textbox>
              </v:shape>
            </w:pict>
          </mc:Fallback>
        </mc:AlternateContent>
      </w:r>
      <w:r w:rsidRPr="00EA408C">
        <w:rPr>
          <w:noProof/>
          <w:lang w:eastAsia="en-NZ"/>
        </w:rPr>
        <w:drawing>
          <wp:inline distT="0" distB="0" distL="0" distR="0" wp14:anchorId="49A533D3" wp14:editId="7BFEDC25">
            <wp:extent cx="4572000" cy="2743200"/>
            <wp:effectExtent l="438150" t="438150" r="438150" b="43815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7EE25586" w14:textId="77777777" w:rsidR="007B361B" w:rsidRDefault="007B361B" w:rsidP="007B361B">
      <w:pPr>
        <w:pStyle w:val="Body"/>
        <w:spacing w:before="0"/>
        <w:rPr>
          <w:i/>
          <w:iCs/>
        </w:rPr>
      </w:pPr>
    </w:p>
    <w:p w14:paraId="56BC9A79" w14:textId="331CB76A" w:rsidR="00E973FB" w:rsidRDefault="007B361B" w:rsidP="007B361B">
      <w:pPr>
        <w:pStyle w:val="Caption"/>
        <w:spacing w:after="120"/>
      </w:pPr>
      <w:bookmarkStart w:id="100" w:name="_Toc516746905"/>
      <w:bookmarkStart w:id="101" w:name="_Toc520900288"/>
      <w:r>
        <w:t xml:space="preserve">Figure </w:t>
      </w:r>
      <w:r>
        <w:fldChar w:fldCharType="begin"/>
      </w:r>
      <w:r>
        <w:instrText xml:space="preserve"> SEQ Figure \* ARABIC </w:instrText>
      </w:r>
      <w:r>
        <w:fldChar w:fldCharType="separate"/>
      </w:r>
      <w:r w:rsidR="00A00D18">
        <w:rPr>
          <w:noProof/>
        </w:rPr>
        <w:t>34</w:t>
      </w:r>
      <w:r>
        <w:fldChar w:fldCharType="end"/>
      </w:r>
      <w:r>
        <w:tab/>
      </w:r>
      <w:bookmarkEnd w:id="100"/>
      <w:r>
        <w:t>Total projected debt for all councils – comparison of 2015 and</w:t>
      </w:r>
      <w:r w:rsidR="008D716F">
        <w:t xml:space="preserve"> draft</w:t>
      </w:r>
      <w:r>
        <w:t xml:space="preserve"> 2018 </w:t>
      </w:r>
      <w:r w:rsidR="00877B57">
        <w:t>long term pla</w:t>
      </w:r>
      <w:r w:rsidR="00C74548">
        <w:t>ns</w:t>
      </w:r>
      <w:bookmarkEnd w:id="101"/>
    </w:p>
    <w:p w14:paraId="4BF7FC53" w14:textId="48C09BE1" w:rsidR="007B361B" w:rsidRDefault="008D716F" w:rsidP="007B361B">
      <w:pPr>
        <w:pStyle w:val="Caption"/>
        <w:spacing w:after="120"/>
      </w:pPr>
      <w:r>
        <w:rPr>
          <w:noProof/>
          <w:lang w:eastAsia="en-NZ"/>
        </w:rPr>
        <mc:AlternateContent>
          <mc:Choice Requires="wps">
            <w:drawing>
              <wp:anchor distT="0" distB="0" distL="114300" distR="114300" simplePos="0" relativeHeight="251669504" behindDoc="0" locked="0" layoutInCell="1" allowOverlap="1" wp14:anchorId="2028DD48" wp14:editId="7B508008">
                <wp:simplePos x="0" y="0"/>
                <wp:positionH relativeFrom="column">
                  <wp:posOffset>19115</wp:posOffset>
                </wp:positionH>
                <wp:positionV relativeFrom="paragraph">
                  <wp:posOffset>3202563</wp:posOffset>
                </wp:positionV>
                <wp:extent cx="2764024" cy="392414"/>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764024" cy="392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19150" w14:textId="77777777" w:rsidR="007C0AF1" w:rsidRPr="00A6118A" w:rsidRDefault="007C0AF1" w:rsidP="008D716F">
                            <w:pPr>
                              <w:rPr>
                                <w:b/>
                                <w:bCs/>
                                <w:color w:val="404142" w:themeColor="accent3" w:themeShade="80"/>
                              </w:rPr>
                            </w:pPr>
                            <w:r w:rsidRPr="00A6118A">
                              <w:rPr>
                                <w:b/>
                                <w:bCs/>
                                <w:i/>
                                <w:iCs/>
                                <w:color w:val="404142" w:themeColor="accent3" w:themeShade="80"/>
                              </w:rPr>
                              <w:t>Source: Department of Internal Affairs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052" type="#_x0000_t202" style="position:absolute;left:0;text-align:left;margin-left:1.5pt;margin-top:252.15pt;width:217.65pt;height:3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UUEgQIAAG4FAAAOAAAAZHJzL2Uyb0RvYy54bWysVN9P2zAQfp+0/8Hy+0hbAhsVKepATJMQ&#10;oMHEs+vYNJrt8+xrk+6v39lJSsX2wrSX5Hz3+fP9Pr/orGFbFWIDruLTowlnykmoG/dc8e+P1x8+&#10;cRZRuFoYcKriOxX5xeL9u/PWz9UM1mBqFRiRuDhvfcXXiH5eFFGulRXxCLxyZNQQrEA6hueiDqIl&#10;dmuK2WRyWrQQah9AqhhJe9Ub+SLza60k3mkdFTJTcfIN8zfk7yp9i8W5mD8H4deNHNwQ/+CFFY2j&#10;R/dUVwIF24TmDyrbyAARNB5JsAVo3UiVY6BoppNX0TyshVc5FkpO9Ps0xf9HK2+394E1NdXu5Iwz&#10;JywV6VF1yD5Dx5KOMtT6OCfggycodmQg9KiPpEyBdzrY9KeQGNkp17t9fhOdJOXs42k5mZWcSbId&#10;n83KaZloipfbPkT8osCyJFQ8UP1yWsX2JmIPHSHpMQfXjTG5hsaxtuKnxyeTfGFvIXLjElblbhho&#10;UkS951nCnVEJY9w3pSkbOYCkyH2oLk1gW0EdJKRUDnPsmZfQCaXJibdcHPAvXr3lch/H+DI43F+2&#10;jYOQo3/ldv1jdFn3eMr5QdxJxG7VDW0wVnYF9Y4KHqAfmujldUNVuRER70WgKaEa0+TjHX20Aco+&#10;DBJnawi//qZPeGpesnLW0tRVPP7ciKA4M18dtfXZtCzTmOZDefJxRodwaFkdWtzGXgKVZUo7xsss&#10;JjyaUdQB7BMtiGV6lUzCSXq74jiKl9jvAlowUi2XGUSD6QXeuAcvE3WqUuq5x+5JBD80JlJL38I4&#10;n2L+qj97bLrpYLlB0E1u3pToPqtDAWioc/sPCyhtjcNzRr2sycVvAAAA//8DAFBLAwQUAAYACAAA&#10;ACEAOWFH++EAAAAJAQAADwAAAGRycy9kb3ducmV2LnhtbEyPQU/DMAyF70j8h8iTuLF061ZVpek0&#10;VZqQEBw2duHmNl5brUlKk22FX485wc32e3r+Xr6ZTC+uNPrOWQWLeQSCbO10ZxsFx/fdYwrCB7Qa&#10;e2dJwRd52BT3dzlm2t3snq6H0AgOsT5DBW0IQyalr1sy6OduIMvayY0GA69jI/WINw43vVxGUSIN&#10;dpY/tDhQ2VJ9PlyMgpdy94b7amnS7758fj1th8/jx1qph9m0fQIRaAp/ZvjFZ3QomKlyF6u96BXE&#10;3CQoWEerGATrqzjloeJLkixAFrn836D4AQAA//8DAFBLAQItABQABgAIAAAAIQC2gziS/gAAAOEB&#10;AAATAAAAAAAAAAAAAAAAAAAAAABbQ29udGVudF9UeXBlc10ueG1sUEsBAi0AFAAGAAgAAAAhADj9&#10;If/WAAAAlAEAAAsAAAAAAAAAAAAAAAAALwEAAF9yZWxzLy5yZWxzUEsBAi0AFAAGAAgAAAAhAHot&#10;RQSBAgAAbgUAAA4AAAAAAAAAAAAAAAAALgIAAGRycy9lMm9Eb2MueG1sUEsBAi0AFAAGAAgAAAAh&#10;ADlhR/vhAAAACQEAAA8AAAAAAAAAAAAAAAAA2wQAAGRycy9kb3ducmV2LnhtbFBLBQYAAAAABAAE&#10;APMAAADpBQAAAAA=&#10;" filled="f" stroked="f" strokeweight=".5pt">
                <v:textbox>
                  <w:txbxContent>
                    <w:p w14:paraId="7ED19150" w14:textId="77777777" w:rsidR="007C0AF1" w:rsidRPr="00A6118A" w:rsidRDefault="007C0AF1" w:rsidP="008D716F">
                      <w:pPr>
                        <w:rPr>
                          <w:b/>
                          <w:bCs/>
                          <w:color w:val="404142" w:themeColor="accent3" w:themeShade="80"/>
                        </w:rPr>
                      </w:pPr>
                      <w:r w:rsidRPr="00A6118A">
                        <w:rPr>
                          <w:b/>
                          <w:bCs/>
                          <w:i/>
                          <w:iCs/>
                          <w:color w:val="404142" w:themeColor="accent3" w:themeShade="80"/>
                        </w:rPr>
                        <w:t>Source: Department of Internal Affairs</w:t>
                      </w:r>
                    </w:p>
                  </w:txbxContent>
                </v:textbox>
              </v:shape>
            </w:pict>
          </mc:Fallback>
        </mc:AlternateContent>
      </w:r>
      <w:r w:rsidRPr="00EA408C">
        <w:rPr>
          <w:noProof/>
          <w:lang w:eastAsia="en-NZ"/>
        </w:rPr>
        <w:drawing>
          <wp:inline distT="0" distB="0" distL="0" distR="0" wp14:anchorId="14521BCB" wp14:editId="5A4CB834">
            <wp:extent cx="4572000" cy="2743200"/>
            <wp:effectExtent l="438150" t="438150" r="438150" b="43815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solidFill>
                      <a:srgbClr val="000000">
                        <a:shade val="95000"/>
                      </a:srgbClr>
                    </a:solidFill>
                    <a:ln w="444500" cap="sq">
                      <a:solidFill>
                        <a:schemeClr val="bg1">
                          <a:lumMod val="85000"/>
                        </a:schemeClr>
                      </a:solidFill>
                      <a:miter lim="800000"/>
                    </a:ln>
                    <a:effectLst/>
                  </pic:spPr>
                </pic:pic>
              </a:graphicData>
            </a:graphic>
          </wp:inline>
        </w:drawing>
      </w:r>
    </w:p>
    <w:p w14:paraId="0397E5BB" w14:textId="275D2FA4" w:rsidR="007B361B" w:rsidRDefault="007B361B" w:rsidP="007A170A">
      <w:pPr>
        <w:ind w:left="720"/>
      </w:pPr>
    </w:p>
    <w:p w14:paraId="7554E7C9" w14:textId="11F5ABDE" w:rsidR="007B361B" w:rsidRDefault="007B361B" w:rsidP="009677BC">
      <w:pPr>
        <w:pStyle w:val="ListParagraph"/>
      </w:pPr>
      <w:r>
        <w:t xml:space="preserve">The difference between projected years </w:t>
      </w:r>
      <w:r w:rsidR="009677BC">
        <w:t>four to ten</w:t>
      </w:r>
      <w:r>
        <w:t xml:space="preserve"> of the 2015 </w:t>
      </w:r>
      <w:r w:rsidR="001C7477">
        <w:t>Long Term Plans</w:t>
      </w:r>
      <w:r>
        <w:t xml:space="preserve">, and the revised rates rises as shown in the draft 2018 </w:t>
      </w:r>
      <w:r w:rsidR="001C7477">
        <w:t>Long Term Plan</w:t>
      </w:r>
      <w:r w:rsidR="00C74548">
        <w:t>s</w:t>
      </w:r>
      <w:r>
        <w:t xml:space="preserve"> is typical of the changes from previous cycles.  In effect that means rates and debt rise much faster over the ten year period than is originally indicated.</w:t>
      </w:r>
    </w:p>
    <w:p w14:paraId="554CF458" w14:textId="77777777" w:rsidR="007B361B" w:rsidRDefault="007B361B" w:rsidP="004A372C">
      <w:pPr>
        <w:pStyle w:val="ListParagraph"/>
      </w:pPr>
      <w:r>
        <w:t>In addition to the differences in rates rises and levels of debt seen nationally, a number of other key themes arose from our review of the sample councils:</w:t>
      </w:r>
    </w:p>
    <w:p w14:paraId="0446A439" w14:textId="5DC7E596" w:rsidR="007B361B" w:rsidRPr="008E607D" w:rsidRDefault="007B361B" w:rsidP="009D38AF">
      <w:pPr>
        <w:pStyle w:val="Bulletpoint"/>
      </w:pPr>
      <w:r>
        <w:t xml:space="preserve">Capital works programmes increasing significantly compared to 2015 </w:t>
      </w:r>
      <w:r w:rsidR="001C7477">
        <w:t>Long Term Plan</w:t>
      </w:r>
      <w:r w:rsidR="00C74548">
        <w:t>s</w:t>
      </w:r>
      <w:r>
        <w:t>, with an avera</w:t>
      </w:r>
      <w:r w:rsidRPr="008E607D">
        <w:t>ge increase in capital works programmes acr</w:t>
      </w:r>
      <w:r>
        <w:t>oss the sample councils of 143%</w:t>
      </w:r>
      <w:r w:rsidRPr="008E607D">
        <w:t>, and some councils increasing their proposed capital works programme by as much as 230%</w:t>
      </w:r>
      <w:r w:rsidR="009D195F">
        <w:t>.</w:t>
      </w:r>
    </w:p>
    <w:p w14:paraId="2516C06D" w14:textId="2947B1FB" w:rsidR="007B361B" w:rsidRPr="008E607D" w:rsidRDefault="007B361B" w:rsidP="009D38AF">
      <w:pPr>
        <w:pStyle w:val="Bulletpoint"/>
      </w:pPr>
      <w:r w:rsidRPr="008E607D">
        <w:t xml:space="preserve">Rates rises during first three years increasing when compared to their projected levels in the 2015 </w:t>
      </w:r>
      <w:r w:rsidR="001C7477">
        <w:t>Long Term Plans</w:t>
      </w:r>
      <w:r w:rsidRPr="008E607D">
        <w:t>. Across the sample, councils’ average rates rises in years one two and three are 5.2%, 5.2%, and 4.17% respectively. In 2015 proposed rates rises for the same ye</w:t>
      </w:r>
      <w:r>
        <w:t>ars averaged 3.6%, 3.6%, and 3%</w:t>
      </w:r>
      <w:r w:rsidR="009D195F">
        <w:t>.</w:t>
      </w:r>
    </w:p>
    <w:p w14:paraId="74E0E565" w14:textId="40E15569" w:rsidR="007B361B" w:rsidRDefault="007B361B" w:rsidP="009D38AF">
      <w:pPr>
        <w:pStyle w:val="Bulletpoint"/>
      </w:pPr>
      <w:r w:rsidRPr="008E607D">
        <w:t>Most councils are proposing an increase in their borrowing (in absolute dollars at least), with councils that currently have relatively low levels of debt seeking to increase the level of debt that they carry in proportion to the</w:t>
      </w:r>
      <w:r>
        <w:t>ir revenue</w:t>
      </w:r>
      <w:r w:rsidR="009D195F">
        <w:t>.</w:t>
      </w:r>
    </w:p>
    <w:p w14:paraId="72CD3EB0" w14:textId="3BD0B190" w:rsidR="007B361B" w:rsidRPr="008E607D" w:rsidRDefault="007B361B" w:rsidP="009D38AF">
      <w:pPr>
        <w:pStyle w:val="Bulletpoint"/>
      </w:pPr>
      <w:r>
        <w:t>A pa</w:t>
      </w:r>
      <w:r w:rsidRPr="008E607D">
        <w:t>rticularly strong focus on climate change issues is apparent in many of the draft</w:t>
      </w:r>
      <w:r w:rsidR="001C7477" w:rsidRPr="008E607D">
        <w:t xml:space="preserve"> </w:t>
      </w:r>
      <w:r w:rsidR="001C7477">
        <w:t>Long Term Plan</w:t>
      </w:r>
      <w:r w:rsidR="00877B57">
        <w:t>s</w:t>
      </w:r>
      <w:r w:rsidRPr="008E607D">
        <w:t xml:space="preserve"> and consultation documents reviewed. Councils that are in areas that we considered would have a low risk from climate change also included discussion on the impacts of climate change in their region.</w:t>
      </w:r>
    </w:p>
    <w:p w14:paraId="38FF6DB1" w14:textId="1A7C36C3" w:rsidR="007B361B" w:rsidRPr="008E607D" w:rsidRDefault="007B361B" w:rsidP="009D38AF">
      <w:pPr>
        <w:pStyle w:val="Bulletpoint"/>
      </w:pPr>
      <w:r w:rsidRPr="008E607D">
        <w:t xml:space="preserve">The cost of servicing peak populations caused by tourism and the cost of investing in tourism related infrastructure has appeared to be a more significant issue in the draft 2018 </w:t>
      </w:r>
      <w:r w:rsidR="001C7477">
        <w:t>Long Term Plans</w:t>
      </w:r>
      <w:r w:rsidR="001C7477" w:rsidRPr="008E607D">
        <w:t>.</w:t>
      </w:r>
    </w:p>
    <w:p w14:paraId="3A1FFD90" w14:textId="55558AC0" w:rsidR="007B361B" w:rsidRPr="00D91120" w:rsidRDefault="007B361B" w:rsidP="009D38AF">
      <w:pPr>
        <w:pStyle w:val="Bulletpoint"/>
      </w:pPr>
      <w:r w:rsidRPr="008E607D">
        <w:t xml:space="preserve">Related to the climate change issue, most draft </w:t>
      </w:r>
      <w:r w:rsidR="001C7477">
        <w:t>Long Term Plans</w:t>
      </w:r>
      <w:r w:rsidRPr="008E607D">
        <w:t xml:space="preserve"> reviewed had a focus on renewing or investing in stormwater infrastructure to address infiltration issues, discharge into waterways or climate chan</w:t>
      </w:r>
      <w:r>
        <w:t>ge related events.</w:t>
      </w:r>
    </w:p>
    <w:p w14:paraId="784F441E" w14:textId="3F09392B" w:rsidR="007B361B" w:rsidRDefault="007B361B" w:rsidP="004A372C">
      <w:pPr>
        <w:pStyle w:val="ListParagraph"/>
      </w:pPr>
      <w:r>
        <w:t xml:space="preserve">Any of the changes signalled in the draft </w:t>
      </w:r>
      <w:r w:rsidR="001C7477">
        <w:t>Long Term Plan</w:t>
      </w:r>
      <w:r w:rsidR="00C74548">
        <w:t>s</w:t>
      </w:r>
      <w:r>
        <w:t xml:space="preserve"> relate to issues that are specifically addressed throughout the report. Unless otherwise stated in the report, the data, graphs and accompanying analysis presented within those sections is derived from 2015 </w:t>
      </w:r>
      <w:r w:rsidR="001C7477">
        <w:t>Long Term Plans</w:t>
      </w:r>
      <w:r>
        <w:t xml:space="preserve">, however our commentary and discussions about issues facing local government is based on draft 2018 </w:t>
      </w:r>
      <w:r w:rsidR="001C7477">
        <w:t>Long Term Plan</w:t>
      </w:r>
      <w:r>
        <w:t xml:space="preserve"> data, and conversations that we had with council staff between April and June 2018.</w:t>
      </w:r>
    </w:p>
    <w:p w14:paraId="13F525B1" w14:textId="6FAE51B6" w:rsidR="007B361B" w:rsidRPr="003E225F" w:rsidRDefault="007B361B" w:rsidP="004A372C">
      <w:pPr>
        <w:pStyle w:val="ListParagraph"/>
      </w:pPr>
      <w:r>
        <w:t xml:space="preserve">Increases in projected rates rises and debt levels from year four of the 2015 </w:t>
      </w:r>
      <w:r w:rsidR="001C7477">
        <w:t>Long Term Pla</w:t>
      </w:r>
      <w:r w:rsidR="00877B57">
        <w:t>n</w:t>
      </w:r>
      <w:r w:rsidR="00C74548">
        <w:t>s</w:t>
      </w:r>
      <w:r>
        <w:t xml:space="preserve"> are not illustrated in this analysis, however such increases are typical when new</w:t>
      </w:r>
      <w:r w:rsidR="001C7477">
        <w:t xml:space="preserve"> Long Term Plan</w:t>
      </w:r>
      <w:r w:rsidR="00C74548">
        <w:t>s</w:t>
      </w:r>
      <w:r>
        <w:t xml:space="preserve"> are developed and this will have an impact on rates affordability.</w:t>
      </w:r>
    </w:p>
    <w:p w14:paraId="3EB3B544" w14:textId="77777777" w:rsidR="007B361B" w:rsidRDefault="007B361B" w:rsidP="007B361B">
      <w:pPr>
        <w:pStyle w:val="Heading2"/>
      </w:pPr>
      <w:bookmarkStart w:id="102" w:name="_Toc520703197"/>
      <w:r>
        <w:t>Council selection</w:t>
      </w:r>
      <w:bookmarkEnd w:id="92"/>
      <w:bookmarkEnd w:id="93"/>
      <w:bookmarkEnd w:id="102"/>
    </w:p>
    <w:p w14:paraId="0F3DD3DD" w14:textId="5F186423" w:rsidR="007B361B" w:rsidRDefault="007B361B" w:rsidP="004A372C">
      <w:pPr>
        <w:pStyle w:val="ListParagraph"/>
      </w:pPr>
      <w:r>
        <w:t xml:space="preserve">This study examines a sample of </w:t>
      </w:r>
      <w:r w:rsidR="00877B57">
        <w:t>fifteen</w:t>
      </w:r>
      <w:r>
        <w:t xml:space="preserve"> councils across New Zealand in order to make observations about the cost pressures and currently available funding mechanisms that impact on local authorities’ ability to respond to and manage the needs of their communities.</w:t>
      </w:r>
    </w:p>
    <w:p w14:paraId="51F576D0" w14:textId="77777777" w:rsidR="007B361B" w:rsidRDefault="007B361B" w:rsidP="004A372C">
      <w:pPr>
        <w:pStyle w:val="ListParagraph"/>
      </w:pPr>
      <w:r>
        <w:t>The study relies on a sample of councils in New Zealand facing a range of diverse and contrasting challenges, meaning sample selection is critical.</w:t>
      </w:r>
    </w:p>
    <w:p w14:paraId="50DBE5E0" w14:textId="77777777" w:rsidR="007B361B" w:rsidRDefault="007B361B" w:rsidP="004A372C">
      <w:pPr>
        <w:pStyle w:val="ListParagraph"/>
      </w:pPr>
      <w:r>
        <w:t>Councils were selected through a two-stage process. The first stage was to divide councils into a number of groups based on key issues that the Department was interested in, or that influence the way in which the Council operates. Those categories were:</w:t>
      </w:r>
    </w:p>
    <w:p w14:paraId="1F0E93D3" w14:textId="1A5B3D3C" w:rsidR="007B361B" w:rsidRDefault="007B361B" w:rsidP="009D38AF">
      <w:pPr>
        <w:pStyle w:val="Bulletpoint"/>
      </w:pPr>
      <w:r w:rsidRPr="002F550E">
        <w:rPr>
          <w:b/>
          <w:bCs/>
        </w:rPr>
        <w:t>Growth</w:t>
      </w:r>
      <w:r w:rsidRPr="002F550E">
        <w:t xml:space="preserve"> </w:t>
      </w:r>
      <w:r>
        <w:t>– Based on categorisation of councils according to the National Policy Statement on Urban Development Capacity (for High and Medium Growth), and Statistics New Zealand subnational population projections (for Low Growth and Declining population councils)</w:t>
      </w:r>
      <w:r w:rsidR="009D195F">
        <w:t>.</w:t>
      </w:r>
    </w:p>
    <w:p w14:paraId="0D49CA24" w14:textId="3948EFA1" w:rsidR="007B361B" w:rsidRPr="002F550E" w:rsidRDefault="007B361B" w:rsidP="009D38AF">
      <w:pPr>
        <w:pStyle w:val="Bulletpoint"/>
      </w:pPr>
      <w:r w:rsidRPr="002F550E">
        <w:rPr>
          <w:b/>
          <w:bCs/>
        </w:rPr>
        <w:t xml:space="preserve">Population </w:t>
      </w:r>
      <w:r>
        <w:t>– Using Statistics New Zealand, subnational population projections (2013 census figure), and grouped into: less than 10,000, between 10,000 and 25,000, between 25,000 and 100,000, and greater than 100,000</w:t>
      </w:r>
      <w:r w:rsidR="009D195F">
        <w:t>.</w:t>
      </w:r>
    </w:p>
    <w:p w14:paraId="62DC7B4D" w14:textId="3E1DBC3E" w:rsidR="007B361B" w:rsidRPr="00AA441E" w:rsidRDefault="007B361B" w:rsidP="009D38AF">
      <w:pPr>
        <w:pStyle w:val="Bulletpoint"/>
      </w:pPr>
      <w:r w:rsidRPr="002F550E">
        <w:rPr>
          <w:b/>
          <w:bCs/>
        </w:rPr>
        <w:t>Unitary versus territorial authorities</w:t>
      </w:r>
      <w:r w:rsidRPr="002F550E">
        <w:t xml:space="preserve"> </w:t>
      </w:r>
      <w:r w:rsidRPr="00AA441E">
        <w:t>– inclusion of unitary authorities allows the study to consider some of the issues faced by regional councils witho</w:t>
      </w:r>
      <w:r>
        <w:t>ut compromising the sample size</w:t>
      </w:r>
      <w:r w:rsidR="009D195F">
        <w:t>.</w:t>
      </w:r>
    </w:p>
    <w:p w14:paraId="3F7329F7" w14:textId="15CB7EAD" w:rsidR="007B361B" w:rsidRPr="002F550E" w:rsidRDefault="007B361B" w:rsidP="009D38AF">
      <w:pPr>
        <w:pStyle w:val="Bulletpoint"/>
      </w:pPr>
      <w:r w:rsidRPr="002F550E">
        <w:rPr>
          <w:b/>
          <w:bCs/>
        </w:rPr>
        <w:t>Average household income</w:t>
      </w:r>
      <w:r>
        <w:t xml:space="preserve"> - Relying on 2013 census data, average (median) household income quartiles for all local authority areas. Councils were grouped into either bottom, second, third or upper household median income quartile</w:t>
      </w:r>
      <w:r w:rsidR="009D195F">
        <w:t>.</w:t>
      </w:r>
    </w:p>
    <w:p w14:paraId="401DBF46" w14:textId="77777777" w:rsidR="007B361B" w:rsidRPr="0069275B" w:rsidRDefault="007B361B" w:rsidP="004A372C">
      <w:pPr>
        <w:pStyle w:val="ListParagraph"/>
      </w:pPr>
      <w:r>
        <w:t>A</w:t>
      </w:r>
      <w:r w:rsidRPr="0069275B">
        <w:t>s climate change was an issue that was also of interest to the D</w:t>
      </w:r>
      <w:r>
        <w:t>epartment the selection of council</w:t>
      </w:r>
      <w:r w:rsidRPr="0069275B">
        <w:t>s also considered the potential impact of climate change events. No definitive risk assessment for climate change by territorial authority was found, so this consideration was based on various government reports and news articles regarding the impacts of climate change in New Zealand.</w:t>
      </w:r>
    </w:p>
    <w:p w14:paraId="36ABE851" w14:textId="20ACA2F0" w:rsidR="007B361B" w:rsidRDefault="007B361B" w:rsidP="004A372C">
      <w:pPr>
        <w:pStyle w:val="ListParagraph"/>
      </w:pPr>
      <w:r w:rsidRPr="0069275B">
        <w:t>Finally, council selection also considered the levels to which each local authority was impacted by tourism. The impact of tourism was determined by reference to The Ministry of Business, Innovation and Employment’s annual tourism spend data</w:t>
      </w:r>
      <w:r w:rsidR="00C1370C">
        <w:t>.</w:t>
      </w:r>
    </w:p>
    <w:p w14:paraId="7D50CD11" w14:textId="77777777" w:rsidR="007B361B" w:rsidRDefault="007B361B" w:rsidP="004A372C">
      <w:pPr>
        <w:pStyle w:val="ListParagraph"/>
      </w:pPr>
      <w:r>
        <w:t>Once councils were grouped according to the above criteria, the selection of councils from within each group was based on performance against a number of key financial measures. This ensured that councils selected covered a broad spectrum of different external factors (i.e. the groupings above) and ‘financial health’. The measures chosen to be used for the council selection phase were based on the data available from the Department’s LTP database, and core infrastructure ratios used in New Zealand and overseas (noting that infrastructure investment represents a large portion of annual outgoings for councils, and has long term impacts).</w:t>
      </w:r>
    </w:p>
    <w:p w14:paraId="1FD80023" w14:textId="2185EC26" w:rsidR="007B361B" w:rsidRDefault="007B361B" w:rsidP="004A372C">
      <w:pPr>
        <w:pStyle w:val="ListParagraph"/>
      </w:pPr>
      <w:r>
        <w:t>The ratios used included:</w:t>
      </w:r>
    </w:p>
    <w:p w14:paraId="3C89F50A" w14:textId="77777777" w:rsidR="007B361B" w:rsidRPr="008E607D" w:rsidRDefault="007B361B" w:rsidP="009D38AF">
      <w:pPr>
        <w:pStyle w:val="Bulletpoint"/>
      </w:pPr>
      <w:r w:rsidRPr="008E607D">
        <w:t>Renewals ratio</w:t>
      </w:r>
    </w:p>
    <w:p w14:paraId="138A4E90" w14:textId="77777777" w:rsidR="007B361B" w:rsidRPr="008E607D" w:rsidRDefault="007B361B" w:rsidP="009D38AF">
      <w:pPr>
        <w:pStyle w:val="Bulletpoint"/>
      </w:pPr>
      <w:r w:rsidRPr="008E607D">
        <w:t>Depreciation funding ratio (gross)</w:t>
      </w:r>
    </w:p>
    <w:p w14:paraId="3BF49A31" w14:textId="77777777" w:rsidR="007B361B" w:rsidRPr="008E607D" w:rsidRDefault="007B361B" w:rsidP="009D38AF">
      <w:pPr>
        <w:pStyle w:val="Bulletpoint"/>
      </w:pPr>
      <w:r w:rsidRPr="008E607D">
        <w:t>Percentage increase in total rates revenue</w:t>
      </w:r>
    </w:p>
    <w:p w14:paraId="31CC2643" w14:textId="77777777" w:rsidR="007B361B" w:rsidRPr="008E607D" w:rsidRDefault="007B361B" w:rsidP="009D38AF">
      <w:pPr>
        <w:pStyle w:val="Bulletpoint"/>
      </w:pPr>
      <w:r w:rsidRPr="008E607D">
        <w:t>Debt to revenue ratio</w:t>
      </w:r>
    </w:p>
    <w:p w14:paraId="7FE4B7B8" w14:textId="77777777" w:rsidR="007B361B" w:rsidRDefault="007B361B" w:rsidP="004A372C">
      <w:pPr>
        <w:pStyle w:val="ListParagraph"/>
      </w:pPr>
      <w:r>
        <w:t>Charts of sector performance against the above mentioned ratios, and commentary on what this demonstrates, are included in the analysis section of this report.</w:t>
      </w:r>
    </w:p>
    <w:p w14:paraId="046916D1" w14:textId="5D1FA4FB" w:rsidR="007B361B" w:rsidRDefault="007B361B" w:rsidP="007B361B">
      <w:pPr>
        <w:pStyle w:val="Heading2"/>
      </w:pPr>
      <w:bookmarkStart w:id="103" w:name="_Toc516129488"/>
      <w:bookmarkStart w:id="104" w:name="_Toc516829050"/>
      <w:bookmarkStart w:id="105" w:name="_Toc520703198"/>
      <w:r w:rsidRPr="00125343">
        <w:t xml:space="preserve">Analysis of </w:t>
      </w:r>
      <w:r w:rsidR="00316A3D" w:rsidRPr="00125343">
        <w:t>selected counci</w:t>
      </w:r>
      <w:r w:rsidRPr="00125343">
        <w:t>ls 2015 LTP data</w:t>
      </w:r>
      <w:bookmarkEnd w:id="103"/>
      <w:bookmarkEnd w:id="104"/>
      <w:bookmarkEnd w:id="105"/>
    </w:p>
    <w:p w14:paraId="4E9D04E6" w14:textId="1F4B466F" w:rsidR="007B361B" w:rsidRDefault="007B361B" w:rsidP="004A372C">
      <w:pPr>
        <w:pStyle w:val="ListParagraph"/>
      </w:pPr>
      <w:r>
        <w:t xml:space="preserve">Following selection of the </w:t>
      </w:r>
      <w:r w:rsidR="00877B57">
        <w:t>fifteen</w:t>
      </w:r>
      <w:r>
        <w:t xml:space="preserve"> councils that were chosen for further analysis, their published 2015 </w:t>
      </w:r>
      <w:r w:rsidR="001C7477">
        <w:t>Long Term Plan</w:t>
      </w:r>
      <w:r>
        <w:t xml:space="preserve"> data and 2015, 2016 and 2017 actual results were loaded into our financial model for further analysis.</w:t>
      </w:r>
    </w:p>
    <w:p w14:paraId="78D1D580" w14:textId="30E2A27F" w:rsidR="007B361B" w:rsidRDefault="007B361B" w:rsidP="004A372C">
      <w:pPr>
        <w:pStyle w:val="ListParagraph"/>
      </w:pPr>
      <w:r>
        <w:t xml:space="preserve">The financial model takes core </w:t>
      </w:r>
      <w:r w:rsidR="001C7477">
        <w:t>Long Term Plan</w:t>
      </w:r>
      <w:r>
        <w:t xml:space="preserve"> data and applies more detailed analysis to measure performance against 45 different performance measures.</w:t>
      </w:r>
    </w:p>
    <w:p w14:paraId="24F8898F" w14:textId="60D4E97E" w:rsidR="007B361B" w:rsidRDefault="007B361B" w:rsidP="004A372C">
      <w:pPr>
        <w:pStyle w:val="ListParagraph"/>
      </w:pPr>
      <w:r>
        <w:t xml:space="preserve">The analysis presented throughout this report considers both actual performance and projected performance against these benchmarks. Analysis of the 2015 LTP data from our model is presented both here </w:t>
      </w:r>
      <w:r w:rsidR="00B957C2">
        <w:t>and, in the section,</w:t>
      </w:r>
      <w:r>
        <w:t xml:space="preserve"> entitled “Key issues” as appropriate (i.e. where analysis is useful but does not relate specifically to the key issues discussed in that section it is presented here).</w:t>
      </w:r>
    </w:p>
    <w:p w14:paraId="28A51A27" w14:textId="31D5A4FE" w:rsidR="007B361B" w:rsidRPr="007B361B" w:rsidRDefault="007B361B" w:rsidP="007B361B">
      <w:pPr>
        <w:pStyle w:val="Heading2"/>
      </w:pPr>
      <w:bookmarkStart w:id="106" w:name="_Toc520703199"/>
      <w:r>
        <w:t>Key ratios used within the report</w:t>
      </w:r>
      <w:bookmarkEnd w:id="106"/>
    </w:p>
    <w:p w14:paraId="5FA8E076" w14:textId="77777777" w:rsidR="00125343" w:rsidRDefault="00125343" w:rsidP="00125343">
      <w:pPr>
        <w:pStyle w:val="Heading3"/>
      </w:pPr>
      <w:r>
        <w:t>Infrastructure ratios</w:t>
      </w:r>
    </w:p>
    <w:p w14:paraId="6CB7EA5A" w14:textId="77777777" w:rsidR="00125343" w:rsidRDefault="00125343" w:rsidP="004A372C">
      <w:pPr>
        <w:pStyle w:val="ListParagraph"/>
      </w:pPr>
      <w:r>
        <w:t>Expenditure on assets (in particular roads and three waters) represents a significant portion of a typical council’s outgoings. As such, the age, condition and investment in infrastructure is a key indicator of a councils financial health and potential future costs (and therefore necessary rates take).</w:t>
      </w:r>
    </w:p>
    <w:p w14:paraId="66A67694" w14:textId="110F730B" w:rsidR="00125343" w:rsidRDefault="00125343" w:rsidP="009677BC">
      <w:pPr>
        <w:pStyle w:val="ListParagraph"/>
      </w:pPr>
      <w:r>
        <w:t xml:space="preserve">We measure a council’s investment in its infrastructure assets </w:t>
      </w:r>
      <w:r w:rsidR="00891F1B">
        <w:t>by</w:t>
      </w:r>
      <w:r>
        <w:t xml:space="preserve"> a number of different </w:t>
      </w:r>
      <w:r w:rsidR="00891F1B">
        <w:t>ratios</w:t>
      </w:r>
      <w:r>
        <w:t xml:space="preserve"> within this </w:t>
      </w:r>
      <w:r w:rsidR="009677BC">
        <w:t>report. Three</w:t>
      </w:r>
      <w:r>
        <w:t xml:space="preserve"> of these ratios are highlighted in the chart below, with descriptions of each ratio to follow.</w:t>
      </w:r>
    </w:p>
    <w:p w14:paraId="1B1FFD96" w14:textId="0605CFC2" w:rsidR="00125343" w:rsidRDefault="00125343" w:rsidP="001567EB">
      <w:pPr>
        <w:pStyle w:val="Caption"/>
      </w:pPr>
      <w:bookmarkStart w:id="107" w:name="_Toc516746896"/>
      <w:bookmarkStart w:id="108" w:name="_Toc520900289"/>
      <w:r>
        <w:t xml:space="preserve">Figure </w:t>
      </w:r>
      <w:r w:rsidR="00762E28">
        <w:fldChar w:fldCharType="begin"/>
      </w:r>
      <w:r w:rsidR="00762E28">
        <w:instrText xml:space="preserve"> SEQ Figure \* ARABIC </w:instrText>
      </w:r>
      <w:r w:rsidR="00762E28">
        <w:fldChar w:fldCharType="separate"/>
      </w:r>
      <w:r w:rsidR="00A00D18">
        <w:rPr>
          <w:noProof/>
        </w:rPr>
        <w:t>35</w:t>
      </w:r>
      <w:r w:rsidR="00762E28">
        <w:fldChar w:fldCharType="end"/>
      </w:r>
      <w:r>
        <w:tab/>
        <w:t>Comparison of assets</w:t>
      </w:r>
      <w:bookmarkEnd w:id="107"/>
      <w:bookmarkEnd w:id="108"/>
    </w:p>
    <w:p w14:paraId="35501399" w14:textId="404834E7" w:rsidR="00125343" w:rsidRDefault="00125343" w:rsidP="00125343">
      <w:r>
        <w:rPr>
          <w:noProof/>
          <w:lang w:eastAsia="en-NZ"/>
        </w:rPr>
        <mc:AlternateContent>
          <mc:Choice Requires="wps">
            <w:drawing>
              <wp:anchor distT="0" distB="0" distL="114300" distR="114300" simplePos="0" relativeHeight="251664896" behindDoc="0" locked="0" layoutInCell="1" allowOverlap="1" wp14:anchorId="364E8D46" wp14:editId="4C438220">
                <wp:simplePos x="0" y="0"/>
                <wp:positionH relativeFrom="column">
                  <wp:posOffset>5415915</wp:posOffset>
                </wp:positionH>
                <wp:positionV relativeFrom="paragraph">
                  <wp:posOffset>4129736</wp:posOffset>
                </wp:positionV>
                <wp:extent cx="151075" cy="119270"/>
                <wp:effectExtent l="0" t="0" r="20955" b="14605"/>
                <wp:wrapNone/>
                <wp:docPr id="16" name="Rectangle 16"/>
                <wp:cNvGraphicFramePr/>
                <a:graphic xmlns:a="http://schemas.openxmlformats.org/drawingml/2006/main">
                  <a:graphicData uri="http://schemas.microsoft.com/office/word/2010/wordprocessingShape">
                    <wps:wsp>
                      <wps:cNvSpPr/>
                      <wps:spPr>
                        <a:xfrm>
                          <a:off x="0" y="0"/>
                          <a:ext cx="151075"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9232F6" id="Rectangle 16" o:spid="_x0000_s1026" style="position:absolute;margin-left:426.45pt;margin-top:325.2pt;width:11.9pt;height:9.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KUTkwIAAK0FAAAOAAAAZHJzL2Uyb0RvYy54bWysVE1v2zAMvQ/YfxB0X20HSbsGdYogRYcB&#10;RVs0HXpWZCk2IImapMTJfv0o+SNdV+xQLAdFFMlH8pnk1fVBK7IXzjdgSlqc5ZQIw6FqzLakP55v&#10;v3ylxAdmKqbAiJIehafXi8+frlo7FxOoQVXCEQQxft7aktYh2HmWeV4LzfwZWGFQKcFpFlB026xy&#10;rEV0rbJJnp9nLbjKOuDCe3y96ZR0kfClFDw8SOlFIKqkmFtIp0vnJp7Z4orNt47ZuuF9GuwDWWjW&#10;GAw6Qt2wwMjONX9B6YY78CDDGQedgZQNF6kGrKbI31SzrpkVqRYkx9uRJv//YPn9/tGRpsJvd06J&#10;YRq/0ROyxsxWCYJvSFBr/Rzt1vbR9ZLHa6z2IJ2O/1gHOSRSjyOp4hAIx8diVuQXM0o4qoricnKR&#10;SM9Oztb58E2AJvFSUofRE5Vsf+cDBkTTwSTG8qCa6rZRKgmxT8RKObJn+IU32yImjB5/WCnzIUeE&#10;iZ5ZrL+rON3CUYmIp8yTkEgd1jhJCaemPSXDOBcmFJ2qZpXocpzl+BuyHNJPOSfAiCyxuhG7Bxgs&#10;O5ABuyu2t4+uIvX86Jz/K7HOefRIkcGE0Vk3Btx7AAqr6iN39gNJHTWRpQ1UR2wsB93EectvG/y8&#10;d8yHR+ZwxHAYcW2EBzykgrak0N8oqcH9eu892mPno5aSFke2pP7njjlBifpucCYui+k0zngSprOL&#10;CQrutWbzWmN2egXYMwUuKMvTNdoHNVylA/2C22UZo6KKGY6xS8qDG4RV6FYJ7iculstkhnNtWbgz&#10;a8sjeGQ1tu/z4YU52/d4wOG4h2G82fxNq3e20dPAchdANmkOTrz2fONOSI3T76+4dF7Lyeq0ZRe/&#10;AQAA//8DAFBLAwQUAAYACAAAACEA84YIUuAAAAALAQAADwAAAGRycy9kb3ducmV2LnhtbEyPwU7D&#10;MAyG70i8Q2QkLmhLV9Gu7ZpOCIkriMGFW9Z4TUXjVE3WFZ4ec4Kj7U+/v7/eL24QM06h96Rgs05A&#10;ILXe9NQpeH97WhUgQtRk9OAJFXxhgH1zfVXryvgLveJ8iJ3gEAqVVmBjHCspQ2vR6bD2IxLfTn5y&#10;OvI4ddJM+sLhbpBpkuTS6Z74g9UjPlpsPw9np6D8bl9i4cfMxv6j7Nzm+TTNd0rd3iwPOxARl/gH&#10;w68+q0PDTkd/JhPEoKDI0pJRBXmW3INgotjmWxBH3uRlCrKp5f8OzQ8AAAD//wMAUEsBAi0AFAAG&#10;AAgAAAAhALaDOJL+AAAA4QEAABMAAAAAAAAAAAAAAAAAAAAAAFtDb250ZW50X1R5cGVzXS54bWxQ&#10;SwECLQAUAAYACAAAACEAOP0h/9YAAACUAQAACwAAAAAAAAAAAAAAAAAvAQAAX3JlbHMvLnJlbHNQ&#10;SwECLQAUAAYACAAAACEAqFSlE5MCAACtBQAADgAAAAAAAAAAAAAAAAAuAgAAZHJzL2Uyb0RvYy54&#10;bWxQSwECLQAUAAYACAAAACEA84YIUuAAAAALAQAADwAAAAAAAAAAAAAAAADtBAAAZHJzL2Rvd25y&#10;ZXYueG1sUEsFBgAAAAAEAAQA8wAAAPoFAAAAAA==&#10;" fillcolor="white [3212]" strokecolor="white [3212]" strokeweight="2pt"/>
            </w:pict>
          </mc:Fallback>
        </mc:AlternateContent>
      </w:r>
      <w:r>
        <w:rPr>
          <w:noProof/>
          <w:lang w:eastAsia="en-NZ"/>
        </w:rPr>
        <mc:AlternateContent>
          <mc:Choice Requires="wps">
            <w:drawing>
              <wp:anchor distT="0" distB="0" distL="114300" distR="114300" simplePos="0" relativeHeight="251663872" behindDoc="0" locked="0" layoutInCell="1" allowOverlap="1" wp14:anchorId="1528985A" wp14:editId="54E3DA4B">
                <wp:simplePos x="0" y="0"/>
                <wp:positionH relativeFrom="column">
                  <wp:posOffset>5004739</wp:posOffset>
                </wp:positionH>
                <wp:positionV relativeFrom="paragraph">
                  <wp:posOffset>3900805</wp:posOffset>
                </wp:positionV>
                <wp:extent cx="151075" cy="119270"/>
                <wp:effectExtent l="0" t="0" r="20955" b="14605"/>
                <wp:wrapNone/>
                <wp:docPr id="15" name="Rectangle 15"/>
                <wp:cNvGraphicFramePr/>
                <a:graphic xmlns:a="http://schemas.openxmlformats.org/drawingml/2006/main">
                  <a:graphicData uri="http://schemas.microsoft.com/office/word/2010/wordprocessingShape">
                    <wps:wsp>
                      <wps:cNvSpPr/>
                      <wps:spPr>
                        <a:xfrm>
                          <a:off x="0" y="0"/>
                          <a:ext cx="151075"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C176AC" id="Rectangle 15" o:spid="_x0000_s1026" style="position:absolute;margin-left:394.05pt;margin-top:307.15pt;width:11.9pt;height:9.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PVkgIAAK0FAAAOAAAAZHJzL2Uyb0RvYy54bWysVN9PGzEMfp+0/yHK+7i7io5RcUUViGkS&#10;YgiYeE5zSS9SEmdJ2mv318/J/ShjaA9ofUjj2P5sf2f74nJvNNkJHxTYmlYnJSXCcmiU3dT0x9PN&#10;py+UhMhswzRYUdODCPRy+fHDRecWYgYt6EZ4giA2LDpX0zZGtyiKwFthWDgBJywqJXjDIop+UzSe&#10;dYhudDEry89FB75xHrgIAV+veyVdZnwpBY/fpQwiEl1TzC3m0+dznc5iecEWG89cq/iQBntHFoYp&#10;i0EnqGsWGdl69ReUUdxDABlPOJgCpFRc5Bqwmqp8Vc1jy5zItSA5wU00hf8Hy+92956oBr/dnBLL&#10;DH6jB2SN2Y0WBN+QoM6FBdo9uns/SAGvqdq99Cb9Yx1kn0k9TKSKfSQcH6t5VZ4hNkdVVZ3PzjLp&#10;xdHZ+RC/CjAkXWrqMXqmku1uQ8SAaDqapFgBtGpulNZZSH0irrQnO4ZfeL2pUsLo8YeVtu9yRJjk&#10;WaT6+4rzLR60SHjaPgiJ1GGNs5xwbtpjMoxzYWPVq1rWiD7HeYm/Mcsx/ZxzBkzIEqubsAeA0bIH&#10;GbH7Ygf75Cpyz0/O5b8S650njxwZbJycjbLg3wLQWNUQubcfSeqpSSytoTlgY3noJy44fqPw896y&#10;EO+ZxxHDYcS1Eb/jITV0NYXhRkkL/tdb78keOx+1lHQ4sjUNP7fMC0r0N4szcV6dnqYZz8Lp/GyG&#10;gn+pWb/U2K25AuyZCheU4/ma7KMer9KDecbtskpRUcUsx9g15dGPwlXsVwnuJy5Wq2yGc+1YvLWP&#10;jifwxGpq36f9M/Nu6PGIw3EH43izxatW722Tp4XVNoJUeQ6OvA58407IjTPsr7R0XsrZ6rhll78B&#10;AAD//wMAUEsDBBQABgAIAAAAIQCJPPv33wAAAAsBAAAPAAAAZHJzL2Rvd25yZXYueG1sTI/BTsMw&#10;DIbvSLxDZCQuiKWhMNLSdEJIXEEbXLhlTdZUNE6VZF3h6TEnONr+9Pv7m83iRzbbmIaACsSqAGax&#10;C2bAXsH72/O1BJayRqPHgFbBl02wac/PGl2bcMKtnXe5ZxSCqdYKXM5TzXnqnPU6rcJkkW6HEL3O&#10;NMaem6hPFO5HflMUa+71gPTB6ck+Odt97o5eQfXdvWYZpjuXh4+q9+LlEOcrpS4vlscHYNku+Q+G&#10;X31Sh5ac9uGIJrFRwb2UglAFa3FbAiNCClEB29OmLAXwtuH/O7Q/AAAA//8DAFBLAQItABQABgAI&#10;AAAAIQC2gziS/gAAAOEBAAATAAAAAAAAAAAAAAAAAAAAAABbQ29udGVudF9UeXBlc10ueG1sUEsB&#10;Ai0AFAAGAAgAAAAhADj9If/WAAAAlAEAAAsAAAAAAAAAAAAAAAAALwEAAF9yZWxzLy5yZWxzUEsB&#10;Ai0AFAAGAAgAAAAhABDHc9WSAgAArQUAAA4AAAAAAAAAAAAAAAAALgIAAGRycy9lMm9Eb2MueG1s&#10;UEsBAi0AFAAGAAgAAAAhAIk8+/ffAAAACwEAAA8AAAAAAAAAAAAAAAAA7AQAAGRycy9kb3ducmV2&#10;LnhtbFBLBQYAAAAABAAEAPMAAAD4BQAAAAA=&#10;" fillcolor="white [3212]" strokecolor="white [3212]" strokeweight="2pt"/>
            </w:pict>
          </mc:Fallback>
        </mc:AlternateContent>
      </w:r>
      <w:r>
        <w:rPr>
          <w:noProof/>
          <w:lang w:eastAsia="en-NZ"/>
        </w:rPr>
        <mc:AlternateContent>
          <mc:Choice Requires="wps">
            <w:drawing>
              <wp:anchor distT="0" distB="0" distL="114300" distR="114300" simplePos="0" relativeHeight="251661824" behindDoc="0" locked="0" layoutInCell="1" allowOverlap="1" wp14:anchorId="239F19C5" wp14:editId="443A52D3">
                <wp:simplePos x="0" y="0"/>
                <wp:positionH relativeFrom="column">
                  <wp:posOffset>2779395</wp:posOffset>
                </wp:positionH>
                <wp:positionV relativeFrom="paragraph">
                  <wp:posOffset>4138599</wp:posOffset>
                </wp:positionV>
                <wp:extent cx="151075" cy="119270"/>
                <wp:effectExtent l="0" t="0" r="20955" b="14605"/>
                <wp:wrapNone/>
                <wp:docPr id="14" name="Rectangle 14"/>
                <wp:cNvGraphicFramePr/>
                <a:graphic xmlns:a="http://schemas.openxmlformats.org/drawingml/2006/main">
                  <a:graphicData uri="http://schemas.microsoft.com/office/word/2010/wordprocessingShape">
                    <wps:wsp>
                      <wps:cNvSpPr/>
                      <wps:spPr>
                        <a:xfrm>
                          <a:off x="0" y="0"/>
                          <a:ext cx="151075"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35D620" id="Rectangle 14" o:spid="_x0000_s1026" style="position:absolute;margin-left:218.85pt;margin-top:325.85pt;width:11.9pt;height:9.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4hkwIAAK0FAAAOAAAAZHJzL2Uyb0RvYy54bWysVE1v2zAMvQ/YfxB0X20HyboGdYogRYYB&#10;RVu0HXpWZCk2IImapMTJfv0o+SNtV+xQLAdFFMlH8pnk5dVBK7IXzjdgSlqc5ZQIw6FqzLakP5/W&#10;X75R4gMzFVNgREmPwtOrxedPl62diwnUoCrhCIIYP29tSesQ7DzLPK+FZv4MrDColOA0Cyi6bVY5&#10;1iK6Vtkkz79mLbjKOuDCe3y97pR0kfClFDzcSelFIKqkmFtIp0vnJp7Z4pLNt47ZuuF9GuwDWWjW&#10;GAw6Ql2zwMjONX9B6YY78CDDGQedgZQNF6kGrKbI31TzWDMrUi1IjrcjTf7/wfLb/b0jTYXfbkqJ&#10;YRq/0QOyxsxWCYJvSFBr/RztHu296yWP11jtQTod/7EOckikHkdSxSEQjo/FrMjPZ5RwVBXFxeQ8&#10;kZ6dnK3z4bsATeKlpA6jJyrZ/sYHDIimg0mM5UE11bpRKgmxT8RKObJn+IU32yImjB6vrJT5kCPC&#10;RM8s1t9VnG7hqETEU+ZBSKQOa5ykhFPTnpJhnAsTik5Vs0p0Oc5y/A1ZDumnnBNgRJZY3YjdAwyW&#10;HciA3RXb20dXkXp+dM7/lVjnPHqkyGDC6KwbA+49AIVV9ZE7+4GkjprI0gaqIzaWg27ivOXrBj/v&#10;DfPhnjkcMRxGXBvhDg+poC0p9DdKanC/33uP9tj5qKWkxZEtqf+1Y05Qon4YnImLYjqNM56E6ex8&#10;goJ7qdm81JidXgH2TIELyvJ0jfZBDVfpQD/jdlnGqKhihmPskvLgBmEVulWC+4mL5TKZ4VxbFm7M&#10;o+URPLIa2/fp8Myc7Xs84HDcwjDebP6m1Tvb6GlguQsgmzQHJ157vnEnpMbp91dcOi/lZHXasos/&#10;AAAA//8DAFBLAwQUAAYACAAAACEAy0pC0eAAAAALAQAADwAAAGRycy9kb3ducmV2LnhtbEyPTU/D&#10;MAyG70j8h8hIXBBLC2u7dU0nhMQVxOCyW9Z4TUXjVE3WFX495sRu/nj0+nG1nV0vJhxD50lBukhA&#10;IDXedNQq+Px4uV+BCFGT0b0nVPCNAbb19VWlS+PP9I7TLraCQyiUWoGNcSilDI1Fp8PCD0i8O/rR&#10;6cjt2Eoz6jOHu14+JEkune6IL1g94LPF5mt3cgrWP81bXPkhs7Hbr1uXvh7H6U6p25v5aQMi4hz/&#10;YfjTZ3Wo2engT2SC6BUsH4uCUQV5lnLBxDJPMxAHnhRJBrKu5OUP9S8AAAD//wMAUEsBAi0AFAAG&#10;AAgAAAAhALaDOJL+AAAA4QEAABMAAAAAAAAAAAAAAAAAAAAAAFtDb250ZW50X1R5cGVzXS54bWxQ&#10;SwECLQAUAAYACAAAACEAOP0h/9YAAACUAQAACwAAAAAAAAAAAAAAAAAvAQAAX3JlbHMvLnJlbHNQ&#10;SwECLQAUAAYACAAAACEAR7TuIZMCAACtBQAADgAAAAAAAAAAAAAAAAAuAgAAZHJzL2Uyb0RvYy54&#10;bWxQSwECLQAUAAYACAAAACEAy0pC0eAAAAALAQAADwAAAAAAAAAAAAAAAADtBAAAZHJzL2Rvd25y&#10;ZXYueG1sUEsFBgAAAAAEAAQA8wAAAPoFAAAAAA==&#10;" fillcolor="white [3212]" strokecolor="white [3212]" strokeweight="2pt"/>
            </w:pict>
          </mc:Fallback>
        </mc:AlternateContent>
      </w:r>
      <w:r>
        <w:rPr>
          <w:noProof/>
          <w:lang w:eastAsia="en-NZ"/>
        </w:rPr>
        <mc:AlternateContent>
          <mc:Choice Requires="wps">
            <w:drawing>
              <wp:anchor distT="0" distB="0" distL="114300" distR="114300" simplePos="0" relativeHeight="251659776" behindDoc="0" locked="0" layoutInCell="1" allowOverlap="1" wp14:anchorId="5C903E9E" wp14:editId="0C8851DB">
                <wp:simplePos x="0" y="0"/>
                <wp:positionH relativeFrom="column">
                  <wp:posOffset>2921607</wp:posOffset>
                </wp:positionH>
                <wp:positionV relativeFrom="paragraph">
                  <wp:posOffset>3900170</wp:posOffset>
                </wp:positionV>
                <wp:extent cx="151075" cy="119270"/>
                <wp:effectExtent l="0" t="0" r="20955" b="14605"/>
                <wp:wrapNone/>
                <wp:docPr id="13" name="Rectangle 13"/>
                <wp:cNvGraphicFramePr/>
                <a:graphic xmlns:a="http://schemas.openxmlformats.org/drawingml/2006/main">
                  <a:graphicData uri="http://schemas.microsoft.com/office/word/2010/wordprocessingShape">
                    <wps:wsp>
                      <wps:cNvSpPr/>
                      <wps:spPr>
                        <a:xfrm>
                          <a:off x="0" y="0"/>
                          <a:ext cx="151075" cy="1192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EDC2C5" id="Rectangle 13" o:spid="_x0000_s1026" style="position:absolute;margin-left:230.05pt;margin-top:307.1pt;width:11.9pt;height:9.4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DkwIAAK0FAAAOAAAAZHJzL2Uyb0RvYy54bWysVE1v2zAMvQ/YfxB0X21nzboGdYogRYcB&#10;RRu0HXpWZCkWIIuapMTJfv0o+SNZV+xQLAdFFMlH8pnk1fW+0WQnnFdgSlqc5ZQIw6FSZlPSH8+3&#10;n75S4gMzFdNgREkPwtPr+ccPV62diQnUoCvhCIIYP2ttSesQ7CzLPK9Fw/wZWGFQKcE1LKDoNlnl&#10;WIvojc4mef4la8FV1gEX3uPrTaek84QvpeDhQUovAtElxdxCOl061/HM5ldstnHM1or3abB3ZNEw&#10;ZTDoCHXDAiNbp/6CahR34EGGMw5NBlIqLlINWE2Rv6rmqWZWpFqQHG9Hmvz/g+X3u5UjqsJv95kS&#10;wxr8Ro/IGjMbLQi+IUGt9TO0e7Ir10ser7HavXRN/Mc6yD6RehhJFftAOD4W0yK/mFLCUVUUl5OL&#10;RHp2dLbOh28CGhIvJXUYPVHJdnc+YEA0HUxiLA9aVbdK6yTEPhFL7ciO4Rdeb4qYMHr8YaXNuxwR&#10;Jnpmsf6u4nQLBy0injaPQiJ1WOMkJZya9pgM41yYUHSqmlWiy3Ga42/Ickg/5ZwAI7LE6kbsHmCw&#10;7EAG7K7Y3j66itTzo3P+r8Q659EjRQYTRudGGXBvAWisqo/c2Q8kddREltZQHbCxHHQT5y2/Vfh5&#10;75gPK+ZwxHAYcW2EBzykhrak0N8oqcH9eus92mPno5aSFke2pP7nljlBif5ucCYui/PzOONJOJ9e&#10;TFBwp5r1qcZsmyVgzxS4oCxP12gf9HCVDpoX3C6LGBVVzHCMXVIe3CAsQ7dKcD9xsVgkM5xry8Kd&#10;ebI8gkdWY/s+71+Ys32PBxyOexjGm81etXpnGz0NLLYBpEpzcOS15xt3Qmqcfn/FpXMqJ6vjlp3/&#10;BgAA//8DAFBLAwQUAAYACAAAACEA9Cu5It8AAAALAQAADwAAAGRycy9kb3ducmV2LnhtbEyPwU6E&#10;MBCG7ya+QzMmXozbsiABpGyMiVeNqxdvXTpLiXRK2i6LPr31pMeZ+fLP97e71U5sQR9GRxKyjQCG&#10;1Ds90iDh/e3ptgIWoiKtJkco4QsD7LrLi1Y12p3pFZd9HFgKodAoCSbGueE89AatChs3I6Xb0Xmr&#10;Yhr9wLVX5xRuJ74VouRWjZQ+GDXjo8H+c3+yEurv/iVWbr4zcfyoB5s9H/1yI+X11fpwDyziGv9g&#10;+NVP6tAlp4M7kQ5sklCUIkuohDIrtsASUVR5DeyQNnkugHct/9+h+wEAAP//AwBQSwECLQAUAAYA&#10;CAAAACEAtoM4kv4AAADhAQAAEwAAAAAAAAAAAAAAAAAAAAAAW0NvbnRlbnRfVHlwZXNdLnhtbFBL&#10;AQItABQABgAIAAAAIQA4/SH/1gAAAJQBAAALAAAAAAAAAAAAAAAAAC8BAABfcmVscy8ucmVsc1BL&#10;AQItABQABgAIAAAAIQAh5q+DkwIAAK0FAAAOAAAAAAAAAAAAAAAAAC4CAABkcnMvZTJvRG9jLnht&#10;bFBLAQItABQABgAIAAAAIQD0K7ki3wAAAAsBAAAPAAAAAAAAAAAAAAAAAO0EAABkcnMvZG93bnJl&#10;di54bWxQSwUGAAAAAAQABADzAAAA+QUAAAAA&#10;" fillcolor="white [3212]" strokecolor="white [3212]" strokeweight="2pt"/>
            </w:pict>
          </mc:Fallback>
        </mc:AlternateContent>
      </w:r>
      <w:r w:rsidR="00B24C25" w:rsidRPr="00B24C25">
        <w:rPr>
          <w:noProof/>
          <w:lang w:eastAsia="en-NZ"/>
        </w:rPr>
        <w:t xml:space="preserve"> </w:t>
      </w:r>
      <w:r w:rsidR="00B24C25">
        <w:rPr>
          <w:noProof/>
          <w:lang w:eastAsia="en-NZ"/>
        </w:rPr>
        <w:drawing>
          <wp:inline distT="0" distB="0" distL="0" distR="0" wp14:anchorId="71314619" wp14:editId="4696A1C4">
            <wp:extent cx="6129579" cy="3642101"/>
            <wp:effectExtent l="0" t="0" r="24130" b="15875"/>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C0C9F95" w14:textId="517832FA" w:rsidR="00125343" w:rsidRDefault="00125343" w:rsidP="004A372C">
      <w:pPr>
        <w:pStyle w:val="ListParagraph"/>
      </w:pPr>
      <w:r>
        <w:t xml:space="preserve">The chart shows </w:t>
      </w:r>
      <w:r w:rsidR="00CC1C38">
        <w:t>three</w:t>
      </w:r>
      <w:r>
        <w:t xml:space="preserve"> asset ratios:</w:t>
      </w:r>
      <w:r w:rsidRPr="00125343">
        <w:rPr>
          <w:noProof/>
          <w:lang w:eastAsia="en-NZ"/>
        </w:rPr>
        <w:t xml:space="preserve"> </w:t>
      </w:r>
    </w:p>
    <w:p w14:paraId="6B531083" w14:textId="77777777" w:rsidR="00125343" w:rsidRDefault="00125343" w:rsidP="003D4C9F">
      <w:pPr>
        <w:pStyle w:val="Bulletpoint"/>
        <w:numPr>
          <w:ilvl w:val="0"/>
          <w:numId w:val="4"/>
        </w:numPr>
        <w:ind w:left="1134"/>
      </w:pPr>
      <w:r w:rsidRPr="00D07E2F">
        <w:rPr>
          <w:b/>
        </w:rPr>
        <w:t>The depreciation funding ratio</w:t>
      </w:r>
      <w:r>
        <w:rPr>
          <w:b/>
        </w:rPr>
        <w:t xml:space="preserve"> </w:t>
      </w:r>
      <w:r>
        <w:t>compares the amount of operating cash flows (adjusted for capital grants and NZTA funding) compared to the depreciation on assets across all of councils assets. A ratio above one indicates that a council is collecting enough cash from its operations to be able to invest in the renewal of its assets (using depreciation as the best proxy for renewals requirements over the long term). The ratio does not show where funding is actually applied.</w:t>
      </w:r>
    </w:p>
    <w:p w14:paraId="53152DE0" w14:textId="77777777" w:rsidR="00877B57" w:rsidRDefault="00877B57">
      <w:pPr>
        <w:spacing w:before="200" w:after="200" w:line="276" w:lineRule="auto"/>
        <w:rPr>
          <w:rFonts w:asciiTheme="minorHAnsi" w:hAnsiTheme="minorHAnsi"/>
          <w:b/>
          <w:color w:val="404142" w:themeColor="accent3" w:themeShade="80"/>
          <w:szCs w:val="28"/>
        </w:rPr>
      </w:pPr>
      <w:r>
        <w:rPr>
          <w:b/>
        </w:rPr>
        <w:br w:type="page"/>
      </w:r>
    </w:p>
    <w:p w14:paraId="50AEFBA3" w14:textId="596C1311" w:rsidR="00125343" w:rsidRDefault="00125343" w:rsidP="003D4C9F">
      <w:pPr>
        <w:pStyle w:val="Bulletpoint"/>
        <w:numPr>
          <w:ilvl w:val="0"/>
          <w:numId w:val="4"/>
        </w:numPr>
        <w:ind w:left="1134"/>
      </w:pPr>
      <w:r>
        <w:rPr>
          <w:b/>
        </w:rPr>
        <w:t>The r</w:t>
      </w:r>
      <w:r w:rsidRPr="007C387F">
        <w:rPr>
          <w:b/>
        </w:rPr>
        <w:t xml:space="preserve">enewals </w:t>
      </w:r>
      <w:r>
        <w:rPr>
          <w:b/>
        </w:rPr>
        <w:t>c</w:t>
      </w:r>
      <w:r w:rsidRPr="007C387F">
        <w:rPr>
          <w:b/>
        </w:rPr>
        <w:t>apacity ratio</w:t>
      </w:r>
      <w:r>
        <w:rPr>
          <w:b/>
        </w:rPr>
        <w:t xml:space="preserve"> </w:t>
      </w:r>
      <w:r>
        <w:t xml:space="preserve">measures the investment in the renewal of assets, plus the net movement in debt, cash and investments, as compared to depreciation. </w:t>
      </w:r>
      <w:r w:rsidR="00891F1B">
        <w:t>T</w:t>
      </w:r>
      <w:r>
        <w:t>his ratio measures whether a council is either:</w:t>
      </w:r>
    </w:p>
    <w:p w14:paraId="63F875C1" w14:textId="77777777" w:rsidR="00125343" w:rsidRDefault="00125343" w:rsidP="009D38AF">
      <w:pPr>
        <w:pStyle w:val="Bulletpoint2"/>
      </w:pPr>
      <w:r>
        <w:t>replacing assets at the rate that they deteriorate; or</w:t>
      </w:r>
    </w:p>
    <w:p w14:paraId="4DCA4946" w14:textId="2224551C" w:rsidR="00125343" w:rsidRDefault="00125343" w:rsidP="009D38AF">
      <w:pPr>
        <w:pStyle w:val="Bulletpoint2"/>
      </w:pPr>
      <w:r>
        <w:t>setting aside the future capacity to be able to replace assets when they are due for replacement</w:t>
      </w:r>
      <w:r w:rsidR="009D195F">
        <w:t>.</w:t>
      </w:r>
    </w:p>
    <w:p w14:paraId="6469EC4D" w14:textId="77777777" w:rsidR="00125343" w:rsidRDefault="00125343" w:rsidP="003D4C9F">
      <w:pPr>
        <w:pStyle w:val="Bulletpoint"/>
        <w:numPr>
          <w:ilvl w:val="0"/>
          <w:numId w:val="0"/>
        </w:numPr>
        <w:ind w:left="1134"/>
      </w:pPr>
      <w:r>
        <w:t>The difference between this ratio and the depreciation funding ratio indicates a proportion of depreciation funding (or excess cash flows where the depreciation ratio is above 100%) that has been applied toward level of service or growth assets. This ratio may be higher or lower than the renewals ratio. There is no benchmark for this ratio, however a ratio of one indicates that a council has or is building the financial capacity to be able to address future renewals requirements. A ratio of less than 0.8 may indicate that the council is likely to require an increase in rates revenue, or may need to increase lending, to address future renewals requirements.</w:t>
      </w:r>
    </w:p>
    <w:p w14:paraId="4E9B3910" w14:textId="1227C9D3" w:rsidR="00125343" w:rsidRDefault="00125343" w:rsidP="003D4C9F">
      <w:pPr>
        <w:pStyle w:val="Bulletpoint"/>
        <w:numPr>
          <w:ilvl w:val="0"/>
          <w:numId w:val="4"/>
        </w:numPr>
        <w:ind w:left="1134" w:hanging="425"/>
        <w:rPr>
          <w:bCs/>
        </w:rPr>
      </w:pPr>
      <w:r>
        <w:rPr>
          <w:b/>
        </w:rPr>
        <w:t>The renewals ratio</w:t>
      </w:r>
      <w:r>
        <w:t xml:space="preserve"> measures the investment in</w:t>
      </w:r>
      <w:r w:rsidR="00891F1B">
        <w:t xml:space="preserve"> the</w:t>
      </w:r>
      <w:r>
        <w:t xml:space="preserve"> renewal of assets compared to depreciation </w:t>
      </w:r>
      <w:r w:rsidRPr="003D4C9F">
        <w:rPr>
          <w:bCs/>
        </w:rPr>
        <w:t>on the same set of assets. This chart shows the renewals ratio across all asset types, although analysis of separate asset types (water, wastewater, stormwater and roads) should be considered as there are industry trends. As an annual measure it is unlikely that this ratio would ever be 100% as depreciation is typically spread evenly over the life of an asset while renewals only occur at the end of an assets life. A low renewals ratio may indicate that a council’s asset base is young, or may indicate under-investment in renewals infrastructure.</w:t>
      </w:r>
    </w:p>
    <w:p w14:paraId="7C9CC7E8" w14:textId="31DA5008" w:rsidR="00CC1C38" w:rsidRDefault="00CC1C38" w:rsidP="009677BC">
      <w:pPr>
        <w:pStyle w:val="Bulletpoint"/>
        <w:numPr>
          <w:ilvl w:val="0"/>
          <w:numId w:val="4"/>
        </w:numPr>
        <w:ind w:left="1134"/>
      </w:pPr>
      <w:r>
        <w:rPr>
          <w:b/>
        </w:rPr>
        <w:t>The essential services ratio</w:t>
      </w:r>
      <w:r>
        <w:t xml:space="preserve"> </w:t>
      </w:r>
      <w:r w:rsidR="009677BC">
        <w:t>was not analysed as it considers total capital expenditure and was therefore not useful for considering investment in the replacement of assets.</w:t>
      </w:r>
    </w:p>
    <w:p w14:paraId="2468B5E5" w14:textId="0AB596A1" w:rsidR="007B361B" w:rsidRPr="002E779D" w:rsidRDefault="007B361B" w:rsidP="007B361B">
      <w:pPr>
        <w:pStyle w:val="Heading3"/>
      </w:pPr>
      <w:r w:rsidRPr="002E779D">
        <w:t>Expenditure ratios</w:t>
      </w:r>
    </w:p>
    <w:p w14:paraId="6016C943" w14:textId="77777777" w:rsidR="007B361B" w:rsidRPr="002E779D" w:rsidRDefault="007B361B" w:rsidP="004A372C">
      <w:pPr>
        <w:pStyle w:val="ListParagraph"/>
      </w:pPr>
      <w:r w:rsidRPr="002E779D">
        <w:t>We measure expenditure between councils on a per ratepayer basis to enable better comparison between councils of different sizes.</w:t>
      </w:r>
    </w:p>
    <w:p w14:paraId="08F60367" w14:textId="77777777" w:rsidR="002E779D" w:rsidRPr="002E779D" w:rsidRDefault="007B361B" w:rsidP="004A372C">
      <w:pPr>
        <w:pStyle w:val="ListParagraph"/>
      </w:pPr>
      <w:r w:rsidRPr="002E779D">
        <w:t>Expenditure p</w:t>
      </w:r>
      <w:r w:rsidR="002E779D" w:rsidRPr="002E779D">
        <w:t>er ratepayer is measured in</w:t>
      </w:r>
      <w:r w:rsidRPr="002E779D">
        <w:t xml:space="preserve"> real terms. Measurement of expenditure in real terms allows us to remove the impacts of inflation and examine whether a council is operating more efficiently in the future.</w:t>
      </w:r>
      <w:r w:rsidR="002E779D" w:rsidRPr="002E779D">
        <w:t xml:space="preserve">  </w:t>
      </w:r>
    </w:p>
    <w:p w14:paraId="6533FC95" w14:textId="60ED4D26" w:rsidR="007B361B" w:rsidRPr="002E779D" w:rsidRDefault="002E779D" w:rsidP="004A372C">
      <w:pPr>
        <w:pStyle w:val="ListParagraph"/>
      </w:pPr>
      <w:r w:rsidRPr="002E779D">
        <w:t>In our calculations of real expenditure throughout this report, we have stripped inflation from future costs using the Local Government Cost Index.  This means that where costs may appear to be staying static in real terms, when compared to the consumer price index (which is used for our household living cost projections) those costs are actually increasing.</w:t>
      </w:r>
    </w:p>
    <w:p w14:paraId="2969B7FE" w14:textId="77777777" w:rsidR="007B361B" w:rsidRPr="0095104C" w:rsidRDefault="007B361B" w:rsidP="007B361B">
      <w:pPr>
        <w:pStyle w:val="Heading3"/>
        <w:rPr>
          <w:szCs w:val="24"/>
        </w:rPr>
      </w:pPr>
      <w:r w:rsidRPr="0095104C">
        <w:t>Averages</w:t>
      </w:r>
    </w:p>
    <w:p w14:paraId="57C45F44" w14:textId="77777777" w:rsidR="007B361B" w:rsidRDefault="007B361B" w:rsidP="004A372C">
      <w:pPr>
        <w:pStyle w:val="ListParagraph"/>
      </w:pPr>
      <w:r>
        <w:t>Where this report refers to averages this is the mean value across the full analysis period for all the sample councils unless otherwise stated in the report.</w:t>
      </w:r>
    </w:p>
    <w:p w14:paraId="289B833F" w14:textId="2F05FA24" w:rsidR="00D93F73" w:rsidRPr="0095104C" w:rsidRDefault="00D93F73" w:rsidP="00D93F73">
      <w:pPr>
        <w:pStyle w:val="Heading3"/>
        <w:rPr>
          <w:szCs w:val="24"/>
        </w:rPr>
      </w:pPr>
      <w:r>
        <w:t>Goods and Services Tax</w:t>
      </w:r>
    </w:p>
    <w:p w14:paraId="2192DDC5" w14:textId="135A0BFA" w:rsidR="00D93F73" w:rsidRPr="00125343" w:rsidRDefault="00D93F73" w:rsidP="00D93F73">
      <w:pPr>
        <w:pStyle w:val="ListParagraph"/>
      </w:pPr>
      <w:r>
        <w:t>Amounts referred to in this report are exclusive of Goods and Services Tax.  Where average rates figures are shown, the amounts paid by ratepayers who are not registered for Goods and Services Tax will be 15% higher.</w:t>
      </w:r>
    </w:p>
    <w:p w14:paraId="1448B3AB" w14:textId="1F3D036C" w:rsidR="007B361B" w:rsidRPr="007B361B" w:rsidRDefault="007B361B" w:rsidP="007B361B">
      <w:pPr>
        <w:pStyle w:val="Heading3"/>
        <w:spacing w:before="240"/>
        <w:rPr>
          <w:i w:val="0"/>
          <w:color w:val="84AC2F"/>
          <w:sz w:val="28"/>
        </w:rPr>
      </w:pPr>
      <w:r w:rsidRPr="007B361B">
        <w:rPr>
          <w:i w:val="0"/>
          <w:color w:val="84AC2F"/>
          <w:sz w:val="28"/>
        </w:rPr>
        <w:t>How do we measure affordability</w:t>
      </w:r>
    </w:p>
    <w:p w14:paraId="442165D6" w14:textId="77777777" w:rsidR="007B361B" w:rsidRPr="004D64FB" w:rsidRDefault="007B361B" w:rsidP="004A372C">
      <w:pPr>
        <w:pStyle w:val="ListParagraph"/>
      </w:pPr>
      <w:r w:rsidRPr="004D64FB">
        <w:t>The question of affordability is challenging, as assessing what is or isn’t affordable by a broad group of people is a complex question requiring considerati</w:t>
      </w:r>
      <w:r>
        <w:t xml:space="preserve">on of a wide range of factors. </w:t>
      </w:r>
      <w:r w:rsidRPr="004D64FB">
        <w:t>At a micro-economic level (i.e. looking at a small group of individuals) it may be possible to determine whether a cost is affordable. That is, whether that group is able to pay the cost. However, when looking broadly at a community the question becomes more complex, as the definition of affordability comes into question.</w:t>
      </w:r>
    </w:p>
    <w:p w14:paraId="504C9DDB" w14:textId="27010571" w:rsidR="007B361B" w:rsidRPr="005A1DB8" w:rsidRDefault="007B361B" w:rsidP="004A372C">
      <w:pPr>
        <w:pStyle w:val="ListParagraph"/>
      </w:pPr>
      <w:r w:rsidRPr="005A1DB8">
        <w:t xml:space="preserve">In order to determine whether rates are affordable for a community, </w:t>
      </w:r>
      <w:r>
        <w:t>there are a number of matters that should be considered. For example some of the considerations regarding affordability may include</w:t>
      </w:r>
      <w:r w:rsidRPr="005A1DB8">
        <w:t>:</w:t>
      </w:r>
    </w:p>
    <w:p w14:paraId="2650AF9B" w14:textId="77777777" w:rsidR="007B361B" w:rsidRPr="008E607D" w:rsidRDefault="007B361B" w:rsidP="009D38AF">
      <w:pPr>
        <w:pStyle w:val="Bulletpoint"/>
      </w:pPr>
      <w:r>
        <w:t>w</w:t>
      </w:r>
      <w:r w:rsidRPr="005A1DB8">
        <w:t>hat p</w:t>
      </w:r>
      <w:r w:rsidRPr="008E607D">
        <w:t>roportion of the community must be able to pay the cost</w:t>
      </w:r>
    </w:p>
    <w:p w14:paraId="006D8702" w14:textId="77777777" w:rsidR="007B361B" w:rsidRPr="008E607D" w:rsidRDefault="007B361B" w:rsidP="009D38AF">
      <w:pPr>
        <w:pStyle w:val="Bulletpoint"/>
      </w:pPr>
      <w:r w:rsidRPr="008E607D">
        <w:t>where the cost ranks in terms of the importance of normal household outgoings, and what an appropriate allowance is for those outgoings</w:t>
      </w:r>
    </w:p>
    <w:p w14:paraId="04E105F6" w14:textId="77777777" w:rsidR="007B361B" w:rsidRPr="008E607D" w:rsidRDefault="007B361B" w:rsidP="009D38AF">
      <w:pPr>
        <w:pStyle w:val="Bulletpoint"/>
      </w:pPr>
      <w:r w:rsidRPr="008E607D">
        <w:t>whether any allowances for discretionary spend, savings, or emergency costs must also be considered when determine ability to pay</w:t>
      </w:r>
    </w:p>
    <w:p w14:paraId="47AE649E" w14:textId="77777777" w:rsidR="007B361B" w:rsidRPr="005A1DB8" w:rsidRDefault="007B361B" w:rsidP="009D38AF">
      <w:pPr>
        <w:pStyle w:val="Bulletpoint"/>
      </w:pPr>
      <w:r w:rsidRPr="008E607D">
        <w:t xml:space="preserve">what is included in </w:t>
      </w:r>
      <w:r>
        <w:t>the ‘</w:t>
      </w:r>
      <w:r w:rsidRPr="005A1DB8">
        <w:t>cost</w:t>
      </w:r>
      <w:r>
        <w:t>’.</w:t>
      </w:r>
    </w:p>
    <w:p w14:paraId="0856D3DC" w14:textId="244B9A35" w:rsidR="007B361B" w:rsidRPr="005A1DB8" w:rsidRDefault="007B361B" w:rsidP="004A372C">
      <w:pPr>
        <w:pStyle w:val="ListParagraph"/>
      </w:pPr>
      <w:r w:rsidRPr="005A1DB8">
        <w:t>A number of these issues are matters that are best considered by policy makers, politicians or the wider community, and we do not consider those matters in this report</w:t>
      </w:r>
      <w:r>
        <w:t>, as the purpose of this report is to consider the current structure.</w:t>
      </w:r>
      <w:r w:rsidRPr="005A1DB8">
        <w:t xml:space="preserve"> The answers to these questions will however determine what </w:t>
      </w:r>
      <w:r w:rsidR="004457D7">
        <w:t>the appropriate measure of affordability is</w:t>
      </w:r>
      <w:r w:rsidRPr="005A1DB8">
        <w:t>.</w:t>
      </w:r>
    </w:p>
    <w:p w14:paraId="060A619D" w14:textId="77777777" w:rsidR="007B361B" w:rsidRPr="005A1DB8" w:rsidRDefault="007B361B" w:rsidP="004A372C">
      <w:pPr>
        <w:pStyle w:val="ListParagraph"/>
      </w:pPr>
      <w:r w:rsidRPr="005A1DB8">
        <w:t>For the purposes of measuring affordability in this report, we have determined three possible measures</w:t>
      </w:r>
      <w:r>
        <w:rPr>
          <w:rStyle w:val="FootnoteReference"/>
        </w:rPr>
        <w:footnoteReference w:id="11"/>
      </w:r>
      <w:r w:rsidRPr="005A1DB8">
        <w:t>:</w:t>
      </w:r>
    </w:p>
    <w:p w14:paraId="574F6A79" w14:textId="77777777" w:rsidR="007B361B" w:rsidRPr="008E607D" w:rsidRDefault="007B361B" w:rsidP="009D38AF">
      <w:pPr>
        <w:pStyle w:val="Bulletpoint"/>
      </w:pPr>
      <w:r>
        <w:t>Av</w:t>
      </w:r>
      <w:r w:rsidRPr="008E607D">
        <w:t>erage rates (including fees and charges for roads, and three waters) as a percentage of average household income. This measure shows how much of a household’s income is being applied to the payment of rates in a particular region. Arguably, the higher this percentage, the less affordable rates are.</w:t>
      </w:r>
    </w:p>
    <w:p w14:paraId="1CB484C4" w14:textId="77777777" w:rsidR="007B361B" w:rsidRDefault="007B361B" w:rsidP="009D38AF">
      <w:pPr>
        <w:pStyle w:val="Bulletpoint"/>
      </w:pPr>
      <w:r w:rsidRPr="008E607D">
        <w:t>Average r</w:t>
      </w:r>
      <w:r>
        <w:t>ates (including fee and charges for roads and three waters) as a percentage of average household living expenses. This measures the proportion of living costs that relate to rates. In some cases areas with similar average household incomes may have different levels of rates affordability because living costs are cheaper in one area than the other.</w:t>
      </w:r>
    </w:p>
    <w:p w14:paraId="545620C1" w14:textId="77777777" w:rsidR="007B361B" w:rsidRDefault="007B361B" w:rsidP="009D38AF">
      <w:pPr>
        <w:pStyle w:val="Bulletpoint"/>
      </w:pPr>
      <w:r>
        <w:t>Annual increases in average rates (including fees and charges on roads and three waters). Even though rates may be affordable in absolute terms, or as a percentage of income, when rates rises in any single year are very large, this will impact on affordability, as ratepayers may not have adequately budgeted for that level of increase. Additionally, where rates rises are higher than wage growth, arguably rates become less affordable over time.</w:t>
      </w:r>
    </w:p>
    <w:p w14:paraId="563A538F" w14:textId="77777777" w:rsidR="007B361B" w:rsidRDefault="007B361B" w:rsidP="007B361B">
      <w:pPr>
        <w:pStyle w:val="Heading3"/>
      </w:pPr>
      <w:r>
        <w:t>What are the limitations in our approach?</w:t>
      </w:r>
    </w:p>
    <w:p w14:paraId="16A4892A" w14:textId="74994A6D" w:rsidR="007B361B" w:rsidRDefault="007B361B" w:rsidP="004A372C">
      <w:pPr>
        <w:pStyle w:val="ListParagraph"/>
      </w:pPr>
      <w:r>
        <w:t>The affordability measures that we present in this report provide a good high level snapshot of rates affordability across New Zealand. However, there are a number of limitations in the measures that we use that make comparison between councils challenging. Specifically:</w:t>
      </w:r>
    </w:p>
    <w:p w14:paraId="412EDF88" w14:textId="77777777" w:rsidR="007B361B" w:rsidRPr="008E607D" w:rsidRDefault="007B361B" w:rsidP="009D38AF">
      <w:pPr>
        <w:pStyle w:val="Bulletpoint"/>
      </w:pPr>
      <w:r>
        <w:t>Variatio</w:t>
      </w:r>
      <w:r w:rsidRPr="008E607D">
        <w:t>n in the services provided by a council that are included in rates income means ratepayers get more or less ‘bang for their buck’. For example, waste services may be provided free of additional charge (i.e. fully rates funded), subsidised, 100% user pays or 100% privately. Similarly, the level of user fees and charges for community facilities such as swimming pools, indoor sports centres and public transport varies from region to region.</w:t>
      </w:r>
    </w:p>
    <w:p w14:paraId="3E4244FD" w14:textId="77777777" w:rsidR="007B361B" w:rsidRPr="008E607D" w:rsidRDefault="007B361B" w:rsidP="009D38AF">
      <w:pPr>
        <w:pStyle w:val="Bulletpoint"/>
      </w:pPr>
      <w:r w:rsidRPr="008E607D">
        <w:t>The use of average values for income and living costs means that 50% of a community’s ratepayers will earn (or spend) less than that amount so rates will be much less affordable for them. It may be more appropriate to use a figure representing the 25th percentile (or other such acceptable measure).</w:t>
      </w:r>
    </w:p>
    <w:p w14:paraId="0F5D7CEC" w14:textId="77777777" w:rsidR="007B361B" w:rsidRDefault="007B361B" w:rsidP="009D38AF">
      <w:pPr>
        <w:pStyle w:val="Bulletpoint"/>
      </w:pPr>
      <w:r w:rsidRPr="008E607D">
        <w:t xml:space="preserve">While ‘average’ rates are also used, due to the use of fixed charges and universal annual general charges (UAGCs), the variation in the amount of rates payable between properties of high and low capital value may or may not be significant. Therefore, the use of averages for both parts of the measure does not </w:t>
      </w:r>
      <w:r>
        <w:t>offset.</w:t>
      </w:r>
    </w:p>
    <w:p w14:paraId="2BE22BE9" w14:textId="557B57E8" w:rsidR="002D351E" w:rsidRDefault="007B361B" w:rsidP="004A372C">
      <w:pPr>
        <w:pStyle w:val="ListParagraph"/>
      </w:pPr>
      <w:r>
        <w:t>In order to develop a rates affordability measure that can be easily compared across councils, it would be necessary to a</w:t>
      </w:r>
      <w:r w:rsidR="002E779D">
        <w:t>ddress some of the above issues.</w:t>
      </w:r>
    </w:p>
    <w:sectPr w:rsidR="002D351E" w:rsidSect="00331531">
      <w:footerReference w:type="first" r:id="rId61"/>
      <w:pgSz w:w="11900" w:h="16840"/>
      <w:pgMar w:top="2004" w:right="985" w:bottom="1134" w:left="1134" w:header="426" w:footer="397"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382F55" w14:textId="77777777" w:rsidR="007C0AF1" w:rsidRDefault="007C0AF1">
      <w:r>
        <w:separator/>
      </w:r>
    </w:p>
    <w:p w14:paraId="3E7C8F1E" w14:textId="77777777" w:rsidR="007C0AF1" w:rsidRDefault="007C0AF1"/>
    <w:p w14:paraId="4B8B576D" w14:textId="77777777" w:rsidR="007C0AF1" w:rsidRDefault="007C0AF1" w:rsidP="00033DE2"/>
    <w:p w14:paraId="3BA5CF28" w14:textId="77777777" w:rsidR="007C0AF1" w:rsidRDefault="007C0AF1" w:rsidP="00033DE2"/>
    <w:p w14:paraId="63091436" w14:textId="77777777" w:rsidR="007C0AF1" w:rsidRDefault="007C0AF1"/>
  </w:endnote>
  <w:endnote w:type="continuationSeparator" w:id="0">
    <w:p w14:paraId="70A96C8F" w14:textId="77777777" w:rsidR="007C0AF1" w:rsidRDefault="007C0AF1">
      <w:r>
        <w:continuationSeparator/>
      </w:r>
    </w:p>
    <w:p w14:paraId="2EB6A475" w14:textId="77777777" w:rsidR="007C0AF1" w:rsidRDefault="007C0AF1"/>
    <w:p w14:paraId="2FCFF5BF" w14:textId="77777777" w:rsidR="007C0AF1" w:rsidRDefault="007C0AF1" w:rsidP="00033DE2"/>
    <w:p w14:paraId="581360AD" w14:textId="77777777" w:rsidR="007C0AF1" w:rsidRDefault="007C0AF1" w:rsidP="00033DE2"/>
    <w:p w14:paraId="7A70A0D7" w14:textId="77777777" w:rsidR="007C0AF1" w:rsidRDefault="007C0A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Gothic-Demi">
    <w:altName w:val="Franklin Gothic Demi"/>
    <w:panose1 w:val="00000000000000000000"/>
    <w:charset w:val="4D"/>
    <w:family w:val="auto"/>
    <w:notTrueType/>
    <w:pitch w:val="default"/>
    <w:sig w:usb0="00000003" w:usb1="00000000" w:usb2="00000000" w:usb3="00000000" w:csb0="00000001"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FranklinGothic-DemiItalic">
    <w:altName w:val="Franklin Gothic Dem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Futura Light">
    <w:altName w:val="Futura 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343E7" w14:textId="42F31BB4" w:rsidR="007C0AF1" w:rsidRPr="003F0FC8" w:rsidRDefault="007C0AF1" w:rsidP="00FC0649">
    <w:pPr>
      <w:pStyle w:val="Footer"/>
      <w:pBdr>
        <w:top w:val="single" w:sz="4" w:space="2" w:color="BFBFBF" w:themeColor="background1" w:themeShade="BF"/>
      </w:pBdr>
      <w:tabs>
        <w:tab w:val="clear" w:pos="4320"/>
        <w:tab w:val="clear" w:pos="8640"/>
        <w:tab w:val="right" w:pos="10065"/>
      </w:tabs>
      <w:rPr>
        <w:b/>
        <w:color w:val="515255" w:themeColor="text1" w:themeTint="E6"/>
        <w:sz w:val="18"/>
        <w:szCs w:val="18"/>
      </w:rPr>
    </w:pPr>
    <w:r w:rsidRPr="001C46B0">
      <w:rPr>
        <w:color w:val="515255" w:themeColor="text1" w:themeTint="E6"/>
        <w:sz w:val="18"/>
        <w:szCs w:val="18"/>
      </w:rPr>
      <w:sym w:font="Symbol" w:char="F0E3"/>
    </w:r>
    <w:r w:rsidRPr="001C46B0">
      <w:rPr>
        <w:color w:val="515255" w:themeColor="text1" w:themeTint="E6"/>
        <w:sz w:val="18"/>
        <w:szCs w:val="18"/>
      </w:rPr>
      <w:t xml:space="preserve"> Morrison Low</w:t>
    </w:r>
    <w:r w:rsidRPr="001C46B0">
      <w:rPr>
        <w:color w:val="515255" w:themeColor="text1" w:themeTint="E6"/>
        <w:sz w:val="18"/>
        <w:szCs w:val="18"/>
      </w:rPr>
      <w:tab/>
    </w:r>
    <w:r w:rsidRPr="001C46B0">
      <w:rPr>
        <w:b/>
        <w:color w:val="515255" w:themeColor="text1" w:themeTint="E6"/>
        <w:sz w:val="18"/>
        <w:szCs w:val="18"/>
      </w:rPr>
      <w:fldChar w:fldCharType="begin"/>
    </w:r>
    <w:r w:rsidRPr="001C46B0">
      <w:rPr>
        <w:b/>
        <w:color w:val="515255" w:themeColor="text1" w:themeTint="E6"/>
        <w:sz w:val="18"/>
        <w:szCs w:val="18"/>
      </w:rPr>
      <w:instrText xml:space="preserve"> PAGE   \* MERGEFORMAT </w:instrText>
    </w:r>
    <w:r w:rsidRPr="001C46B0">
      <w:rPr>
        <w:b/>
        <w:color w:val="515255" w:themeColor="text1" w:themeTint="E6"/>
        <w:sz w:val="18"/>
        <w:szCs w:val="18"/>
      </w:rPr>
      <w:fldChar w:fldCharType="separate"/>
    </w:r>
    <w:r w:rsidR="00A00D18">
      <w:rPr>
        <w:b/>
        <w:noProof/>
        <w:color w:val="515255" w:themeColor="text1" w:themeTint="E6"/>
        <w:sz w:val="18"/>
        <w:szCs w:val="18"/>
      </w:rPr>
      <w:t>1</w:t>
    </w:r>
    <w:r w:rsidRPr="001C46B0">
      <w:rPr>
        <w:b/>
        <w:noProof/>
        <w:color w:val="515255" w:themeColor="text1" w:themeTint="E6"/>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7A43" w14:textId="77777777" w:rsidR="007C0AF1" w:rsidRPr="00CE466E" w:rsidRDefault="007C0AF1" w:rsidP="00C70CFF">
    <w:pPr>
      <w:spacing w:after="120" w:line="240" w:lineRule="auto"/>
      <w:rPr>
        <w:rFonts w:cs="Arial"/>
        <w:iCs/>
        <w:color w:val="404142" w:themeColor="accent3" w:themeShade="80"/>
        <w:sz w:val="18"/>
      </w:rPr>
    </w:pPr>
    <w:r w:rsidRPr="00CE466E">
      <w:rPr>
        <w:rFonts w:cs="Arial"/>
        <w:iCs/>
        <w:color w:val="404142" w:themeColor="accent3" w:themeShade="80"/>
        <w:sz w:val="18"/>
      </w:rPr>
      <w:t>© Morrison Low</w:t>
    </w:r>
  </w:p>
  <w:p w14:paraId="50F51596" w14:textId="77777777" w:rsidR="007C0AF1" w:rsidRPr="00CE466E" w:rsidRDefault="007C0AF1" w:rsidP="00C70CFF">
    <w:pPr>
      <w:spacing w:line="240" w:lineRule="auto"/>
      <w:rPr>
        <w:rFonts w:cs="Arial"/>
        <w:color w:val="404142" w:themeColor="accent3" w:themeShade="80"/>
        <w:sz w:val="18"/>
      </w:rPr>
    </w:pPr>
    <w:r w:rsidRPr="00CE466E">
      <w:rPr>
        <w:rFonts w:cs="Arial"/>
        <w:color w:val="404142" w:themeColor="accent3" w:themeShade="80"/>
        <w:sz w:val="18"/>
      </w:rPr>
      <w:t>Except for all client data and factual information contained herein, this document is the copyright of Morrison Low. All or any part of it may only be used, copied or reproduced for the purpose for which it was originally intended, except where the prior permission to do otherwise has been sought from and granted by Morrison Low. Prospective users are invited to make enquiries of Morrison Low concerning using all or part of this copyright document for purposes other than that for which it was intended.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ACE4D" w14:textId="77777777" w:rsidR="007C0AF1" w:rsidRPr="00CE466E" w:rsidRDefault="007C0AF1" w:rsidP="002B6084">
    <w:pPr>
      <w:spacing w:after="120" w:line="240" w:lineRule="auto"/>
      <w:rPr>
        <w:rFonts w:cs="Arial"/>
        <w:iCs/>
        <w:color w:val="404142" w:themeColor="accent3" w:themeShade="80"/>
        <w:sz w:val="18"/>
      </w:rPr>
    </w:pPr>
    <w:r w:rsidRPr="00CE466E">
      <w:rPr>
        <w:rFonts w:cs="Arial"/>
        <w:iCs/>
        <w:color w:val="404142" w:themeColor="accent3" w:themeShade="80"/>
        <w:sz w:val="18"/>
      </w:rPr>
      <w:t>© Morrison Low</w:t>
    </w:r>
  </w:p>
  <w:p w14:paraId="55CC1851" w14:textId="01044D8D" w:rsidR="007C0AF1" w:rsidRPr="00CE466E" w:rsidRDefault="007C0AF1" w:rsidP="002B6084">
    <w:pPr>
      <w:spacing w:line="240" w:lineRule="auto"/>
      <w:rPr>
        <w:rFonts w:cs="Arial"/>
        <w:color w:val="404142" w:themeColor="accent3" w:themeShade="80"/>
        <w:sz w:val="18"/>
      </w:rPr>
    </w:pPr>
    <w:r w:rsidRPr="00CE466E">
      <w:rPr>
        <w:rFonts w:cs="Arial"/>
        <w:color w:val="404142" w:themeColor="accent3" w:themeShade="80"/>
        <w:sz w:val="18"/>
      </w:rPr>
      <w:t>Except for all client data and factual information contained herein, this document is the copyright of Morrison Low. All or any part of it may only be used, copied or reproduced for the purpose for which it was originally intended, except where the prior permission to do otherwise has been sought from and granted by Morrison Low. Prospective users are invited to make enquiries of Morrison Low concerning using all or part of this copyright document for purposes other than that for which it was intended.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48B49" w14:textId="25BE7AE9" w:rsidR="007C0AF1" w:rsidRPr="003F0FC8" w:rsidRDefault="007C0AF1" w:rsidP="002B6084">
    <w:pPr>
      <w:pStyle w:val="Footer"/>
      <w:pBdr>
        <w:top w:val="single" w:sz="4" w:space="2" w:color="BFBFBF" w:themeColor="background1" w:themeShade="BF"/>
      </w:pBdr>
      <w:tabs>
        <w:tab w:val="clear" w:pos="4320"/>
        <w:tab w:val="clear" w:pos="8640"/>
        <w:tab w:val="right" w:pos="9781"/>
      </w:tabs>
      <w:rPr>
        <w:b/>
        <w:color w:val="515255" w:themeColor="text1" w:themeTint="E6"/>
        <w:sz w:val="18"/>
        <w:szCs w:val="18"/>
      </w:rPr>
    </w:pPr>
    <w:r w:rsidRPr="001C46B0">
      <w:rPr>
        <w:color w:val="515255" w:themeColor="text1" w:themeTint="E6"/>
        <w:sz w:val="18"/>
        <w:szCs w:val="18"/>
      </w:rPr>
      <w:sym w:font="Symbol" w:char="F0E3"/>
    </w:r>
    <w:r w:rsidRPr="001C46B0">
      <w:rPr>
        <w:color w:val="515255" w:themeColor="text1" w:themeTint="E6"/>
        <w:sz w:val="18"/>
        <w:szCs w:val="18"/>
      </w:rPr>
      <w:t xml:space="preserve"> Morrison Low</w:t>
    </w:r>
    <w:r w:rsidRPr="001C46B0">
      <w:rPr>
        <w:color w:val="515255" w:themeColor="text1" w:themeTint="E6"/>
        <w:sz w:val="18"/>
        <w:szCs w:val="18"/>
      </w:rPr>
      <w:tab/>
    </w:r>
    <w:r w:rsidRPr="001C46B0">
      <w:rPr>
        <w:b/>
        <w:color w:val="515255" w:themeColor="text1" w:themeTint="E6"/>
        <w:sz w:val="18"/>
        <w:szCs w:val="18"/>
      </w:rPr>
      <w:fldChar w:fldCharType="begin"/>
    </w:r>
    <w:r w:rsidRPr="001C46B0">
      <w:rPr>
        <w:b/>
        <w:color w:val="515255" w:themeColor="text1" w:themeTint="E6"/>
        <w:sz w:val="18"/>
        <w:szCs w:val="18"/>
      </w:rPr>
      <w:instrText xml:space="preserve"> PAGE   \* MERGEFORMAT </w:instrText>
    </w:r>
    <w:r w:rsidRPr="001C46B0">
      <w:rPr>
        <w:b/>
        <w:color w:val="515255" w:themeColor="text1" w:themeTint="E6"/>
        <w:sz w:val="18"/>
        <w:szCs w:val="18"/>
      </w:rPr>
      <w:fldChar w:fldCharType="separate"/>
    </w:r>
    <w:r w:rsidR="00A00D18">
      <w:rPr>
        <w:b/>
        <w:noProof/>
        <w:color w:val="515255" w:themeColor="text1" w:themeTint="E6"/>
        <w:sz w:val="18"/>
        <w:szCs w:val="18"/>
      </w:rPr>
      <w:t>ii</w:t>
    </w:r>
    <w:r w:rsidRPr="001C46B0">
      <w:rPr>
        <w:b/>
        <w:noProof/>
        <w:color w:val="515255" w:themeColor="text1" w:themeTint="E6"/>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FC058" w14:textId="50B709F0" w:rsidR="007C0AF1" w:rsidRDefault="007C0AF1" w:rsidP="00601340">
    <w:pPr>
      <w:pStyle w:val="Footer"/>
      <w:pBdr>
        <w:top w:val="single" w:sz="4" w:space="2" w:color="BFBFBF" w:themeColor="background1" w:themeShade="BF"/>
      </w:pBdr>
      <w:tabs>
        <w:tab w:val="clear" w:pos="4320"/>
        <w:tab w:val="clear" w:pos="8640"/>
        <w:tab w:val="right" w:pos="9639"/>
      </w:tabs>
      <w:spacing w:before="0" w:after="0" w:line="240" w:lineRule="auto"/>
      <w:rPr>
        <w:b/>
        <w:noProof/>
        <w:color w:val="515255" w:themeColor="text1" w:themeTint="E6"/>
        <w:sz w:val="18"/>
        <w:szCs w:val="18"/>
      </w:rPr>
    </w:pPr>
    <w:r w:rsidRPr="001C46B0">
      <w:rPr>
        <w:color w:val="515255" w:themeColor="text1" w:themeTint="E6"/>
        <w:sz w:val="18"/>
        <w:szCs w:val="18"/>
      </w:rPr>
      <w:sym w:font="Symbol" w:char="F0E3"/>
    </w:r>
    <w:r w:rsidRPr="001C46B0">
      <w:rPr>
        <w:color w:val="515255" w:themeColor="text1" w:themeTint="E6"/>
        <w:sz w:val="18"/>
        <w:szCs w:val="18"/>
      </w:rPr>
      <w:t xml:space="preserve"> Morrison Low</w:t>
    </w:r>
    <w:r>
      <w:rPr>
        <w:color w:val="515255" w:themeColor="text1" w:themeTint="E6"/>
        <w:sz w:val="18"/>
        <w:szCs w:val="18"/>
      </w:rPr>
      <w:ptab w:relativeTo="margin" w:alignment="right" w:leader="none"/>
    </w:r>
    <w:r w:rsidRPr="001C46B0">
      <w:rPr>
        <w:b/>
        <w:color w:val="515255" w:themeColor="text1" w:themeTint="E6"/>
        <w:sz w:val="18"/>
        <w:szCs w:val="18"/>
      </w:rPr>
      <w:fldChar w:fldCharType="begin"/>
    </w:r>
    <w:r w:rsidRPr="001C46B0">
      <w:rPr>
        <w:b/>
        <w:color w:val="515255" w:themeColor="text1" w:themeTint="E6"/>
        <w:sz w:val="18"/>
        <w:szCs w:val="18"/>
      </w:rPr>
      <w:instrText xml:space="preserve"> PAGE   \* MERGEFORMAT </w:instrText>
    </w:r>
    <w:r w:rsidRPr="001C46B0">
      <w:rPr>
        <w:b/>
        <w:color w:val="515255" w:themeColor="text1" w:themeTint="E6"/>
        <w:sz w:val="18"/>
        <w:szCs w:val="18"/>
      </w:rPr>
      <w:fldChar w:fldCharType="separate"/>
    </w:r>
    <w:r>
      <w:rPr>
        <w:b/>
        <w:noProof/>
        <w:color w:val="515255" w:themeColor="text1" w:themeTint="E6"/>
        <w:sz w:val="18"/>
        <w:szCs w:val="18"/>
      </w:rPr>
      <w:t>i</w:t>
    </w:r>
    <w:r w:rsidRPr="001C46B0">
      <w:rPr>
        <w:b/>
        <w:noProof/>
        <w:color w:val="515255" w:themeColor="text1" w:themeTint="E6"/>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A2F4D" w14:textId="77777777" w:rsidR="007C0AF1" w:rsidRPr="00F83216" w:rsidRDefault="007C0AF1" w:rsidP="00F832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0B63A" w14:textId="77777777" w:rsidR="007C0AF1" w:rsidRPr="00291045" w:rsidRDefault="007C0AF1" w:rsidP="00291045">
      <w:pPr>
        <w:spacing w:before="0" w:after="0" w:line="240" w:lineRule="auto"/>
        <w:rPr>
          <w:color w:val="404142" w:themeColor="accent3" w:themeShade="80"/>
          <w:sz w:val="16"/>
        </w:rPr>
      </w:pPr>
      <w:r w:rsidRPr="00291045">
        <w:rPr>
          <w:color w:val="404142" w:themeColor="accent3" w:themeShade="80"/>
          <w:sz w:val="16"/>
        </w:rPr>
        <w:separator/>
      </w:r>
    </w:p>
  </w:footnote>
  <w:footnote w:type="continuationSeparator" w:id="0">
    <w:p w14:paraId="34AE5978" w14:textId="77777777" w:rsidR="007C0AF1" w:rsidRPr="00462D6C" w:rsidRDefault="007C0AF1">
      <w:pPr>
        <w:rPr>
          <w:color w:val="404142" w:themeColor="accent3" w:themeShade="80"/>
        </w:rPr>
      </w:pPr>
      <w:r w:rsidRPr="00462D6C">
        <w:rPr>
          <w:color w:val="404142" w:themeColor="accent3" w:themeShade="80"/>
        </w:rPr>
        <w:continuationSeparator/>
      </w:r>
    </w:p>
    <w:p w14:paraId="1FAB2FC1" w14:textId="77777777" w:rsidR="007C0AF1" w:rsidRDefault="007C0AF1" w:rsidP="00462D6C">
      <w:pPr>
        <w:pStyle w:val="FootnoteText"/>
      </w:pPr>
    </w:p>
    <w:p w14:paraId="0553CCD1" w14:textId="77777777" w:rsidR="007C0AF1" w:rsidRDefault="007C0AF1" w:rsidP="00462D6C">
      <w:pPr>
        <w:pStyle w:val="FootnoteText"/>
      </w:pPr>
    </w:p>
    <w:p w14:paraId="7AE52F43" w14:textId="77777777" w:rsidR="007C0AF1" w:rsidRDefault="007C0AF1" w:rsidP="00462D6C">
      <w:pPr>
        <w:pStyle w:val="FootnoteText"/>
      </w:pPr>
    </w:p>
    <w:p w14:paraId="4553062A" w14:textId="77777777" w:rsidR="007C0AF1" w:rsidRDefault="007C0AF1" w:rsidP="00462D6C">
      <w:pPr>
        <w:pStyle w:val="FootnoteText"/>
      </w:pPr>
    </w:p>
  </w:footnote>
  <w:footnote w:type="continuationNotice" w:id="1">
    <w:p w14:paraId="7CCD2FFE" w14:textId="77777777" w:rsidR="007C0AF1" w:rsidRPr="00462D6C" w:rsidRDefault="007C0AF1">
      <w:pPr>
        <w:spacing w:before="0" w:after="0" w:line="240" w:lineRule="auto"/>
        <w:rPr>
          <w:color w:val="404142" w:themeColor="accent3" w:themeShade="80"/>
          <w:sz w:val="18"/>
        </w:rPr>
      </w:pPr>
    </w:p>
  </w:footnote>
  <w:footnote w:id="2">
    <w:p w14:paraId="6738F09E" w14:textId="71AB67FF" w:rsidR="007C0AF1" w:rsidRDefault="007C0AF1" w:rsidP="009D38AF">
      <w:pPr>
        <w:pStyle w:val="FootnoteText"/>
        <w:ind w:left="426" w:hanging="426"/>
      </w:pPr>
      <w:r>
        <w:rPr>
          <w:rStyle w:val="FootnoteReference"/>
        </w:rPr>
        <w:footnoteRef/>
      </w:r>
      <w:r>
        <w:t xml:space="preserve"> </w:t>
      </w:r>
      <w:r>
        <w:tab/>
        <w:t>Refer to Appendix A for description of the ratios referred to in this report</w:t>
      </w:r>
    </w:p>
  </w:footnote>
  <w:footnote w:id="3">
    <w:p w14:paraId="03752D9C" w14:textId="18A0F10D" w:rsidR="007C0AF1" w:rsidRPr="00E57C01" w:rsidRDefault="007C0AF1" w:rsidP="00A25FE1">
      <w:pPr>
        <w:pStyle w:val="FootnoteText"/>
        <w:ind w:left="426" w:hanging="426"/>
        <w:rPr>
          <w:lang w:val="en-US"/>
        </w:rPr>
      </w:pPr>
      <w:r>
        <w:rPr>
          <w:rStyle w:val="FootnoteReference"/>
        </w:rPr>
        <w:footnoteRef/>
      </w:r>
      <w:r>
        <w:t xml:space="preserve"> </w:t>
      </w:r>
      <w:r>
        <w:tab/>
      </w:r>
      <w:r>
        <w:rPr>
          <w:lang w:val="en-US"/>
        </w:rPr>
        <w:t>Note that “other revenue” is substantially fees and charges but also includes some other revenue sources</w:t>
      </w:r>
    </w:p>
  </w:footnote>
  <w:footnote w:id="4">
    <w:p w14:paraId="562259BB" w14:textId="23C83C21" w:rsidR="007C0AF1" w:rsidRPr="003962A7" w:rsidRDefault="007C0AF1" w:rsidP="007C0AF1">
      <w:pPr>
        <w:pStyle w:val="FootnoteText"/>
        <w:ind w:left="284" w:hanging="284"/>
        <w:rPr>
          <w:lang w:val="en-US"/>
        </w:rPr>
      </w:pPr>
      <w:r>
        <w:rPr>
          <w:rStyle w:val="FootnoteReference"/>
        </w:rPr>
        <w:footnoteRef/>
      </w:r>
      <w:r>
        <w:t xml:space="preserve"> </w:t>
      </w:r>
      <w:r>
        <w:tab/>
      </w:r>
      <w:r>
        <w:rPr>
          <w:lang w:val="en-US"/>
        </w:rPr>
        <w:t>The dip in rates revenue collected in 2021 (shown in Figure 5) represents a temporary targeted rate ending.</w:t>
      </w:r>
    </w:p>
  </w:footnote>
  <w:footnote w:id="5">
    <w:p w14:paraId="50556AE5" w14:textId="428A1F41" w:rsidR="007C0AF1" w:rsidRDefault="007C0AF1">
      <w:pPr>
        <w:pStyle w:val="FootnoteText"/>
      </w:pPr>
      <w:r>
        <w:rPr>
          <w:rStyle w:val="FootnoteReference"/>
        </w:rPr>
        <w:footnoteRef/>
      </w:r>
      <w:r>
        <w:t xml:space="preserve"> </w:t>
      </w:r>
      <w:r w:rsidRPr="008928BA">
        <w:t xml:space="preserve">The increase in weighting of rates within this price index is over and above </w:t>
      </w:r>
      <w:r>
        <w:t>increases in the index itself</w:t>
      </w:r>
    </w:p>
  </w:footnote>
  <w:footnote w:id="6">
    <w:p w14:paraId="2CC1A700" w14:textId="78A84398" w:rsidR="007C0AF1" w:rsidRPr="009A7436" w:rsidRDefault="007C0AF1" w:rsidP="008766A3">
      <w:pPr>
        <w:pStyle w:val="FootnoteText"/>
        <w:ind w:left="426" w:hanging="426"/>
        <w:rPr>
          <w:lang w:val="en-US"/>
        </w:rPr>
      </w:pPr>
      <w:r>
        <w:rPr>
          <w:rStyle w:val="FootnoteReference"/>
        </w:rPr>
        <w:footnoteRef/>
      </w:r>
      <w:r>
        <w:t xml:space="preserve"> </w:t>
      </w:r>
      <w:r>
        <w:tab/>
      </w:r>
      <w:r>
        <w:rPr>
          <w:lang w:val="en-US"/>
        </w:rPr>
        <w:t>“Local Government Role and Funding: Paper for Local Government Business Forum”, Local Government Business Forum, April 2018</w:t>
      </w:r>
    </w:p>
  </w:footnote>
  <w:footnote w:id="7">
    <w:p w14:paraId="733F381D" w14:textId="77777777" w:rsidR="007C0AF1" w:rsidRPr="00EA0579" w:rsidRDefault="007C0AF1" w:rsidP="004571B8">
      <w:pPr>
        <w:pStyle w:val="FootnoteText"/>
        <w:ind w:left="284" w:hanging="284"/>
        <w:rPr>
          <w:lang w:val="en-US"/>
        </w:rPr>
      </w:pPr>
      <w:r>
        <w:rPr>
          <w:rStyle w:val="FootnoteReference"/>
        </w:rPr>
        <w:footnoteRef/>
      </w:r>
      <w:r>
        <w:t xml:space="preserve"> </w:t>
      </w:r>
      <w:r>
        <w:tab/>
      </w:r>
      <w:r>
        <w:rPr>
          <w:lang w:val="en-US"/>
        </w:rPr>
        <w:t>The Office of the Auditor General notes, in their document “Local Government: Results of the 2016/17 audits” that deprecation is “the best estimate of what portion of the asset was used during the financial year”.</w:t>
      </w:r>
    </w:p>
  </w:footnote>
  <w:footnote w:id="8">
    <w:p w14:paraId="3EAABE83" w14:textId="5E7D1DA0" w:rsidR="007C0AF1" w:rsidRDefault="007C0AF1" w:rsidP="00A81A2F">
      <w:pPr>
        <w:pStyle w:val="FootnoteText"/>
        <w:ind w:left="284" w:hanging="284"/>
      </w:pPr>
      <w:r w:rsidRPr="00A8719B">
        <w:rPr>
          <w:rStyle w:val="FootnoteReference"/>
        </w:rPr>
        <w:footnoteRef/>
      </w:r>
      <w:r>
        <w:t xml:space="preserve"> </w:t>
      </w:r>
      <w:r>
        <w:tab/>
      </w:r>
      <w:r w:rsidRPr="00A8719B">
        <w:t>In New South Wales the benchmark is 100%, in Victoria between 90-110% and in Western Australia 90%</w:t>
      </w:r>
    </w:p>
  </w:footnote>
  <w:footnote w:id="9">
    <w:p w14:paraId="32BE6590" w14:textId="77777777" w:rsidR="007C0AF1" w:rsidRPr="00557482" w:rsidRDefault="007C0AF1" w:rsidP="002911C6">
      <w:pPr>
        <w:pStyle w:val="FootnoteText"/>
        <w:ind w:left="284" w:hanging="284"/>
        <w:rPr>
          <w:lang w:val="en-US"/>
        </w:rPr>
      </w:pPr>
      <w:r>
        <w:rPr>
          <w:rStyle w:val="FootnoteReference"/>
        </w:rPr>
        <w:footnoteRef/>
      </w:r>
      <w:r>
        <w:t xml:space="preserve"> </w:t>
      </w:r>
      <w:r>
        <w:tab/>
      </w:r>
      <w:r>
        <w:rPr>
          <w:lang w:val="en-US"/>
        </w:rPr>
        <w:t>The Office of the Auditor General, in their report “Local Government: Results of the 2016/17 audits” notes that a reasonable achievement range for the renewals ratio is between 60 – 100%.</w:t>
      </w:r>
    </w:p>
  </w:footnote>
  <w:footnote w:id="10">
    <w:p w14:paraId="794B3824" w14:textId="46B957AD" w:rsidR="007C0AF1" w:rsidRPr="00AB24CB" w:rsidRDefault="007C0AF1" w:rsidP="004457D7">
      <w:pPr>
        <w:pStyle w:val="FootnoteText"/>
        <w:ind w:left="426" w:hanging="426"/>
        <w:rPr>
          <w:lang w:val="en-US"/>
        </w:rPr>
      </w:pPr>
      <w:r>
        <w:rPr>
          <w:rStyle w:val="FootnoteReference"/>
        </w:rPr>
        <w:footnoteRef/>
      </w:r>
      <w:r>
        <w:t xml:space="preserve"> </w:t>
      </w:r>
      <w:r>
        <w:tab/>
      </w:r>
      <w:r>
        <w:rPr>
          <w:lang w:val="en-US"/>
        </w:rPr>
        <w:t>The “average” shown in this chart excludes those councils that do not anticipate receiving any development contributions</w:t>
      </w:r>
    </w:p>
  </w:footnote>
  <w:footnote w:id="11">
    <w:p w14:paraId="38DADD15" w14:textId="0A0B7522" w:rsidR="007C0AF1" w:rsidRPr="007B361B" w:rsidRDefault="007C0AF1" w:rsidP="003D4C9F">
      <w:pPr>
        <w:pStyle w:val="FootnoteText"/>
        <w:ind w:left="426" w:hanging="426"/>
        <w:rPr>
          <w:lang w:val="en-US"/>
        </w:rPr>
      </w:pPr>
      <w:r>
        <w:rPr>
          <w:rStyle w:val="FootnoteReference"/>
        </w:rPr>
        <w:footnoteRef/>
      </w:r>
      <w:r>
        <w:t xml:space="preserve"> </w:t>
      </w:r>
      <w:r>
        <w:tab/>
      </w:r>
      <w:r>
        <w:rPr>
          <w:lang w:val="en-US"/>
        </w:rPr>
        <w:t>Affordability measures such as percentage of disposable income and total home ownership costs were considered but not used due to limitations in available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BAC93" w14:textId="6D386D66" w:rsidR="007C0AF1" w:rsidRDefault="007C0AF1" w:rsidP="003F0FC8">
    <w:pPr>
      <w:pStyle w:val="Header"/>
      <w:jc w:val="right"/>
    </w:pPr>
    <w:r>
      <w:rPr>
        <w:noProof/>
        <w:lang w:eastAsia="en-NZ"/>
      </w:rPr>
      <w:drawing>
        <wp:inline distT="0" distB="0" distL="0" distR="0" wp14:anchorId="1F0025A7" wp14:editId="63B13A21">
          <wp:extent cx="676800" cy="79560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00" cy="7956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AF984" w14:textId="72A5C4BA" w:rsidR="007C0AF1" w:rsidRDefault="007C0AF1" w:rsidP="00B2390E">
    <w:pPr>
      <w:pStyle w:val="Header"/>
      <w:jc w:val="right"/>
    </w:pPr>
    <w:r>
      <w:rPr>
        <w:noProof/>
        <w:lang w:eastAsia="en-NZ"/>
      </w:rPr>
      <w:drawing>
        <wp:inline distT="0" distB="0" distL="0" distR="0" wp14:anchorId="5C791BA4" wp14:editId="2D263706">
          <wp:extent cx="676800" cy="795600"/>
          <wp:effectExtent l="0" t="0" r="952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800" cy="7956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11C89"/>
    <w:multiLevelType w:val="hybridMultilevel"/>
    <w:tmpl w:val="860C126E"/>
    <w:lvl w:ilvl="0" w:tplc="4A2AB502">
      <w:start w:val="1"/>
      <w:numFmt w:val="decimal"/>
      <w:pStyle w:val="ListParagraph"/>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DE8C120">
      <w:start w:val="1"/>
      <w:numFmt w:val="bullet"/>
      <w:lvlText w:val=""/>
      <w:lvlJc w:val="left"/>
      <w:pPr>
        <w:ind w:left="1440" w:hanging="360"/>
      </w:pPr>
      <w:rPr>
        <w:rFonts w:ascii="Symbol" w:hAnsi="Symbol" w:cs="Symbol" w:hint="default"/>
        <w:color w:val="9DBE3B"/>
        <w:sz w:val="18"/>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29F6829"/>
    <w:multiLevelType w:val="hybridMultilevel"/>
    <w:tmpl w:val="6F0EDA8A"/>
    <w:lvl w:ilvl="0" w:tplc="47223CEA">
      <w:start w:val="1"/>
      <w:numFmt w:val="bullet"/>
      <w:pStyle w:val="Bulletpoint2"/>
      <w:lvlText w:val="–"/>
      <w:lvlJc w:val="left"/>
      <w:pPr>
        <w:ind w:left="1494" w:hanging="360"/>
      </w:pPr>
      <w:rPr>
        <w:rFonts w:ascii="Arial Narrow" w:hAnsi="Arial Narrow" w:hint="default"/>
      </w:rPr>
    </w:lvl>
    <w:lvl w:ilvl="1" w:tplc="14090003" w:tentative="1">
      <w:start w:val="1"/>
      <w:numFmt w:val="bullet"/>
      <w:lvlText w:val="o"/>
      <w:lvlJc w:val="left"/>
      <w:pPr>
        <w:ind w:left="2214" w:hanging="360"/>
      </w:pPr>
      <w:rPr>
        <w:rFonts w:ascii="Courier New" w:hAnsi="Courier New" w:cs="Courier New" w:hint="default"/>
      </w:rPr>
    </w:lvl>
    <w:lvl w:ilvl="2" w:tplc="14090005" w:tentative="1">
      <w:start w:val="1"/>
      <w:numFmt w:val="bullet"/>
      <w:lvlText w:val=""/>
      <w:lvlJc w:val="left"/>
      <w:pPr>
        <w:ind w:left="2934" w:hanging="360"/>
      </w:pPr>
      <w:rPr>
        <w:rFonts w:ascii="Wingdings" w:hAnsi="Wingdings" w:hint="default"/>
      </w:rPr>
    </w:lvl>
    <w:lvl w:ilvl="3" w:tplc="14090001" w:tentative="1">
      <w:start w:val="1"/>
      <w:numFmt w:val="bullet"/>
      <w:lvlText w:val=""/>
      <w:lvlJc w:val="left"/>
      <w:pPr>
        <w:ind w:left="3654" w:hanging="360"/>
      </w:pPr>
      <w:rPr>
        <w:rFonts w:ascii="Symbol" w:hAnsi="Symbol" w:hint="default"/>
      </w:rPr>
    </w:lvl>
    <w:lvl w:ilvl="4" w:tplc="14090003" w:tentative="1">
      <w:start w:val="1"/>
      <w:numFmt w:val="bullet"/>
      <w:lvlText w:val="o"/>
      <w:lvlJc w:val="left"/>
      <w:pPr>
        <w:ind w:left="4374" w:hanging="360"/>
      </w:pPr>
      <w:rPr>
        <w:rFonts w:ascii="Courier New" w:hAnsi="Courier New" w:cs="Courier New" w:hint="default"/>
      </w:rPr>
    </w:lvl>
    <w:lvl w:ilvl="5" w:tplc="14090005" w:tentative="1">
      <w:start w:val="1"/>
      <w:numFmt w:val="bullet"/>
      <w:lvlText w:val=""/>
      <w:lvlJc w:val="left"/>
      <w:pPr>
        <w:ind w:left="5094" w:hanging="360"/>
      </w:pPr>
      <w:rPr>
        <w:rFonts w:ascii="Wingdings" w:hAnsi="Wingdings" w:hint="default"/>
      </w:rPr>
    </w:lvl>
    <w:lvl w:ilvl="6" w:tplc="14090001" w:tentative="1">
      <w:start w:val="1"/>
      <w:numFmt w:val="bullet"/>
      <w:lvlText w:val=""/>
      <w:lvlJc w:val="left"/>
      <w:pPr>
        <w:ind w:left="5814" w:hanging="360"/>
      </w:pPr>
      <w:rPr>
        <w:rFonts w:ascii="Symbol" w:hAnsi="Symbol" w:hint="default"/>
      </w:rPr>
    </w:lvl>
    <w:lvl w:ilvl="7" w:tplc="14090003" w:tentative="1">
      <w:start w:val="1"/>
      <w:numFmt w:val="bullet"/>
      <w:lvlText w:val="o"/>
      <w:lvlJc w:val="left"/>
      <w:pPr>
        <w:ind w:left="6534" w:hanging="360"/>
      </w:pPr>
      <w:rPr>
        <w:rFonts w:ascii="Courier New" w:hAnsi="Courier New" w:cs="Courier New" w:hint="default"/>
      </w:rPr>
    </w:lvl>
    <w:lvl w:ilvl="8" w:tplc="14090005" w:tentative="1">
      <w:start w:val="1"/>
      <w:numFmt w:val="bullet"/>
      <w:lvlText w:val=""/>
      <w:lvlJc w:val="left"/>
      <w:pPr>
        <w:ind w:left="7254" w:hanging="360"/>
      </w:pPr>
      <w:rPr>
        <w:rFonts w:ascii="Wingdings" w:hAnsi="Wingdings" w:hint="default"/>
      </w:rPr>
    </w:lvl>
  </w:abstractNum>
  <w:abstractNum w:abstractNumId="2">
    <w:nsid w:val="3D651480"/>
    <w:multiLevelType w:val="hybridMultilevel"/>
    <w:tmpl w:val="645A5F78"/>
    <w:lvl w:ilvl="0" w:tplc="04D4BC30">
      <w:start w:val="1"/>
      <w:numFmt w:val="bullet"/>
      <w:lvlText w:val=""/>
      <w:lvlJc w:val="left"/>
      <w:pPr>
        <w:ind w:left="1779" w:hanging="360"/>
      </w:pPr>
      <w:rPr>
        <w:rFonts w:ascii="Symbol" w:hAnsi="Symbol" w:cs="Symbol" w:hint="default"/>
        <w:color w:val="9DBE3B"/>
        <w:sz w:val="18"/>
      </w:rPr>
    </w:lvl>
    <w:lvl w:ilvl="1" w:tplc="4A7273C4">
      <w:start w:val="1"/>
      <w:numFmt w:val="bullet"/>
      <w:lvlText w:val=""/>
      <w:lvlJc w:val="left"/>
      <w:pPr>
        <w:ind w:left="1440" w:hanging="360"/>
      </w:pPr>
      <w:rPr>
        <w:rFonts w:ascii="Symbol" w:hAnsi="Symbol" w:hint="default"/>
        <w:color w:val="808285" w:themeColor="accent3"/>
      </w:rPr>
    </w:lvl>
    <w:lvl w:ilvl="2" w:tplc="802CB27E">
      <w:start w:val="1"/>
      <w:numFmt w:val="bullet"/>
      <w:lvlText w:val="–"/>
      <w:lvlJc w:val="left"/>
      <w:pPr>
        <w:ind w:left="2160" w:hanging="360"/>
      </w:pPr>
      <w:rPr>
        <w:rFonts w:ascii="Calibri" w:hAnsi="Calibri" w:hint="default"/>
        <w:color w:val="4E4E4E"/>
        <w:sz w:val="20"/>
        <w:szCs w:val="20"/>
        <w:u w:color="FFFFFF" w:themeColor="background1"/>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63809EF"/>
    <w:multiLevelType w:val="hybridMultilevel"/>
    <w:tmpl w:val="A8D46452"/>
    <w:lvl w:ilvl="0" w:tplc="0DE8C120">
      <w:start w:val="1"/>
      <w:numFmt w:val="bullet"/>
      <w:lvlText w:val=""/>
      <w:lvlJc w:val="left"/>
      <w:pPr>
        <w:ind w:left="720" w:hanging="360"/>
      </w:pPr>
      <w:rPr>
        <w:rFonts w:ascii="Symbol" w:hAnsi="Symbol" w:cs="Symbol" w:hint="default"/>
        <w:color w:val="9DBE3B"/>
        <w:sz w:val="18"/>
      </w:rPr>
    </w:lvl>
    <w:lvl w:ilvl="1" w:tplc="4A7273C4">
      <w:start w:val="1"/>
      <w:numFmt w:val="bullet"/>
      <w:lvlText w:val=""/>
      <w:lvlJc w:val="left"/>
      <w:pPr>
        <w:ind w:left="1440" w:hanging="360"/>
      </w:pPr>
      <w:rPr>
        <w:rFonts w:ascii="Symbol" w:hAnsi="Symbol" w:hint="default"/>
        <w:color w:val="808285"/>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47084853"/>
    <w:multiLevelType w:val="multilevel"/>
    <w:tmpl w:val="121E874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5A0F39AD"/>
    <w:multiLevelType w:val="hybridMultilevel"/>
    <w:tmpl w:val="DACED02C"/>
    <w:lvl w:ilvl="0" w:tplc="9F364FC8">
      <w:start w:val="1"/>
      <w:numFmt w:val="bullet"/>
      <w:pStyle w:val="Bulletpoint"/>
      <w:lvlText w:val=""/>
      <w:lvlJc w:val="left"/>
      <w:pPr>
        <w:ind w:left="1779" w:hanging="360"/>
      </w:pPr>
      <w:rPr>
        <w:rFonts w:ascii="Symbol" w:hAnsi="Symbol" w:cs="Symbol" w:hint="default"/>
        <w:color w:val="9DBE3B"/>
        <w:sz w:val="18"/>
      </w:rPr>
    </w:lvl>
    <w:lvl w:ilvl="1" w:tplc="4A7273C4">
      <w:start w:val="1"/>
      <w:numFmt w:val="bullet"/>
      <w:lvlText w:val=""/>
      <w:lvlJc w:val="left"/>
      <w:pPr>
        <w:ind w:left="1440" w:hanging="360"/>
      </w:pPr>
      <w:rPr>
        <w:rFonts w:ascii="Symbol" w:hAnsi="Symbol" w:hint="default"/>
        <w:color w:val="808285" w:themeColor="accent3"/>
      </w:rPr>
    </w:lvl>
    <w:lvl w:ilvl="2" w:tplc="802CB27E">
      <w:start w:val="1"/>
      <w:numFmt w:val="bullet"/>
      <w:lvlText w:val="–"/>
      <w:lvlJc w:val="left"/>
      <w:pPr>
        <w:ind w:left="2160" w:hanging="360"/>
      </w:pPr>
      <w:rPr>
        <w:rFonts w:ascii="Calibri" w:hAnsi="Calibri" w:hint="default"/>
        <w:color w:val="4E4E4E"/>
        <w:sz w:val="20"/>
        <w:szCs w:val="20"/>
        <w:u w:color="FFFFFF" w:themeColor="background1"/>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 w:numId="7">
    <w:abstractNumId w:val="0"/>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6145">
      <o:colormru v:ext="edit" colors="#28c6cd,#e6d70a,#f2e322,#f2d11b,#84ac2f"/>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s>
  <w:rsids>
    <w:rsidRoot w:val="00733E1F"/>
    <w:rsid w:val="00001EB5"/>
    <w:rsid w:val="0000596D"/>
    <w:rsid w:val="00016887"/>
    <w:rsid w:val="00021A58"/>
    <w:rsid w:val="000249F6"/>
    <w:rsid w:val="0003026F"/>
    <w:rsid w:val="00032D17"/>
    <w:rsid w:val="00033DE2"/>
    <w:rsid w:val="00033FFB"/>
    <w:rsid w:val="0003617E"/>
    <w:rsid w:val="0004006B"/>
    <w:rsid w:val="000444FD"/>
    <w:rsid w:val="00051B90"/>
    <w:rsid w:val="00052D3F"/>
    <w:rsid w:val="0005786E"/>
    <w:rsid w:val="000656EC"/>
    <w:rsid w:val="00065890"/>
    <w:rsid w:val="0007089F"/>
    <w:rsid w:val="000713B8"/>
    <w:rsid w:val="000A06C8"/>
    <w:rsid w:val="000A42EB"/>
    <w:rsid w:val="000A500C"/>
    <w:rsid w:val="000B457F"/>
    <w:rsid w:val="000B70C0"/>
    <w:rsid w:val="000B78D9"/>
    <w:rsid w:val="000C3824"/>
    <w:rsid w:val="000D136F"/>
    <w:rsid w:val="000D6297"/>
    <w:rsid w:val="000F0FFC"/>
    <w:rsid w:val="000F20C3"/>
    <w:rsid w:val="000F30BF"/>
    <w:rsid w:val="000F616C"/>
    <w:rsid w:val="00101568"/>
    <w:rsid w:val="001076BD"/>
    <w:rsid w:val="0011101B"/>
    <w:rsid w:val="00113391"/>
    <w:rsid w:val="00114151"/>
    <w:rsid w:val="00120B3E"/>
    <w:rsid w:val="001212B4"/>
    <w:rsid w:val="00122CCF"/>
    <w:rsid w:val="00125343"/>
    <w:rsid w:val="00137158"/>
    <w:rsid w:val="00137662"/>
    <w:rsid w:val="00147CBB"/>
    <w:rsid w:val="0015259C"/>
    <w:rsid w:val="001567EB"/>
    <w:rsid w:val="00157A91"/>
    <w:rsid w:val="0016032E"/>
    <w:rsid w:val="001731A2"/>
    <w:rsid w:val="00177180"/>
    <w:rsid w:val="00177D90"/>
    <w:rsid w:val="001813BC"/>
    <w:rsid w:val="00185194"/>
    <w:rsid w:val="00190CF5"/>
    <w:rsid w:val="00194C27"/>
    <w:rsid w:val="00195067"/>
    <w:rsid w:val="001A0620"/>
    <w:rsid w:val="001A0A10"/>
    <w:rsid w:val="001A6A72"/>
    <w:rsid w:val="001B0969"/>
    <w:rsid w:val="001B10BC"/>
    <w:rsid w:val="001B6C5C"/>
    <w:rsid w:val="001C46B0"/>
    <w:rsid w:val="001C7477"/>
    <w:rsid w:val="001D13F5"/>
    <w:rsid w:val="001D4EC5"/>
    <w:rsid w:val="001D608A"/>
    <w:rsid w:val="001E25CF"/>
    <w:rsid w:val="001E3B8E"/>
    <w:rsid w:val="001E4B5F"/>
    <w:rsid w:val="001E5669"/>
    <w:rsid w:val="001F2B88"/>
    <w:rsid w:val="001F363E"/>
    <w:rsid w:val="001F590E"/>
    <w:rsid w:val="0020336E"/>
    <w:rsid w:val="00222B08"/>
    <w:rsid w:val="00225123"/>
    <w:rsid w:val="002255CF"/>
    <w:rsid w:val="0022716C"/>
    <w:rsid w:val="00237AAC"/>
    <w:rsid w:val="00237D64"/>
    <w:rsid w:val="002410FD"/>
    <w:rsid w:val="00241127"/>
    <w:rsid w:val="00246155"/>
    <w:rsid w:val="0025197A"/>
    <w:rsid w:val="00254ACF"/>
    <w:rsid w:val="00262C1F"/>
    <w:rsid w:val="002646D1"/>
    <w:rsid w:val="00265667"/>
    <w:rsid w:val="00267907"/>
    <w:rsid w:val="00270672"/>
    <w:rsid w:val="002829EA"/>
    <w:rsid w:val="00291045"/>
    <w:rsid w:val="002911C6"/>
    <w:rsid w:val="00291EA6"/>
    <w:rsid w:val="00296A93"/>
    <w:rsid w:val="002A1B4C"/>
    <w:rsid w:val="002B047B"/>
    <w:rsid w:val="002B6084"/>
    <w:rsid w:val="002C18C0"/>
    <w:rsid w:val="002D351E"/>
    <w:rsid w:val="002D6ED1"/>
    <w:rsid w:val="002D7540"/>
    <w:rsid w:val="002D79BB"/>
    <w:rsid w:val="002E779D"/>
    <w:rsid w:val="002F08F6"/>
    <w:rsid w:val="002F550E"/>
    <w:rsid w:val="00300C8F"/>
    <w:rsid w:val="00300DEA"/>
    <w:rsid w:val="00313454"/>
    <w:rsid w:val="00316A3D"/>
    <w:rsid w:val="003209A5"/>
    <w:rsid w:val="003219A1"/>
    <w:rsid w:val="00322757"/>
    <w:rsid w:val="00323D5B"/>
    <w:rsid w:val="003246FA"/>
    <w:rsid w:val="003259F7"/>
    <w:rsid w:val="00331531"/>
    <w:rsid w:val="00332032"/>
    <w:rsid w:val="003366A6"/>
    <w:rsid w:val="003368D8"/>
    <w:rsid w:val="00341073"/>
    <w:rsid w:val="003418D6"/>
    <w:rsid w:val="00350EB3"/>
    <w:rsid w:val="003518B7"/>
    <w:rsid w:val="00353FDA"/>
    <w:rsid w:val="003646DF"/>
    <w:rsid w:val="00370097"/>
    <w:rsid w:val="00371091"/>
    <w:rsid w:val="003715CA"/>
    <w:rsid w:val="00386651"/>
    <w:rsid w:val="00386D5C"/>
    <w:rsid w:val="003871C9"/>
    <w:rsid w:val="003928AE"/>
    <w:rsid w:val="00393593"/>
    <w:rsid w:val="00393F02"/>
    <w:rsid w:val="003941BC"/>
    <w:rsid w:val="003962A7"/>
    <w:rsid w:val="003A26D3"/>
    <w:rsid w:val="003A60BB"/>
    <w:rsid w:val="003A7933"/>
    <w:rsid w:val="003B4C0B"/>
    <w:rsid w:val="003B6745"/>
    <w:rsid w:val="003B77ED"/>
    <w:rsid w:val="003C0D9D"/>
    <w:rsid w:val="003C311F"/>
    <w:rsid w:val="003C3A5B"/>
    <w:rsid w:val="003D2D94"/>
    <w:rsid w:val="003D3E9C"/>
    <w:rsid w:val="003D4C9F"/>
    <w:rsid w:val="003D779B"/>
    <w:rsid w:val="003E225F"/>
    <w:rsid w:val="003E68D4"/>
    <w:rsid w:val="003F0FC8"/>
    <w:rsid w:val="003F18E6"/>
    <w:rsid w:val="003F6B03"/>
    <w:rsid w:val="00401007"/>
    <w:rsid w:val="00401377"/>
    <w:rsid w:val="004015B7"/>
    <w:rsid w:val="00410CDB"/>
    <w:rsid w:val="0041490B"/>
    <w:rsid w:val="004171F6"/>
    <w:rsid w:val="00427F40"/>
    <w:rsid w:val="00434360"/>
    <w:rsid w:val="00435FBE"/>
    <w:rsid w:val="004412E5"/>
    <w:rsid w:val="00443F71"/>
    <w:rsid w:val="004457D7"/>
    <w:rsid w:val="00455318"/>
    <w:rsid w:val="004571B8"/>
    <w:rsid w:val="0045729B"/>
    <w:rsid w:val="00462553"/>
    <w:rsid w:val="00462D6C"/>
    <w:rsid w:val="00463121"/>
    <w:rsid w:val="00464DB5"/>
    <w:rsid w:val="00465FBD"/>
    <w:rsid w:val="00490474"/>
    <w:rsid w:val="004931E6"/>
    <w:rsid w:val="00493DAE"/>
    <w:rsid w:val="004A320E"/>
    <w:rsid w:val="004A372C"/>
    <w:rsid w:val="004A3800"/>
    <w:rsid w:val="004A44BC"/>
    <w:rsid w:val="004A67E6"/>
    <w:rsid w:val="004A7012"/>
    <w:rsid w:val="004B149D"/>
    <w:rsid w:val="004B4A6A"/>
    <w:rsid w:val="004C19EA"/>
    <w:rsid w:val="004C43AB"/>
    <w:rsid w:val="004C4F48"/>
    <w:rsid w:val="004D15F8"/>
    <w:rsid w:val="004D559F"/>
    <w:rsid w:val="004E6F7D"/>
    <w:rsid w:val="004F678E"/>
    <w:rsid w:val="00500FC9"/>
    <w:rsid w:val="00501A96"/>
    <w:rsid w:val="00502892"/>
    <w:rsid w:val="00503637"/>
    <w:rsid w:val="00507D22"/>
    <w:rsid w:val="005128A9"/>
    <w:rsid w:val="00514954"/>
    <w:rsid w:val="005209E2"/>
    <w:rsid w:val="00522576"/>
    <w:rsid w:val="00524605"/>
    <w:rsid w:val="00525E6A"/>
    <w:rsid w:val="00542CB0"/>
    <w:rsid w:val="00544DED"/>
    <w:rsid w:val="00545678"/>
    <w:rsid w:val="00545792"/>
    <w:rsid w:val="00551A35"/>
    <w:rsid w:val="00555D0D"/>
    <w:rsid w:val="005561AF"/>
    <w:rsid w:val="0056004F"/>
    <w:rsid w:val="0056250B"/>
    <w:rsid w:val="00562BF2"/>
    <w:rsid w:val="00563CE3"/>
    <w:rsid w:val="00567B7B"/>
    <w:rsid w:val="00573FCD"/>
    <w:rsid w:val="00577AB6"/>
    <w:rsid w:val="00580201"/>
    <w:rsid w:val="0059044B"/>
    <w:rsid w:val="00590F30"/>
    <w:rsid w:val="00592AD7"/>
    <w:rsid w:val="005A63A5"/>
    <w:rsid w:val="005B0CD8"/>
    <w:rsid w:val="005B2C06"/>
    <w:rsid w:val="005B7C1E"/>
    <w:rsid w:val="005C18CF"/>
    <w:rsid w:val="005C374C"/>
    <w:rsid w:val="005D734D"/>
    <w:rsid w:val="005F3735"/>
    <w:rsid w:val="005F4C15"/>
    <w:rsid w:val="005F594C"/>
    <w:rsid w:val="00601340"/>
    <w:rsid w:val="00607C43"/>
    <w:rsid w:val="00620879"/>
    <w:rsid w:val="006237B7"/>
    <w:rsid w:val="006244D0"/>
    <w:rsid w:val="0062516D"/>
    <w:rsid w:val="00627A85"/>
    <w:rsid w:val="00633144"/>
    <w:rsid w:val="00633DB4"/>
    <w:rsid w:val="00637418"/>
    <w:rsid w:val="006432C7"/>
    <w:rsid w:val="0064661A"/>
    <w:rsid w:val="00647CDD"/>
    <w:rsid w:val="00651B35"/>
    <w:rsid w:val="00655E31"/>
    <w:rsid w:val="00657D00"/>
    <w:rsid w:val="0066103F"/>
    <w:rsid w:val="00664CA2"/>
    <w:rsid w:val="00671BB2"/>
    <w:rsid w:val="00671C5A"/>
    <w:rsid w:val="00672142"/>
    <w:rsid w:val="00674708"/>
    <w:rsid w:val="006824A2"/>
    <w:rsid w:val="006849A2"/>
    <w:rsid w:val="00690693"/>
    <w:rsid w:val="006B401B"/>
    <w:rsid w:val="006B4630"/>
    <w:rsid w:val="006C0B5E"/>
    <w:rsid w:val="006C1EA8"/>
    <w:rsid w:val="006C2D9B"/>
    <w:rsid w:val="006C5F2E"/>
    <w:rsid w:val="006C68B3"/>
    <w:rsid w:val="006C6C14"/>
    <w:rsid w:val="006C6D20"/>
    <w:rsid w:val="006C7294"/>
    <w:rsid w:val="006E200C"/>
    <w:rsid w:val="006E7BAF"/>
    <w:rsid w:val="006F14BC"/>
    <w:rsid w:val="006F3379"/>
    <w:rsid w:val="00701449"/>
    <w:rsid w:val="0070585A"/>
    <w:rsid w:val="007116B6"/>
    <w:rsid w:val="00712B0E"/>
    <w:rsid w:val="007131B1"/>
    <w:rsid w:val="00715A17"/>
    <w:rsid w:val="00716826"/>
    <w:rsid w:val="00723FEE"/>
    <w:rsid w:val="00724987"/>
    <w:rsid w:val="00725E55"/>
    <w:rsid w:val="00730B76"/>
    <w:rsid w:val="007332B4"/>
    <w:rsid w:val="00733E1F"/>
    <w:rsid w:val="00735CA4"/>
    <w:rsid w:val="00744D8B"/>
    <w:rsid w:val="00745492"/>
    <w:rsid w:val="00753DED"/>
    <w:rsid w:val="00762B11"/>
    <w:rsid w:val="00762E28"/>
    <w:rsid w:val="007747EB"/>
    <w:rsid w:val="00777200"/>
    <w:rsid w:val="00777737"/>
    <w:rsid w:val="007842F0"/>
    <w:rsid w:val="00786CBB"/>
    <w:rsid w:val="007917C4"/>
    <w:rsid w:val="007942AA"/>
    <w:rsid w:val="007968D1"/>
    <w:rsid w:val="007A170A"/>
    <w:rsid w:val="007A32E3"/>
    <w:rsid w:val="007A34D9"/>
    <w:rsid w:val="007A56A9"/>
    <w:rsid w:val="007B361B"/>
    <w:rsid w:val="007B6A28"/>
    <w:rsid w:val="007C0371"/>
    <w:rsid w:val="007C0AF1"/>
    <w:rsid w:val="007C2823"/>
    <w:rsid w:val="007C3C48"/>
    <w:rsid w:val="007C487F"/>
    <w:rsid w:val="007C52CC"/>
    <w:rsid w:val="007D1643"/>
    <w:rsid w:val="007D78C6"/>
    <w:rsid w:val="007E07CB"/>
    <w:rsid w:val="007E3B86"/>
    <w:rsid w:val="007E7228"/>
    <w:rsid w:val="00807476"/>
    <w:rsid w:val="00817023"/>
    <w:rsid w:val="0082421F"/>
    <w:rsid w:val="0083346F"/>
    <w:rsid w:val="008436DE"/>
    <w:rsid w:val="0084656E"/>
    <w:rsid w:val="00846B99"/>
    <w:rsid w:val="00847364"/>
    <w:rsid w:val="00856576"/>
    <w:rsid w:val="00857D29"/>
    <w:rsid w:val="008615CA"/>
    <w:rsid w:val="008626B2"/>
    <w:rsid w:val="00862D57"/>
    <w:rsid w:val="008766A3"/>
    <w:rsid w:val="00877B57"/>
    <w:rsid w:val="00886CE6"/>
    <w:rsid w:val="00891F1B"/>
    <w:rsid w:val="008922F0"/>
    <w:rsid w:val="008952EC"/>
    <w:rsid w:val="00895326"/>
    <w:rsid w:val="00896705"/>
    <w:rsid w:val="008968AE"/>
    <w:rsid w:val="008A20F0"/>
    <w:rsid w:val="008A3401"/>
    <w:rsid w:val="008A3C46"/>
    <w:rsid w:val="008A4B39"/>
    <w:rsid w:val="008A6C42"/>
    <w:rsid w:val="008A6EF8"/>
    <w:rsid w:val="008B4C8D"/>
    <w:rsid w:val="008C463C"/>
    <w:rsid w:val="008C4744"/>
    <w:rsid w:val="008D0FB6"/>
    <w:rsid w:val="008D4174"/>
    <w:rsid w:val="008D716F"/>
    <w:rsid w:val="008D7BDD"/>
    <w:rsid w:val="008D7D76"/>
    <w:rsid w:val="008E1069"/>
    <w:rsid w:val="008E2777"/>
    <w:rsid w:val="008E560C"/>
    <w:rsid w:val="008E607D"/>
    <w:rsid w:val="008E7DA6"/>
    <w:rsid w:val="008F4789"/>
    <w:rsid w:val="008F4B76"/>
    <w:rsid w:val="008F5ECA"/>
    <w:rsid w:val="008F6A53"/>
    <w:rsid w:val="00904950"/>
    <w:rsid w:val="00905509"/>
    <w:rsid w:val="009057C7"/>
    <w:rsid w:val="009128F6"/>
    <w:rsid w:val="009139F7"/>
    <w:rsid w:val="00915106"/>
    <w:rsid w:val="00917EEE"/>
    <w:rsid w:val="00921459"/>
    <w:rsid w:val="0092180F"/>
    <w:rsid w:val="00923FD8"/>
    <w:rsid w:val="00930028"/>
    <w:rsid w:val="00930507"/>
    <w:rsid w:val="009311FA"/>
    <w:rsid w:val="0093638A"/>
    <w:rsid w:val="00940ABB"/>
    <w:rsid w:val="0094122B"/>
    <w:rsid w:val="0094166E"/>
    <w:rsid w:val="00941F62"/>
    <w:rsid w:val="0095104C"/>
    <w:rsid w:val="00952888"/>
    <w:rsid w:val="0095418E"/>
    <w:rsid w:val="00962503"/>
    <w:rsid w:val="009677BC"/>
    <w:rsid w:val="009705D9"/>
    <w:rsid w:val="00974152"/>
    <w:rsid w:val="009760CD"/>
    <w:rsid w:val="00976C8F"/>
    <w:rsid w:val="009809B9"/>
    <w:rsid w:val="00995E62"/>
    <w:rsid w:val="009A194C"/>
    <w:rsid w:val="009A7436"/>
    <w:rsid w:val="009C1E25"/>
    <w:rsid w:val="009D0BA3"/>
    <w:rsid w:val="009D195F"/>
    <w:rsid w:val="009D25FF"/>
    <w:rsid w:val="009D38AF"/>
    <w:rsid w:val="009D65BD"/>
    <w:rsid w:val="009E3C73"/>
    <w:rsid w:val="009F27F8"/>
    <w:rsid w:val="009F3078"/>
    <w:rsid w:val="009F33CC"/>
    <w:rsid w:val="009F70A5"/>
    <w:rsid w:val="00A002B6"/>
    <w:rsid w:val="00A00D18"/>
    <w:rsid w:val="00A1681C"/>
    <w:rsid w:val="00A25FE1"/>
    <w:rsid w:val="00A30D1C"/>
    <w:rsid w:val="00A32AB5"/>
    <w:rsid w:val="00A351C4"/>
    <w:rsid w:val="00A35E9D"/>
    <w:rsid w:val="00A36C50"/>
    <w:rsid w:val="00A40E83"/>
    <w:rsid w:val="00A4261F"/>
    <w:rsid w:val="00A50699"/>
    <w:rsid w:val="00A52AE6"/>
    <w:rsid w:val="00A533D1"/>
    <w:rsid w:val="00A60450"/>
    <w:rsid w:val="00A6118A"/>
    <w:rsid w:val="00A611FB"/>
    <w:rsid w:val="00A63E65"/>
    <w:rsid w:val="00A6709C"/>
    <w:rsid w:val="00A67CB2"/>
    <w:rsid w:val="00A75430"/>
    <w:rsid w:val="00A75A4D"/>
    <w:rsid w:val="00A81A2F"/>
    <w:rsid w:val="00A8227F"/>
    <w:rsid w:val="00A83395"/>
    <w:rsid w:val="00A8346B"/>
    <w:rsid w:val="00A84E05"/>
    <w:rsid w:val="00A863D3"/>
    <w:rsid w:val="00A8719B"/>
    <w:rsid w:val="00A87D08"/>
    <w:rsid w:val="00A94283"/>
    <w:rsid w:val="00AA30F6"/>
    <w:rsid w:val="00AA74DC"/>
    <w:rsid w:val="00AB24CB"/>
    <w:rsid w:val="00AC03CF"/>
    <w:rsid w:val="00AC352C"/>
    <w:rsid w:val="00AD1894"/>
    <w:rsid w:val="00AD1BF6"/>
    <w:rsid w:val="00AD39BB"/>
    <w:rsid w:val="00AD5F5F"/>
    <w:rsid w:val="00AD6675"/>
    <w:rsid w:val="00AE3BB4"/>
    <w:rsid w:val="00AF2E64"/>
    <w:rsid w:val="00B0345D"/>
    <w:rsid w:val="00B047F5"/>
    <w:rsid w:val="00B126F0"/>
    <w:rsid w:val="00B14888"/>
    <w:rsid w:val="00B154A7"/>
    <w:rsid w:val="00B1642A"/>
    <w:rsid w:val="00B169AC"/>
    <w:rsid w:val="00B17293"/>
    <w:rsid w:val="00B2390E"/>
    <w:rsid w:val="00B24C25"/>
    <w:rsid w:val="00B2760D"/>
    <w:rsid w:val="00B34D8C"/>
    <w:rsid w:val="00B36274"/>
    <w:rsid w:val="00B40251"/>
    <w:rsid w:val="00B41998"/>
    <w:rsid w:val="00B44954"/>
    <w:rsid w:val="00B46E8E"/>
    <w:rsid w:val="00B47336"/>
    <w:rsid w:val="00B533A3"/>
    <w:rsid w:val="00B60C27"/>
    <w:rsid w:val="00B64C91"/>
    <w:rsid w:val="00B67D19"/>
    <w:rsid w:val="00B71690"/>
    <w:rsid w:val="00B719B6"/>
    <w:rsid w:val="00B725EA"/>
    <w:rsid w:val="00B77B72"/>
    <w:rsid w:val="00B824F9"/>
    <w:rsid w:val="00B836C4"/>
    <w:rsid w:val="00B86DEA"/>
    <w:rsid w:val="00B9166E"/>
    <w:rsid w:val="00B9316B"/>
    <w:rsid w:val="00B957C2"/>
    <w:rsid w:val="00BA3735"/>
    <w:rsid w:val="00BA4A8A"/>
    <w:rsid w:val="00BB17AA"/>
    <w:rsid w:val="00BB4411"/>
    <w:rsid w:val="00BC3325"/>
    <w:rsid w:val="00BC3B1E"/>
    <w:rsid w:val="00BC5028"/>
    <w:rsid w:val="00BC6A43"/>
    <w:rsid w:val="00BD3280"/>
    <w:rsid w:val="00BD6B29"/>
    <w:rsid w:val="00BD780D"/>
    <w:rsid w:val="00BE3000"/>
    <w:rsid w:val="00BF119E"/>
    <w:rsid w:val="00BF1B60"/>
    <w:rsid w:val="00BF256B"/>
    <w:rsid w:val="00BF3325"/>
    <w:rsid w:val="00BF49B3"/>
    <w:rsid w:val="00BF65B5"/>
    <w:rsid w:val="00C1370C"/>
    <w:rsid w:val="00C152BE"/>
    <w:rsid w:val="00C15749"/>
    <w:rsid w:val="00C16AA0"/>
    <w:rsid w:val="00C173C0"/>
    <w:rsid w:val="00C27EF0"/>
    <w:rsid w:val="00C302DB"/>
    <w:rsid w:val="00C35098"/>
    <w:rsid w:val="00C4222E"/>
    <w:rsid w:val="00C447F9"/>
    <w:rsid w:val="00C44AD1"/>
    <w:rsid w:val="00C535E6"/>
    <w:rsid w:val="00C550F1"/>
    <w:rsid w:val="00C62BAF"/>
    <w:rsid w:val="00C70CFF"/>
    <w:rsid w:val="00C713B7"/>
    <w:rsid w:val="00C74548"/>
    <w:rsid w:val="00C775BB"/>
    <w:rsid w:val="00C81F3E"/>
    <w:rsid w:val="00C83F07"/>
    <w:rsid w:val="00C84A6D"/>
    <w:rsid w:val="00C84BC2"/>
    <w:rsid w:val="00C852A3"/>
    <w:rsid w:val="00C85CE1"/>
    <w:rsid w:val="00CA083A"/>
    <w:rsid w:val="00CC1C38"/>
    <w:rsid w:val="00CC38D2"/>
    <w:rsid w:val="00CC67DC"/>
    <w:rsid w:val="00CD1045"/>
    <w:rsid w:val="00CD3A78"/>
    <w:rsid w:val="00CE466E"/>
    <w:rsid w:val="00CF32E1"/>
    <w:rsid w:val="00D04B21"/>
    <w:rsid w:val="00D07C1B"/>
    <w:rsid w:val="00D10735"/>
    <w:rsid w:val="00D10EBD"/>
    <w:rsid w:val="00D13FDB"/>
    <w:rsid w:val="00D16CD2"/>
    <w:rsid w:val="00D22554"/>
    <w:rsid w:val="00D2447F"/>
    <w:rsid w:val="00D254FE"/>
    <w:rsid w:val="00D2623B"/>
    <w:rsid w:val="00D326CF"/>
    <w:rsid w:val="00D3286D"/>
    <w:rsid w:val="00D4164E"/>
    <w:rsid w:val="00D43A86"/>
    <w:rsid w:val="00D46528"/>
    <w:rsid w:val="00D47888"/>
    <w:rsid w:val="00D5154A"/>
    <w:rsid w:val="00D5324C"/>
    <w:rsid w:val="00D53F1B"/>
    <w:rsid w:val="00D6537B"/>
    <w:rsid w:val="00D731D6"/>
    <w:rsid w:val="00D74275"/>
    <w:rsid w:val="00D802D8"/>
    <w:rsid w:val="00D81FB7"/>
    <w:rsid w:val="00D83B0A"/>
    <w:rsid w:val="00D878E5"/>
    <w:rsid w:val="00D912F2"/>
    <w:rsid w:val="00D93F73"/>
    <w:rsid w:val="00DA0C47"/>
    <w:rsid w:val="00DA2237"/>
    <w:rsid w:val="00DA7CFE"/>
    <w:rsid w:val="00DB2D5B"/>
    <w:rsid w:val="00DB4CC2"/>
    <w:rsid w:val="00DB6609"/>
    <w:rsid w:val="00DC10A4"/>
    <w:rsid w:val="00DC1742"/>
    <w:rsid w:val="00DC2BB8"/>
    <w:rsid w:val="00DC4C54"/>
    <w:rsid w:val="00DD5ED4"/>
    <w:rsid w:val="00DE2D57"/>
    <w:rsid w:val="00DF21D3"/>
    <w:rsid w:val="00DF439E"/>
    <w:rsid w:val="00E00C3E"/>
    <w:rsid w:val="00E045A2"/>
    <w:rsid w:val="00E05E0D"/>
    <w:rsid w:val="00E07781"/>
    <w:rsid w:val="00E1311A"/>
    <w:rsid w:val="00E13812"/>
    <w:rsid w:val="00E226E1"/>
    <w:rsid w:val="00E24DB9"/>
    <w:rsid w:val="00E2594D"/>
    <w:rsid w:val="00E34044"/>
    <w:rsid w:val="00E445A0"/>
    <w:rsid w:val="00E510DC"/>
    <w:rsid w:val="00E54538"/>
    <w:rsid w:val="00E57C01"/>
    <w:rsid w:val="00E66C94"/>
    <w:rsid w:val="00E83997"/>
    <w:rsid w:val="00E86C4A"/>
    <w:rsid w:val="00E910B2"/>
    <w:rsid w:val="00E91E8B"/>
    <w:rsid w:val="00E94103"/>
    <w:rsid w:val="00E973FB"/>
    <w:rsid w:val="00EA0B5E"/>
    <w:rsid w:val="00EA0C78"/>
    <w:rsid w:val="00EA690D"/>
    <w:rsid w:val="00EA7A43"/>
    <w:rsid w:val="00EB090C"/>
    <w:rsid w:val="00EB3E80"/>
    <w:rsid w:val="00EC1F7E"/>
    <w:rsid w:val="00EC4B37"/>
    <w:rsid w:val="00EC4D43"/>
    <w:rsid w:val="00ED091A"/>
    <w:rsid w:val="00ED1A4E"/>
    <w:rsid w:val="00ED3BC5"/>
    <w:rsid w:val="00ED6034"/>
    <w:rsid w:val="00EE01B2"/>
    <w:rsid w:val="00EE3F41"/>
    <w:rsid w:val="00EF5382"/>
    <w:rsid w:val="00F01C53"/>
    <w:rsid w:val="00F01FC1"/>
    <w:rsid w:val="00F04985"/>
    <w:rsid w:val="00F05AB5"/>
    <w:rsid w:val="00F17185"/>
    <w:rsid w:val="00F24423"/>
    <w:rsid w:val="00F26144"/>
    <w:rsid w:val="00F43B02"/>
    <w:rsid w:val="00F572CA"/>
    <w:rsid w:val="00F60953"/>
    <w:rsid w:val="00F62867"/>
    <w:rsid w:val="00F630EE"/>
    <w:rsid w:val="00F74C5D"/>
    <w:rsid w:val="00F83216"/>
    <w:rsid w:val="00F84B21"/>
    <w:rsid w:val="00F924F6"/>
    <w:rsid w:val="00FA178D"/>
    <w:rsid w:val="00FB0A84"/>
    <w:rsid w:val="00FB548B"/>
    <w:rsid w:val="00FB7448"/>
    <w:rsid w:val="00FB7AA4"/>
    <w:rsid w:val="00FC0649"/>
    <w:rsid w:val="00FC119B"/>
    <w:rsid w:val="00FC41C2"/>
    <w:rsid w:val="00FC7644"/>
    <w:rsid w:val="00FD5A55"/>
    <w:rsid w:val="00FD5B2C"/>
    <w:rsid w:val="00FE168C"/>
    <w:rsid w:val="00FE6894"/>
    <w:rsid w:val="00FF30B1"/>
    <w:rsid w:val="00FF5CFD"/>
    <w:rsid w:val="00FF6082"/>
  </w:rsids>
  <m:mathPr>
    <m:mathFont m:val="Cambria Math"/>
    <m:brkBin m:val="before"/>
    <m:brkBinSub m:val="--"/>
    <m:smallFrac m:val="0"/>
    <m:dispDef m:val="0"/>
    <m:lMargin m:val="0"/>
    <m:rMargin m:val="0"/>
    <m:defJc m:val="centerGroup"/>
    <m:wrapRight/>
    <m:intLim m:val="subSup"/>
    <m:naryLim m:val="subSup"/>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28c6cd,#e6d70a,#f2e322,#f2d11b,#84ac2f"/>
    </o:shapedefaults>
    <o:shapelayout v:ext="edit">
      <o:idmap v:ext="edit" data="1"/>
    </o:shapelayout>
  </w:shapeDefaults>
  <w:decimalSymbol w:val="."/>
  <w:listSeparator w:val=","/>
  <w14:docId w14:val="7424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FranklinGothic-Demi"/>
        <w:color w:val="032A45"/>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Body Text 2" w:uiPriority="0"/>
    <w:lsdException w:name="Hyperlink" w:qFormat="1"/>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uiPriority="59"/>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next w:val="Body"/>
    <w:rsid w:val="00F630EE"/>
    <w:pPr>
      <w:spacing w:before="160" w:after="160" w:line="259" w:lineRule="auto"/>
    </w:pPr>
    <w:rPr>
      <w:lang w:val="en-NZ"/>
    </w:rPr>
  </w:style>
  <w:style w:type="paragraph" w:styleId="Heading1">
    <w:name w:val="heading 1"/>
    <w:basedOn w:val="Head"/>
    <w:next w:val="Body"/>
    <w:link w:val="Heading1Char"/>
    <w:qFormat/>
    <w:rsid w:val="00601340"/>
    <w:pPr>
      <w:spacing w:before="360" w:after="360"/>
      <w:outlineLvl w:val="0"/>
    </w:pPr>
    <w:rPr>
      <w:rFonts w:asciiTheme="majorHAnsi" w:hAnsiTheme="majorHAnsi"/>
      <w:b/>
      <w:sz w:val="32"/>
    </w:rPr>
  </w:style>
  <w:style w:type="paragraph" w:styleId="Heading2">
    <w:name w:val="heading 2"/>
    <w:basedOn w:val="Head"/>
    <w:next w:val="Normal"/>
    <w:link w:val="Heading2Char"/>
    <w:unhideWhenUsed/>
    <w:qFormat/>
    <w:rsid w:val="0094166E"/>
    <w:pPr>
      <w:keepNext/>
      <w:widowControl/>
      <w:numPr>
        <w:ilvl w:val="1"/>
      </w:numPr>
      <w:tabs>
        <w:tab w:val="left" w:pos="851"/>
      </w:tabs>
      <w:suppressAutoHyphens w:val="0"/>
      <w:autoSpaceDE/>
      <w:autoSpaceDN/>
      <w:adjustRightInd/>
      <w:spacing w:before="240" w:after="240"/>
      <w:ind w:left="578" w:hanging="578"/>
      <w:textAlignment w:val="auto"/>
      <w:outlineLvl w:val="1"/>
    </w:pPr>
    <w:rPr>
      <w:rFonts w:asciiTheme="majorHAnsi" w:hAnsiTheme="majorHAnsi"/>
      <w:b/>
      <w:color w:val="84AC2F"/>
    </w:rPr>
  </w:style>
  <w:style w:type="paragraph" w:styleId="Heading3">
    <w:name w:val="heading 3"/>
    <w:basedOn w:val="Head"/>
    <w:next w:val="Body"/>
    <w:link w:val="Heading3Char"/>
    <w:unhideWhenUsed/>
    <w:qFormat/>
    <w:rsid w:val="00BA3735"/>
    <w:pPr>
      <w:keepNext/>
      <w:widowControl/>
      <w:numPr>
        <w:ilvl w:val="2"/>
      </w:numPr>
      <w:tabs>
        <w:tab w:val="left" w:pos="851"/>
        <w:tab w:val="left" w:pos="6860"/>
      </w:tabs>
      <w:suppressAutoHyphens w:val="0"/>
      <w:autoSpaceDE/>
      <w:autoSpaceDN/>
      <w:adjustRightInd/>
      <w:spacing w:before="200" w:after="160"/>
      <w:ind w:left="851" w:hanging="851"/>
      <w:textAlignment w:val="auto"/>
      <w:outlineLvl w:val="2"/>
    </w:pPr>
    <w:rPr>
      <w:rFonts w:asciiTheme="majorHAnsi" w:hAnsiTheme="majorHAnsi"/>
      <w:b/>
      <w:i/>
      <w:color w:val="002941" w:themeColor="accent1"/>
      <w:sz w:val="24"/>
    </w:rPr>
  </w:style>
  <w:style w:type="paragraph" w:styleId="Heading4">
    <w:name w:val="heading 4"/>
    <w:basedOn w:val="Normal"/>
    <w:next w:val="Normal"/>
    <w:link w:val="Heading4Char"/>
    <w:uiPriority w:val="9"/>
    <w:semiHidden/>
    <w:unhideWhenUsed/>
    <w:rsid w:val="00524605"/>
    <w:pPr>
      <w:keepNext/>
      <w:keepLines/>
      <w:numPr>
        <w:ilvl w:val="3"/>
        <w:numId w:val="1"/>
      </w:numPr>
      <w:spacing w:after="0"/>
      <w:outlineLvl w:val="3"/>
    </w:pPr>
    <w:rPr>
      <w:rFonts w:asciiTheme="majorHAnsi" w:eastAsiaTheme="majorEastAsia" w:hAnsiTheme="majorHAnsi" w:cstheme="majorBidi"/>
      <w:b/>
      <w:bCs/>
      <w:i/>
      <w:iCs/>
      <w:color w:val="002941" w:themeColor="accent1"/>
    </w:rPr>
  </w:style>
  <w:style w:type="paragraph" w:styleId="Heading5">
    <w:name w:val="heading 5"/>
    <w:basedOn w:val="Normal"/>
    <w:next w:val="Normal"/>
    <w:link w:val="Heading5Char"/>
    <w:uiPriority w:val="9"/>
    <w:semiHidden/>
    <w:unhideWhenUsed/>
    <w:qFormat/>
    <w:rsid w:val="00524605"/>
    <w:pPr>
      <w:keepNext/>
      <w:keepLines/>
      <w:numPr>
        <w:ilvl w:val="4"/>
        <w:numId w:val="1"/>
      </w:numPr>
      <w:spacing w:after="0"/>
      <w:outlineLvl w:val="4"/>
    </w:pPr>
    <w:rPr>
      <w:rFonts w:asciiTheme="majorHAnsi" w:eastAsiaTheme="majorEastAsia" w:hAnsiTheme="majorHAnsi" w:cstheme="majorBidi"/>
      <w:color w:val="001420" w:themeColor="accent1" w:themeShade="7F"/>
    </w:rPr>
  </w:style>
  <w:style w:type="paragraph" w:styleId="Heading6">
    <w:name w:val="heading 6"/>
    <w:basedOn w:val="Normal"/>
    <w:next w:val="Normal"/>
    <w:link w:val="Heading6Char"/>
    <w:uiPriority w:val="9"/>
    <w:semiHidden/>
    <w:unhideWhenUsed/>
    <w:qFormat/>
    <w:rsid w:val="00524605"/>
    <w:pPr>
      <w:keepNext/>
      <w:keepLines/>
      <w:numPr>
        <w:ilvl w:val="5"/>
        <w:numId w:val="1"/>
      </w:numPr>
      <w:spacing w:after="0"/>
      <w:outlineLvl w:val="5"/>
    </w:pPr>
    <w:rPr>
      <w:rFonts w:asciiTheme="majorHAnsi" w:eastAsiaTheme="majorEastAsia" w:hAnsiTheme="majorHAnsi" w:cstheme="majorBidi"/>
      <w:i/>
      <w:iCs/>
      <w:color w:val="001420" w:themeColor="accent1" w:themeShade="7F"/>
    </w:rPr>
  </w:style>
  <w:style w:type="paragraph" w:styleId="Heading7">
    <w:name w:val="heading 7"/>
    <w:basedOn w:val="Normal"/>
    <w:next w:val="Normal"/>
    <w:link w:val="Heading7Char"/>
    <w:uiPriority w:val="9"/>
    <w:semiHidden/>
    <w:unhideWhenUsed/>
    <w:qFormat/>
    <w:rsid w:val="00524605"/>
    <w:pPr>
      <w:keepNext/>
      <w:keepLines/>
      <w:numPr>
        <w:ilvl w:val="6"/>
        <w:numId w:val="1"/>
      </w:numPr>
      <w:spacing w:after="0"/>
      <w:outlineLvl w:val="6"/>
    </w:pPr>
    <w:rPr>
      <w:rFonts w:asciiTheme="majorHAnsi" w:eastAsiaTheme="majorEastAsia" w:hAnsiTheme="majorHAnsi" w:cstheme="majorBidi"/>
      <w:i/>
      <w:iCs/>
      <w:color w:val="6D6F72" w:themeColor="text1" w:themeTint="BF"/>
    </w:rPr>
  </w:style>
  <w:style w:type="paragraph" w:styleId="Heading8">
    <w:name w:val="heading 8"/>
    <w:basedOn w:val="Normal"/>
    <w:next w:val="Normal"/>
    <w:link w:val="Heading8Char"/>
    <w:uiPriority w:val="9"/>
    <w:semiHidden/>
    <w:unhideWhenUsed/>
    <w:qFormat/>
    <w:rsid w:val="00524605"/>
    <w:pPr>
      <w:keepNext/>
      <w:keepLines/>
      <w:numPr>
        <w:ilvl w:val="7"/>
        <w:numId w:val="1"/>
      </w:numPr>
      <w:spacing w:after="0"/>
      <w:outlineLvl w:val="7"/>
    </w:pPr>
    <w:rPr>
      <w:rFonts w:asciiTheme="majorHAnsi" w:eastAsiaTheme="majorEastAsia" w:hAnsiTheme="majorHAnsi" w:cstheme="majorBidi"/>
      <w:color w:val="6D6F72" w:themeColor="text1" w:themeTint="BF"/>
      <w:szCs w:val="20"/>
    </w:rPr>
  </w:style>
  <w:style w:type="paragraph" w:styleId="Heading9">
    <w:name w:val="heading 9"/>
    <w:basedOn w:val="Normal"/>
    <w:next w:val="Normal"/>
    <w:link w:val="Heading9Char"/>
    <w:uiPriority w:val="9"/>
    <w:semiHidden/>
    <w:unhideWhenUsed/>
    <w:qFormat/>
    <w:rsid w:val="00524605"/>
    <w:pPr>
      <w:keepNext/>
      <w:keepLines/>
      <w:numPr>
        <w:ilvl w:val="8"/>
        <w:numId w:val="1"/>
      </w:numPr>
      <w:spacing w:after="0"/>
      <w:outlineLvl w:val="8"/>
    </w:pPr>
    <w:rPr>
      <w:rFonts w:asciiTheme="majorHAnsi" w:eastAsiaTheme="majorEastAsia" w:hAnsiTheme="majorHAnsi" w:cstheme="majorBidi"/>
      <w:i/>
      <w:iCs/>
      <w:color w:val="6D6F72"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49A2"/>
    <w:pPr>
      <w:tabs>
        <w:tab w:val="center" w:pos="4320"/>
        <w:tab w:val="right" w:pos="8640"/>
      </w:tabs>
    </w:pPr>
  </w:style>
  <w:style w:type="character" w:customStyle="1" w:styleId="HeaderChar">
    <w:name w:val="Header Char"/>
    <w:basedOn w:val="DefaultParagraphFont"/>
    <w:link w:val="Header"/>
    <w:rsid w:val="006849A2"/>
  </w:style>
  <w:style w:type="paragraph" w:styleId="Footer">
    <w:name w:val="footer"/>
    <w:basedOn w:val="Normal"/>
    <w:link w:val="FooterChar"/>
    <w:uiPriority w:val="99"/>
    <w:unhideWhenUsed/>
    <w:rsid w:val="006849A2"/>
    <w:pPr>
      <w:tabs>
        <w:tab w:val="center" w:pos="4320"/>
        <w:tab w:val="right" w:pos="8640"/>
      </w:tabs>
    </w:pPr>
  </w:style>
  <w:style w:type="character" w:customStyle="1" w:styleId="FooterChar">
    <w:name w:val="Footer Char"/>
    <w:basedOn w:val="DefaultParagraphFont"/>
    <w:link w:val="Footer"/>
    <w:uiPriority w:val="99"/>
    <w:rsid w:val="006849A2"/>
  </w:style>
  <w:style w:type="paragraph" w:customStyle="1" w:styleId="text">
    <w:name w:val="text"/>
    <w:basedOn w:val="Normal"/>
    <w:link w:val="textChar"/>
    <w:uiPriority w:val="99"/>
    <w:rsid w:val="00361DE4"/>
    <w:pPr>
      <w:widowControl w:val="0"/>
      <w:suppressAutoHyphens/>
      <w:autoSpaceDE w:val="0"/>
      <w:autoSpaceDN w:val="0"/>
      <w:adjustRightInd w:val="0"/>
      <w:spacing w:after="113"/>
      <w:textAlignment w:val="center"/>
    </w:pPr>
    <w:rPr>
      <w:rFonts w:ascii="FranklinGothic-Book" w:hAnsi="FranklinGothic-Book" w:cs="FranklinGothic-Book"/>
      <w:color w:val="000000"/>
      <w:szCs w:val="20"/>
    </w:rPr>
  </w:style>
  <w:style w:type="paragraph" w:customStyle="1" w:styleId="Head">
    <w:name w:val="Head"/>
    <w:basedOn w:val="text"/>
    <w:link w:val="HeadChar"/>
    <w:uiPriority w:val="99"/>
    <w:rsid w:val="00361DE4"/>
    <w:pPr>
      <w:spacing w:after="227"/>
    </w:pPr>
    <w:rPr>
      <w:rFonts w:ascii="FranklinGothic-Demi" w:hAnsi="FranklinGothic-Demi" w:cs="FranklinGothic-Demi"/>
      <w:color w:val="032A45"/>
      <w:sz w:val="28"/>
      <w:szCs w:val="28"/>
    </w:rPr>
  </w:style>
  <w:style w:type="paragraph" w:customStyle="1" w:styleId="bullets">
    <w:name w:val="bullets"/>
    <w:basedOn w:val="text"/>
    <w:uiPriority w:val="99"/>
    <w:rsid w:val="00361DE4"/>
    <w:pPr>
      <w:ind w:left="360" w:hanging="360"/>
    </w:pPr>
  </w:style>
  <w:style w:type="paragraph" w:customStyle="1" w:styleId="Quote1">
    <w:name w:val="Quote1"/>
    <w:basedOn w:val="Head"/>
    <w:uiPriority w:val="99"/>
    <w:rsid w:val="00361DE4"/>
    <w:pPr>
      <w:jc w:val="center"/>
    </w:pPr>
    <w:rPr>
      <w:rFonts w:ascii="FranklinGothic-DemiItalic" w:hAnsi="FranklinGothic-DemiItalic" w:cs="FranklinGothic-DemiItalic"/>
      <w:i/>
      <w:iCs/>
      <w:color w:val="52C5D7"/>
    </w:rPr>
  </w:style>
  <w:style w:type="character" w:customStyle="1" w:styleId="bold">
    <w:name w:val="bold"/>
    <w:uiPriority w:val="99"/>
    <w:rsid w:val="006956AB"/>
    <w:rPr>
      <w:rFonts w:ascii="FranklinGothic-Demi" w:hAnsi="FranklinGothic-Demi" w:cs="FranklinGothic-Demi"/>
    </w:rPr>
  </w:style>
  <w:style w:type="paragraph" w:customStyle="1" w:styleId="Subhead">
    <w:name w:val="Subhead"/>
    <w:basedOn w:val="Body"/>
    <w:rsid w:val="00341073"/>
    <w:rPr>
      <w:b/>
      <w:sz w:val="28"/>
    </w:rPr>
  </w:style>
  <w:style w:type="paragraph" w:customStyle="1" w:styleId="Smalltext">
    <w:name w:val="Small text"/>
    <w:basedOn w:val="text"/>
    <w:uiPriority w:val="99"/>
    <w:rsid w:val="00D16206"/>
    <w:rPr>
      <w:sz w:val="16"/>
      <w:szCs w:val="16"/>
    </w:rPr>
  </w:style>
  <w:style w:type="character" w:customStyle="1" w:styleId="Heading1Char">
    <w:name w:val="Heading 1 Char"/>
    <w:basedOn w:val="DefaultParagraphFont"/>
    <w:link w:val="Heading1"/>
    <w:rsid w:val="00601340"/>
    <w:rPr>
      <w:rFonts w:asciiTheme="majorHAnsi" w:hAnsiTheme="majorHAnsi"/>
      <w:b/>
      <w:sz w:val="32"/>
      <w:szCs w:val="28"/>
      <w:lang w:val="en-NZ"/>
    </w:rPr>
  </w:style>
  <w:style w:type="character" w:customStyle="1" w:styleId="Heading2Char">
    <w:name w:val="Heading 2 Char"/>
    <w:basedOn w:val="DefaultParagraphFont"/>
    <w:link w:val="Heading2"/>
    <w:rsid w:val="0094166E"/>
    <w:rPr>
      <w:rFonts w:asciiTheme="majorHAnsi" w:hAnsiTheme="majorHAnsi"/>
      <w:b/>
      <w:color w:val="84AC2F"/>
      <w:sz w:val="28"/>
      <w:szCs w:val="28"/>
      <w:lang w:val="en-NZ"/>
    </w:rPr>
  </w:style>
  <w:style w:type="paragraph" w:customStyle="1" w:styleId="Body">
    <w:name w:val="Body"/>
    <w:basedOn w:val="Head"/>
    <w:link w:val="BodyChar"/>
    <w:qFormat/>
    <w:rsid w:val="00601340"/>
    <w:pPr>
      <w:spacing w:after="160"/>
    </w:pPr>
    <w:rPr>
      <w:rFonts w:asciiTheme="minorHAnsi" w:hAnsiTheme="minorHAnsi"/>
      <w:color w:val="404142" w:themeColor="accent3" w:themeShade="80"/>
      <w:sz w:val="22"/>
    </w:rPr>
  </w:style>
  <w:style w:type="paragraph" w:styleId="TOC2">
    <w:name w:val="toc 2"/>
    <w:basedOn w:val="Normal"/>
    <w:next w:val="Normal"/>
    <w:autoRedefine/>
    <w:uiPriority w:val="39"/>
    <w:unhideWhenUsed/>
    <w:rsid w:val="008D7D76"/>
    <w:pPr>
      <w:tabs>
        <w:tab w:val="right" w:pos="9825"/>
      </w:tabs>
      <w:spacing w:before="40" w:after="40"/>
      <w:ind w:left="198"/>
    </w:pPr>
    <w:rPr>
      <w:color w:val="515255" w:themeColor="text1" w:themeTint="E6"/>
    </w:rPr>
  </w:style>
  <w:style w:type="paragraph" w:styleId="TOC1">
    <w:name w:val="toc 1"/>
    <w:basedOn w:val="Normal"/>
    <w:next w:val="Normal"/>
    <w:autoRedefine/>
    <w:uiPriority w:val="39"/>
    <w:unhideWhenUsed/>
    <w:rsid w:val="00316A3D"/>
    <w:pPr>
      <w:tabs>
        <w:tab w:val="left" w:pos="993"/>
        <w:tab w:val="right" w:pos="9825"/>
      </w:tabs>
      <w:spacing w:before="80" w:after="60"/>
    </w:pPr>
    <w:rPr>
      <w:noProof/>
      <w:color w:val="515255" w:themeColor="text1" w:themeTint="E6"/>
    </w:rPr>
  </w:style>
  <w:style w:type="character" w:styleId="Hyperlink">
    <w:name w:val="Hyperlink"/>
    <w:basedOn w:val="DefaultParagraphFont"/>
    <w:uiPriority w:val="99"/>
    <w:unhideWhenUsed/>
    <w:qFormat/>
    <w:rsid w:val="004A320E"/>
    <w:rPr>
      <w:rFonts w:ascii="Calibri" w:hAnsi="Calibri"/>
      <w:i/>
      <w:color w:val="0066A4"/>
      <w:sz w:val="22"/>
      <w:u w:val="single"/>
    </w:rPr>
  </w:style>
  <w:style w:type="paragraph" w:styleId="BalloonText">
    <w:name w:val="Balloon Text"/>
    <w:basedOn w:val="Normal"/>
    <w:link w:val="BalloonTextChar"/>
    <w:unhideWhenUsed/>
    <w:rsid w:val="00052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2D3F"/>
    <w:rPr>
      <w:rFonts w:ascii="Tahoma" w:hAnsi="Tahoma" w:cs="Tahoma"/>
      <w:sz w:val="16"/>
      <w:szCs w:val="16"/>
    </w:rPr>
  </w:style>
  <w:style w:type="character" w:customStyle="1" w:styleId="Heading3Char">
    <w:name w:val="Heading 3 Char"/>
    <w:basedOn w:val="DefaultParagraphFont"/>
    <w:link w:val="Heading3"/>
    <w:rsid w:val="00BA3735"/>
    <w:rPr>
      <w:rFonts w:asciiTheme="majorHAnsi" w:hAnsiTheme="majorHAnsi"/>
      <w:b/>
      <w:i/>
      <w:color w:val="002941" w:themeColor="accent1"/>
      <w:sz w:val="24"/>
      <w:szCs w:val="28"/>
      <w:lang w:val="en-NZ"/>
    </w:rPr>
  </w:style>
  <w:style w:type="paragraph" w:styleId="TOC3">
    <w:name w:val="toc 3"/>
    <w:basedOn w:val="Normal"/>
    <w:next w:val="Normal"/>
    <w:autoRedefine/>
    <w:uiPriority w:val="39"/>
    <w:unhideWhenUsed/>
    <w:rsid w:val="00F630EE"/>
    <w:pPr>
      <w:spacing w:after="60"/>
      <w:ind w:left="403"/>
    </w:pPr>
  </w:style>
  <w:style w:type="table" w:styleId="TableGrid">
    <w:name w:val="Table Grid"/>
    <w:basedOn w:val="TableNormal"/>
    <w:uiPriority w:val="59"/>
    <w:rsid w:val="004C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24605"/>
    <w:rPr>
      <w:rFonts w:asciiTheme="majorHAnsi" w:eastAsiaTheme="majorEastAsia" w:hAnsiTheme="majorHAnsi" w:cstheme="majorBidi"/>
      <w:b/>
      <w:bCs/>
      <w:i/>
      <w:iCs/>
      <w:color w:val="002941" w:themeColor="accent1"/>
      <w:lang w:val="en-NZ"/>
    </w:rPr>
  </w:style>
  <w:style w:type="character" w:customStyle="1" w:styleId="Heading5Char">
    <w:name w:val="Heading 5 Char"/>
    <w:basedOn w:val="DefaultParagraphFont"/>
    <w:link w:val="Heading5"/>
    <w:uiPriority w:val="9"/>
    <w:semiHidden/>
    <w:rsid w:val="00524605"/>
    <w:rPr>
      <w:rFonts w:asciiTheme="majorHAnsi" w:eastAsiaTheme="majorEastAsia" w:hAnsiTheme="majorHAnsi" w:cstheme="majorBidi"/>
      <w:color w:val="001420" w:themeColor="accent1" w:themeShade="7F"/>
      <w:lang w:val="en-NZ"/>
    </w:rPr>
  </w:style>
  <w:style w:type="character" w:customStyle="1" w:styleId="Heading6Char">
    <w:name w:val="Heading 6 Char"/>
    <w:basedOn w:val="DefaultParagraphFont"/>
    <w:link w:val="Heading6"/>
    <w:uiPriority w:val="9"/>
    <w:semiHidden/>
    <w:rsid w:val="00524605"/>
    <w:rPr>
      <w:rFonts w:asciiTheme="majorHAnsi" w:eastAsiaTheme="majorEastAsia" w:hAnsiTheme="majorHAnsi" w:cstheme="majorBidi"/>
      <w:i/>
      <w:iCs/>
      <w:color w:val="001420" w:themeColor="accent1" w:themeShade="7F"/>
      <w:lang w:val="en-NZ"/>
    </w:rPr>
  </w:style>
  <w:style w:type="character" w:customStyle="1" w:styleId="Heading7Char">
    <w:name w:val="Heading 7 Char"/>
    <w:basedOn w:val="DefaultParagraphFont"/>
    <w:link w:val="Heading7"/>
    <w:uiPriority w:val="9"/>
    <w:semiHidden/>
    <w:rsid w:val="00524605"/>
    <w:rPr>
      <w:rFonts w:asciiTheme="majorHAnsi" w:eastAsiaTheme="majorEastAsia" w:hAnsiTheme="majorHAnsi" w:cstheme="majorBidi"/>
      <w:i/>
      <w:iCs/>
      <w:color w:val="6D6F72" w:themeColor="text1" w:themeTint="BF"/>
      <w:lang w:val="en-NZ"/>
    </w:rPr>
  </w:style>
  <w:style w:type="character" w:customStyle="1" w:styleId="Heading8Char">
    <w:name w:val="Heading 8 Char"/>
    <w:basedOn w:val="DefaultParagraphFont"/>
    <w:link w:val="Heading8"/>
    <w:uiPriority w:val="9"/>
    <w:semiHidden/>
    <w:rsid w:val="00524605"/>
    <w:rPr>
      <w:rFonts w:asciiTheme="majorHAnsi" w:eastAsiaTheme="majorEastAsia" w:hAnsiTheme="majorHAnsi" w:cstheme="majorBidi"/>
      <w:color w:val="6D6F72" w:themeColor="text1" w:themeTint="BF"/>
      <w:szCs w:val="20"/>
      <w:lang w:val="en-NZ"/>
    </w:rPr>
  </w:style>
  <w:style w:type="character" w:customStyle="1" w:styleId="Heading9Char">
    <w:name w:val="Heading 9 Char"/>
    <w:basedOn w:val="DefaultParagraphFont"/>
    <w:link w:val="Heading9"/>
    <w:uiPriority w:val="9"/>
    <w:semiHidden/>
    <w:rsid w:val="00524605"/>
    <w:rPr>
      <w:rFonts w:asciiTheme="majorHAnsi" w:eastAsiaTheme="majorEastAsia" w:hAnsiTheme="majorHAnsi" w:cstheme="majorBidi"/>
      <w:i/>
      <w:iCs/>
      <w:color w:val="6D6F72" w:themeColor="text1" w:themeTint="BF"/>
      <w:szCs w:val="20"/>
      <w:lang w:val="en-NZ"/>
    </w:rPr>
  </w:style>
  <w:style w:type="character" w:styleId="CommentReference">
    <w:name w:val="annotation reference"/>
    <w:basedOn w:val="DefaultParagraphFont"/>
    <w:unhideWhenUsed/>
    <w:rsid w:val="00FC119B"/>
    <w:rPr>
      <w:sz w:val="16"/>
      <w:szCs w:val="16"/>
    </w:rPr>
  </w:style>
  <w:style w:type="paragraph" w:styleId="CommentText">
    <w:name w:val="annotation text"/>
    <w:basedOn w:val="Normal"/>
    <w:link w:val="CommentTextChar"/>
    <w:unhideWhenUsed/>
    <w:rsid w:val="00FC119B"/>
    <w:pPr>
      <w:spacing w:line="240" w:lineRule="auto"/>
    </w:pPr>
    <w:rPr>
      <w:szCs w:val="20"/>
    </w:rPr>
  </w:style>
  <w:style w:type="character" w:customStyle="1" w:styleId="CommentTextChar">
    <w:name w:val="Comment Text Char"/>
    <w:basedOn w:val="DefaultParagraphFont"/>
    <w:link w:val="CommentText"/>
    <w:rsid w:val="00FC119B"/>
    <w:rPr>
      <w:szCs w:val="20"/>
      <w:lang w:val="en-NZ"/>
    </w:rPr>
  </w:style>
  <w:style w:type="paragraph" w:styleId="CommentSubject">
    <w:name w:val="annotation subject"/>
    <w:basedOn w:val="CommentText"/>
    <w:next w:val="CommentText"/>
    <w:link w:val="CommentSubjectChar"/>
    <w:unhideWhenUsed/>
    <w:rsid w:val="00FC119B"/>
    <w:rPr>
      <w:b/>
      <w:bCs/>
    </w:rPr>
  </w:style>
  <w:style w:type="character" w:customStyle="1" w:styleId="CommentSubjectChar">
    <w:name w:val="Comment Subject Char"/>
    <w:basedOn w:val="CommentTextChar"/>
    <w:link w:val="CommentSubject"/>
    <w:rsid w:val="00FC119B"/>
    <w:rPr>
      <w:b/>
      <w:bCs/>
      <w:szCs w:val="20"/>
      <w:lang w:val="en-NZ"/>
    </w:rPr>
  </w:style>
  <w:style w:type="paragraph" w:styleId="TOCHeading">
    <w:name w:val="TOC Heading"/>
    <w:basedOn w:val="Heading1"/>
    <w:next w:val="Normal"/>
    <w:uiPriority w:val="39"/>
    <w:unhideWhenUsed/>
    <w:rsid w:val="00341073"/>
    <w:pPr>
      <w:keepNext/>
      <w:keepLines/>
      <w:widowControl/>
      <w:suppressAutoHyphens w:val="0"/>
      <w:autoSpaceDE/>
      <w:autoSpaceDN/>
      <w:adjustRightInd/>
      <w:spacing w:before="480" w:after="0"/>
      <w:textAlignment w:val="auto"/>
      <w:outlineLvl w:val="9"/>
    </w:pPr>
    <w:rPr>
      <w:rFonts w:eastAsiaTheme="majorEastAsia" w:cstheme="majorBidi"/>
      <w:bCs/>
      <w:color w:val="001E30" w:themeColor="accent1" w:themeShade="BF"/>
      <w:sz w:val="28"/>
      <w:lang w:eastAsia="ja-JP"/>
    </w:rPr>
  </w:style>
  <w:style w:type="paragraph" w:customStyle="1" w:styleId="bodycopy">
    <w:name w:val="body copy"/>
    <w:basedOn w:val="Normal"/>
    <w:rsid w:val="00915106"/>
    <w:pPr>
      <w:spacing w:after="0" w:line="240" w:lineRule="auto"/>
    </w:pPr>
    <w:rPr>
      <w:rFonts w:ascii="Arial" w:eastAsia="Times New Roman" w:hAnsi="Arial" w:cs="Times New Roman"/>
      <w:color w:val="auto"/>
      <w:szCs w:val="24"/>
      <w:lang w:val="en-AU"/>
    </w:rPr>
  </w:style>
  <w:style w:type="paragraph" w:styleId="BodyText2">
    <w:name w:val="Body Text 2"/>
    <w:basedOn w:val="Normal"/>
    <w:link w:val="BodyText2Char"/>
    <w:rsid w:val="00915106"/>
    <w:pPr>
      <w:spacing w:after="0" w:line="240" w:lineRule="auto"/>
      <w:jc w:val="both"/>
    </w:pPr>
    <w:rPr>
      <w:rFonts w:ascii="Arial" w:eastAsia="Times New Roman" w:hAnsi="Arial" w:cs="Times New Roman"/>
      <w:color w:val="auto"/>
      <w:szCs w:val="24"/>
      <w:lang w:val="en-AU"/>
    </w:rPr>
  </w:style>
  <w:style w:type="character" w:customStyle="1" w:styleId="BodyText2Char">
    <w:name w:val="Body Text 2 Char"/>
    <w:basedOn w:val="DefaultParagraphFont"/>
    <w:link w:val="BodyText2"/>
    <w:rsid w:val="00915106"/>
    <w:rPr>
      <w:rFonts w:ascii="Arial" w:eastAsia="Times New Roman" w:hAnsi="Arial" w:cs="Times New Roman"/>
      <w:color w:val="auto"/>
      <w:sz w:val="22"/>
      <w:szCs w:val="24"/>
      <w:lang w:val="en-AU"/>
    </w:rPr>
  </w:style>
  <w:style w:type="paragraph" w:customStyle="1" w:styleId="Style1">
    <w:name w:val="Style1"/>
    <w:basedOn w:val="Heading1"/>
    <w:rsid w:val="00915106"/>
    <w:pPr>
      <w:keepNext/>
      <w:widowControl/>
      <w:tabs>
        <w:tab w:val="num" w:pos="0"/>
        <w:tab w:val="left" w:pos="709"/>
      </w:tabs>
      <w:suppressAutoHyphens w:val="0"/>
      <w:autoSpaceDE/>
      <w:autoSpaceDN/>
      <w:adjustRightInd/>
      <w:spacing w:line="240" w:lineRule="auto"/>
      <w:textAlignment w:val="auto"/>
    </w:pPr>
    <w:rPr>
      <w:rFonts w:ascii="Arial" w:eastAsia="Times New Roman" w:hAnsi="Arial" w:cs="Arial"/>
      <w:b w:val="0"/>
      <w:bCs/>
      <w:caps/>
      <w:color w:val="000080"/>
      <w:kern w:val="32"/>
      <w:sz w:val="24"/>
      <w:szCs w:val="32"/>
    </w:rPr>
  </w:style>
  <w:style w:type="paragraph" w:customStyle="1" w:styleId="StyleJustified">
    <w:name w:val="Style Justified"/>
    <w:basedOn w:val="Normal"/>
    <w:rsid w:val="00915106"/>
    <w:pPr>
      <w:spacing w:after="0" w:line="240" w:lineRule="auto"/>
      <w:jc w:val="both"/>
    </w:pPr>
    <w:rPr>
      <w:rFonts w:ascii="Arial" w:eastAsia="Times New Roman" w:hAnsi="Arial" w:cs="Times New Roman"/>
      <w:color w:val="auto"/>
      <w:szCs w:val="24"/>
      <w:lang w:val="en-AU"/>
    </w:rPr>
  </w:style>
  <w:style w:type="paragraph" w:styleId="TOC4">
    <w:name w:val="toc 4"/>
    <w:basedOn w:val="Normal"/>
    <w:next w:val="Normal"/>
    <w:autoRedefine/>
    <w:semiHidden/>
    <w:rsid w:val="00915106"/>
    <w:pPr>
      <w:spacing w:after="0" w:line="240" w:lineRule="auto"/>
      <w:ind w:left="480"/>
    </w:pPr>
    <w:rPr>
      <w:rFonts w:ascii="Times New Roman" w:eastAsia="Times New Roman" w:hAnsi="Times New Roman" w:cs="Times New Roman"/>
      <w:color w:val="auto"/>
      <w:szCs w:val="24"/>
      <w:lang w:val="en-AU"/>
    </w:rPr>
  </w:style>
  <w:style w:type="paragraph" w:styleId="TOC5">
    <w:name w:val="toc 5"/>
    <w:basedOn w:val="Normal"/>
    <w:next w:val="Normal"/>
    <w:autoRedefine/>
    <w:semiHidden/>
    <w:rsid w:val="00915106"/>
    <w:pPr>
      <w:spacing w:after="0" w:line="240" w:lineRule="auto"/>
      <w:ind w:left="720"/>
    </w:pPr>
    <w:rPr>
      <w:rFonts w:ascii="Times New Roman" w:eastAsia="Times New Roman" w:hAnsi="Times New Roman" w:cs="Times New Roman"/>
      <w:color w:val="auto"/>
      <w:szCs w:val="24"/>
      <w:lang w:val="en-AU"/>
    </w:rPr>
  </w:style>
  <w:style w:type="paragraph" w:styleId="TOC6">
    <w:name w:val="toc 6"/>
    <w:basedOn w:val="Normal"/>
    <w:next w:val="Normal"/>
    <w:autoRedefine/>
    <w:semiHidden/>
    <w:rsid w:val="00915106"/>
    <w:pPr>
      <w:spacing w:after="0" w:line="240" w:lineRule="auto"/>
      <w:ind w:left="960"/>
    </w:pPr>
    <w:rPr>
      <w:rFonts w:ascii="Times New Roman" w:eastAsia="Times New Roman" w:hAnsi="Times New Roman" w:cs="Times New Roman"/>
      <w:color w:val="auto"/>
      <w:szCs w:val="24"/>
      <w:lang w:val="en-AU"/>
    </w:rPr>
  </w:style>
  <w:style w:type="paragraph" w:styleId="TOC7">
    <w:name w:val="toc 7"/>
    <w:basedOn w:val="Normal"/>
    <w:next w:val="Normal"/>
    <w:autoRedefine/>
    <w:semiHidden/>
    <w:rsid w:val="00915106"/>
    <w:pPr>
      <w:spacing w:after="0" w:line="240" w:lineRule="auto"/>
      <w:ind w:left="1200"/>
    </w:pPr>
    <w:rPr>
      <w:rFonts w:ascii="Times New Roman" w:eastAsia="Times New Roman" w:hAnsi="Times New Roman" w:cs="Times New Roman"/>
      <w:color w:val="auto"/>
      <w:szCs w:val="24"/>
      <w:lang w:val="en-AU"/>
    </w:rPr>
  </w:style>
  <w:style w:type="paragraph" w:styleId="TOC8">
    <w:name w:val="toc 8"/>
    <w:basedOn w:val="Normal"/>
    <w:next w:val="Normal"/>
    <w:autoRedefine/>
    <w:semiHidden/>
    <w:rsid w:val="00915106"/>
    <w:pPr>
      <w:spacing w:after="0" w:line="240" w:lineRule="auto"/>
      <w:ind w:left="1440"/>
    </w:pPr>
    <w:rPr>
      <w:rFonts w:ascii="Times New Roman" w:eastAsia="Times New Roman" w:hAnsi="Times New Roman" w:cs="Times New Roman"/>
      <w:color w:val="auto"/>
      <w:szCs w:val="24"/>
      <w:lang w:val="en-AU"/>
    </w:rPr>
  </w:style>
  <w:style w:type="paragraph" w:styleId="TOC9">
    <w:name w:val="toc 9"/>
    <w:basedOn w:val="Normal"/>
    <w:next w:val="Normal"/>
    <w:autoRedefine/>
    <w:semiHidden/>
    <w:rsid w:val="00915106"/>
    <w:pPr>
      <w:spacing w:after="0" w:line="240" w:lineRule="auto"/>
      <w:ind w:left="1680"/>
    </w:pPr>
    <w:rPr>
      <w:rFonts w:ascii="Times New Roman" w:eastAsia="Times New Roman" w:hAnsi="Times New Roman" w:cs="Times New Roman"/>
      <w:color w:val="auto"/>
      <w:szCs w:val="24"/>
      <w:lang w:val="en-AU"/>
    </w:rPr>
  </w:style>
  <w:style w:type="character" w:styleId="PageNumber">
    <w:name w:val="page number"/>
    <w:basedOn w:val="DefaultParagraphFont"/>
    <w:rsid w:val="00915106"/>
  </w:style>
  <w:style w:type="paragraph" w:customStyle="1" w:styleId="Bulletedlist1">
    <w:name w:val="Bulleted list 1"/>
    <w:basedOn w:val="Normal"/>
    <w:rsid w:val="00915106"/>
    <w:pPr>
      <w:tabs>
        <w:tab w:val="num" w:pos="710"/>
        <w:tab w:val="left" w:pos="1276"/>
      </w:tabs>
      <w:spacing w:after="0" w:line="240" w:lineRule="auto"/>
      <w:ind w:left="710" w:hanging="360"/>
      <w:jc w:val="both"/>
    </w:pPr>
    <w:rPr>
      <w:rFonts w:ascii="Arial" w:eastAsia="Times New Roman" w:hAnsi="Arial" w:cs="Arial"/>
      <w:color w:val="auto"/>
      <w:sz w:val="24"/>
      <w:szCs w:val="24"/>
      <w:lang w:val="en-AU"/>
    </w:rPr>
  </w:style>
  <w:style w:type="paragraph" w:customStyle="1" w:styleId="StyleHeading2Justified">
    <w:name w:val="Style Heading 2 + Justified"/>
    <w:basedOn w:val="Heading2"/>
    <w:rsid w:val="00915106"/>
    <w:pPr>
      <w:tabs>
        <w:tab w:val="num" w:pos="0"/>
        <w:tab w:val="left" w:pos="709"/>
      </w:tabs>
      <w:spacing w:line="240" w:lineRule="auto"/>
      <w:jc w:val="both"/>
    </w:pPr>
    <w:rPr>
      <w:rFonts w:ascii="Arial Bold" w:eastAsia="Times New Roman" w:hAnsi="Arial Bold" w:cs="Times New Roman"/>
      <w:bCs/>
      <w:color w:val="000080"/>
      <w:sz w:val="22"/>
      <w:szCs w:val="20"/>
    </w:rPr>
  </w:style>
  <w:style w:type="paragraph" w:customStyle="1" w:styleId="Default">
    <w:name w:val="Default"/>
    <w:rsid w:val="00915106"/>
    <w:pPr>
      <w:widowControl w:val="0"/>
      <w:autoSpaceDE w:val="0"/>
      <w:autoSpaceDN w:val="0"/>
      <w:adjustRightInd w:val="0"/>
      <w:spacing w:after="0" w:line="240" w:lineRule="auto"/>
    </w:pPr>
    <w:rPr>
      <w:rFonts w:ascii="Futura Light" w:eastAsia="Times New Roman" w:hAnsi="Futura Light" w:cs="Futura Light"/>
      <w:color w:val="000000"/>
      <w:sz w:val="24"/>
      <w:szCs w:val="24"/>
      <w:lang w:val="en-GB" w:eastAsia="en-GB"/>
    </w:rPr>
  </w:style>
  <w:style w:type="paragraph" w:styleId="ListParagraph">
    <w:name w:val="List Paragraph"/>
    <w:basedOn w:val="Normal"/>
    <w:uiPriority w:val="34"/>
    <w:qFormat/>
    <w:rsid w:val="004A372C"/>
    <w:pPr>
      <w:numPr>
        <w:numId w:val="2"/>
      </w:numPr>
      <w:spacing w:after="0"/>
      <w:ind w:hanging="720"/>
    </w:pPr>
    <w:rPr>
      <w:rFonts w:eastAsia="Times New Roman" w:cs="Times New Roman"/>
      <w:color w:val="404142" w:themeColor="accent3" w:themeShade="80"/>
      <w:lang w:val="en-AU"/>
    </w:rPr>
  </w:style>
  <w:style w:type="character" w:styleId="FootnoteReference">
    <w:name w:val="footnote reference"/>
    <w:basedOn w:val="DefaultParagraphFont"/>
    <w:uiPriority w:val="99"/>
    <w:rsid w:val="00915106"/>
    <w:rPr>
      <w:vertAlign w:val="superscript"/>
    </w:rPr>
  </w:style>
  <w:style w:type="paragraph" w:styleId="NormalWeb">
    <w:name w:val="Normal (Web)"/>
    <w:basedOn w:val="Normal"/>
    <w:uiPriority w:val="99"/>
    <w:unhideWhenUsed/>
    <w:rsid w:val="00915106"/>
    <w:pPr>
      <w:spacing w:after="135" w:line="240" w:lineRule="auto"/>
    </w:pPr>
    <w:rPr>
      <w:rFonts w:ascii="Times New Roman" w:eastAsia="Times New Roman" w:hAnsi="Times New Roman" w:cs="Times New Roman"/>
      <w:color w:val="5F6062"/>
      <w:sz w:val="21"/>
      <w:szCs w:val="21"/>
      <w:lang w:eastAsia="en-NZ"/>
    </w:rPr>
  </w:style>
  <w:style w:type="paragraph" w:styleId="Caption">
    <w:name w:val="caption"/>
    <w:basedOn w:val="Body"/>
    <w:next w:val="Normal"/>
    <w:uiPriority w:val="35"/>
    <w:unhideWhenUsed/>
    <w:qFormat/>
    <w:rsid w:val="001567EB"/>
    <w:pPr>
      <w:ind w:left="1134" w:hanging="1134"/>
    </w:pPr>
    <w:rPr>
      <w:b/>
    </w:rPr>
  </w:style>
  <w:style w:type="table" w:customStyle="1" w:styleId="ListTable4-Accent11">
    <w:name w:val="List Table 4 - Accent 11"/>
    <w:basedOn w:val="TableNormal"/>
    <w:uiPriority w:val="49"/>
    <w:rsid w:val="0045729B"/>
    <w:pPr>
      <w:spacing w:after="0" w:line="240" w:lineRule="auto"/>
    </w:pPr>
    <w:tblPr>
      <w:tblStyleRowBandSize w:val="1"/>
      <w:tblStyleColBandSize w:val="1"/>
      <w:tblBorders>
        <w:top w:val="single" w:sz="4" w:space="0" w:color="0098F3" w:themeColor="accent1" w:themeTint="99"/>
        <w:left w:val="single" w:sz="4" w:space="0" w:color="0098F3" w:themeColor="accent1" w:themeTint="99"/>
        <w:bottom w:val="single" w:sz="4" w:space="0" w:color="0098F3" w:themeColor="accent1" w:themeTint="99"/>
        <w:right w:val="single" w:sz="4" w:space="0" w:color="0098F3" w:themeColor="accent1" w:themeTint="99"/>
        <w:insideH w:val="single" w:sz="4" w:space="0" w:color="0098F3" w:themeColor="accent1" w:themeTint="99"/>
      </w:tblBorders>
    </w:tblPr>
    <w:tblStylePr w:type="firstRow">
      <w:rPr>
        <w:b/>
        <w:bCs/>
        <w:color w:val="FFFFFF" w:themeColor="background1"/>
      </w:rPr>
      <w:tblPr/>
      <w:tcPr>
        <w:tcBorders>
          <w:top w:val="single" w:sz="4" w:space="0" w:color="002941" w:themeColor="accent1"/>
          <w:left w:val="single" w:sz="4" w:space="0" w:color="002941" w:themeColor="accent1"/>
          <w:bottom w:val="single" w:sz="4" w:space="0" w:color="002941" w:themeColor="accent1"/>
          <w:right w:val="single" w:sz="4" w:space="0" w:color="002941" w:themeColor="accent1"/>
          <w:insideH w:val="nil"/>
        </w:tcBorders>
        <w:shd w:val="clear" w:color="auto" w:fill="002941" w:themeFill="accent1"/>
      </w:tcPr>
    </w:tblStylePr>
    <w:tblStylePr w:type="lastRow">
      <w:rPr>
        <w:b/>
        <w:bCs/>
      </w:rPr>
      <w:tblPr/>
      <w:tcPr>
        <w:tcBorders>
          <w:top w:val="double" w:sz="4" w:space="0" w:color="0098F3" w:themeColor="accent1" w:themeTint="99"/>
        </w:tcBorders>
      </w:tcPr>
    </w:tblStylePr>
    <w:tblStylePr w:type="firstCol">
      <w:rPr>
        <w:b/>
        <w:bCs/>
      </w:rPr>
    </w:tblStylePr>
    <w:tblStylePr w:type="lastCol">
      <w:rPr>
        <w:b/>
        <w:bCs/>
      </w:rPr>
    </w:tblStylePr>
    <w:tblStylePr w:type="band1Vert">
      <w:tblPr/>
      <w:tcPr>
        <w:shd w:val="clear" w:color="auto" w:fill="A6DDFF" w:themeFill="accent1" w:themeFillTint="33"/>
      </w:tcPr>
    </w:tblStylePr>
    <w:tblStylePr w:type="band1Horz">
      <w:tblPr/>
      <w:tcPr>
        <w:shd w:val="clear" w:color="auto" w:fill="A6DDFF" w:themeFill="accent1" w:themeFillTint="33"/>
      </w:tcPr>
    </w:tblStylePr>
  </w:style>
  <w:style w:type="paragraph" w:styleId="NoSpacing">
    <w:name w:val="No Spacing"/>
    <w:uiPriority w:val="1"/>
    <w:rsid w:val="00915106"/>
    <w:pPr>
      <w:spacing w:after="0" w:line="240" w:lineRule="auto"/>
    </w:pPr>
    <w:rPr>
      <w:rFonts w:asciiTheme="minorHAnsi" w:hAnsiTheme="minorHAnsi" w:cstheme="minorBidi"/>
      <w:color w:val="auto"/>
      <w:lang w:val="en-AU"/>
    </w:rPr>
  </w:style>
  <w:style w:type="paragraph" w:styleId="FootnoteText">
    <w:name w:val="footnote text"/>
    <w:basedOn w:val="Normal"/>
    <w:link w:val="FootnoteTextChar"/>
    <w:uiPriority w:val="99"/>
    <w:unhideWhenUsed/>
    <w:qFormat/>
    <w:rsid w:val="0094166E"/>
    <w:pPr>
      <w:spacing w:before="0" w:after="0" w:line="240" w:lineRule="auto"/>
    </w:pPr>
    <w:rPr>
      <w:rFonts w:asciiTheme="minorHAnsi" w:hAnsiTheme="minorHAnsi" w:cstheme="minorBidi"/>
      <w:color w:val="404142" w:themeColor="accent3" w:themeShade="80"/>
      <w:sz w:val="18"/>
      <w:szCs w:val="24"/>
    </w:rPr>
  </w:style>
  <w:style w:type="character" w:customStyle="1" w:styleId="FootnoteTextChar">
    <w:name w:val="Footnote Text Char"/>
    <w:basedOn w:val="DefaultParagraphFont"/>
    <w:link w:val="FootnoteText"/>
    <w:uiPriority w:val="99"/>
    <w:rsid w:val="0094166E"/>
    <w:rPr>
      <w:rFonts w:asciiTheme="minorHAnsi" w:hAnsiTheme="minorHAnsi" w:cstheme="minorBidi"/>
      <w:color w:val="404142" w:themeColor="accent3" w:themeShade="80"/>
      <w:sz w:val="18"/>
      <w:szCs w:val="24"/>
      <w:lang w:val="en-NZ"/>
    </w:rPr>
  </w:style>
  <w:style w:type="table" w:styleId="MediumShading1-Accent1">
    <w:name w:val="Medium Shading 1 Accent 1"/>
    <w:basedOn w:val="TableNormal"/>
    <w:uiPriority w:val="63"/>
    <w:rsid w:val="00915106"/>
    <w:pPr>
      <w:spacing w:after="0" w:line="240" w:lineRule="auto"/>
    </w:pPr>
    <w:rPr>
      <w:rFonts w:asciiTheme="minorHAnsi" w:hAnsiTheme="minorHAnsi" w:cstheme="minorBidi"/>
      <w:color w:val="auto"/>
      <w:lang w:val="en-NZ"/>
    </w:rPr>
    <w:tblPr>
      <w:tblStyleRowBandSize w:val="1"/>
      <w:tblStyleColBandSize w:val="1"/>
      <w:tblBorders>
        <w:top w:val="single" w:sz="8" w:space="0" w:color="006EB0" w:themeColor="accent1" w:themeTint="BF"/>
        <w:left w:val="single" w:sz="8" w:space="0" w:color="006EB0" w:themeColor="accent1" w:themeTint="BF"/>
        <w:bottom w:val="single" w:sz="8" w:space="0" w:color="006EB0" w:themeColor="accent1" w:themeTint="BF"/>
        <w:right w:val="single" w:sz="8" w:space="0" w:color="006EB0" w:themeColor="accent1" w:themeTint="BF"/>
        <w:insideH w:val="single" w:sz="8" w:space="0" w:color="006EB0" w:themeColor="accent1" w:themeTint="BF"/>
      </w:tblBorders>
    </w:tblPr>
    <w:tblStylePr w:type="firstRow">
      <w:pPr>
        <w:spacing w:before="0" w:after="0" w:line="240" w:lineRule="auto"/>
      </w:pPr>
      <w:rPr>
        <w:b/>
        <w:bCs/>
        <w:color w:val="FFFFFF" w:themeColor="background1"/>
      </w:rPr>
      <w:tblPr/>
      <w:tcPr>
        <w:tcBorders>
          <w:top w:val="single" w:sz="8" w:space="0" w:color="006EB0" w:themeColor="accent1" w:themeTint="BF"/>
          <w:left w:val="single" w:sz="8" w:space="0" w:color="006EB0" w:themeColor="accent1" w:themeTint="BF"/>
          <w:bottom w:val="single" w:sz="8" w:space="0" w:color="006EB0" w:themeColor="accent1" w:themeTint="BF"/>
          <w:right w:val="single" w:sz="8" w:space="0" w:color="006EB0" w:themeColor="accent1" w:themeTint="BF"/>
          <w:insideH w:val="nil"/>
          <w:insideV w:val="nil"/>
        </w:tcBorders>
        <w:shd w:val="clear" w:color="auto" w:fill="002941" w:themeFill="accent1"/>
      </w:tcPr>
    </w:tblStylePr>
    <w:tblStylePr w:type="lastRow">
      <w:pPr>
        <w:spacing w:before="0" w:after="0" w:line="240" w:lineRule="auto"/>
      </w:pPr>
      <w:rPr>
        <w:b/>
        <w:bCs/>
      </w:rPr>
      <w:tblPr/>
      <w:tcPr>
        <w:tcBorders>
          <w:top w:val="double" w:sz="6" w:space="0" w:color="006EB0" w:themeColor="accent1" w:themeTint="BF"/>
          <w:left w:val="single" w:sz="8" w:space="0" w:color="006EB0" w:themeColor="accent1" w:themeTint="BF"/>
          <w:bottom w:val="single" w:sz="8" w:space="0" w:color="006EB0" w:themeColor="accent1" w:themeTint="BF"/>
          <w:right w:val="single" w:sz="8" w:space="0" w:color="006E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D6FF" w:themeFill="accent1" w:themeFillTint="3F"/>
      </w:tcPr>
    </w:tblStylePr>
    <w:tblStylePr w:type="band1Horz">
      <w:tblPr/>
      <w:tcPr>
        <w:tcBorders>
          <w:insideH w:val="nil"/>
          <w:insideV w:val="nil"/>
        </w:tcBorders>
        <w:shd w:val="clear" w:color="auto" w:fill="91D6FF" w:themeFill="accent1"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915106"/>
    <w:pPr>
      <w:spacing w:after="0" w:line="240" w:lineRule="auto"/>
    </w:pPr>
    <w:rPr>
      <w:rFonts w:ascii="Times New Roman" w:eastAsia="Times New Roman" w:hAnsi="Times New Roman" w:cs="Times New Roman"/>
      <w:color w:val="auto"/>
      <w:sz w:val="24"/>
      <w:szCs w:val="24"/>
      <w:lang w:val="en-NZ" w:eastAsia="en-NZ"/>
    </w:r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285" w:themeColor="accent3"/>
          <w:left w:val="single" w:sz="8" w:space="0" w:color="808285" w:themeColor="accent3"/>
          <w:bottom w:val="single" w:sz="18" w:space="0" w:color="808285" w:themeColor="accent3"/>
          <w:right w:val="single" w:sz="8" w:space="0" w:color="808285" w:themeColor="accent3"/>
          <w:insideH w:val="nil"/>
          <w:insideV w:val="single" w:sz="8" w:space="0" w:color="80828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insideH w:val="nil"/>
          <w:insideV w:val="single" w:sz="8" w:space="0" w:color="80828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shd w:val="clear" w:color="auto" w:fill="DFE0E0" w:themeFill="accent3" w:themeFillTint="3F"/>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V w:val="single" w:sz="8" w:space="0" w:color="808285" w:themeColor="accent3"/>
        </w:tcBorders>
        <w:shd w:val="clear" w:color="auto" w:fill="DFE0E0" w:themeFill="accent3" w:themeFillTint="3F"/>
      </w:tcPr>
    </w:tblStylePr>
    <w:tblStylePr w:type="band2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V w:val="single" w:sz="8" w:space="0" w:color="808285" w:themeColor="accent3"/>
        </w:tcBorders>
      </w:tcPr>
    </w:tblStylePr>
  </w:style>
  <w:style w:type="character" w:styleId="Emphasis">
    <w:name w:val="Emphasis"/>
    <w:basedOn w:val="DefaultParagraphFont"/>
    <w:uiPriority w:val="20"/>
    <w:rsid w:val="00915106"/>
    <w:rPr>
      <w:i/>
      <w:iCs/>
    </w:rPr>
  </w:style>
  <w:style w:type="paragraph" w:styleId="TableofFigures">
    <w:name w:val="table of figures"/>
    <w:basedOn w:val="Normal"/>
    <w:next w:val="Normal"/>
    <w:uiPriority w:val="99"/>
    <w:rsid w:val="002D79BB"/>
    <w:pPr>
      <w:spacing w:before="40" w:after="40" w:line="240" w:lineRule="auto"/>
    </w:pPr>
    <w:rPr>
      <w:rFonts w:eastAsia="Times New Roman" w:cs="Times New Roman"/>
      <w:color w:val="515255" w:themeColor="text1" w:themeTint="E6"/>
      <w:szCs w:val="24"/>
      <w:lang w:val="en-AU"/>
    </w:rPr>
  </w:style>
  <w:style w:type="character" w:styleId="Strong">
    <w:name w:val="Strong"/>
    <w:basedOn w:val="DefaultParagraphFont"/>
    <w:uiPriority w:val="22"/>
    <w:rsid w:val="00915106"/>
    <w:rPr>
      <w:b/>
      <w:bCs/>
    </w:rPr>
  </w:style>
  <w:style w:type="paragraph" w:styleId="DocumentMap">
    <w:name w:val="Document Map"/>
    <w:basedOn w:val="Normal"/>
    <w:link w:val="DocumentMapChar"/>
    <w:rsid w:val="00915106"/>
    <w:pPr>
      <w:spacing w:after="0" w:line="240" w:lineRule="auto"/>
    </w:pPr>
    <w:rPr>
      <w:rFonts w:ascii="Lucida Grande" w:eastAsia="Times New Roman" w:hAnsi="Lucida Grande" w:cs="Lucida Grande"/>
      <w:color w:val="auto"/>
      <w:sz w:val="24"/>
      <w:szCs w:val="24"/>
      <w:lang w:val="en-AU"/>
    </w:rPr>
  </w:style>
  <w:style w:type="character" w:customStyle="1" w:styleId="DocumentMapChar">
    <w:name w:val="Document Map Char"/>
    <w:basedOn w:val="DefaultParagraphFont"/>
    <w:link w:val="DocumentMap"/>
    <w:rsid w:val="00915106"/>
    <w:rPr>
      <w:rFonts w:ascii="Lucida Grande" w:eastAsia="Times New Roman" w:hAnsi="Lucida Grande" w:cs="Lucida Grande"/>
      <w:color w:val="auto"/>
      <w:sz w:val="24"/>
      <w:szCs w:val="24"/>
      <w:lang w:val="en-AU"/>
    </w:rPr>
  </w:style>
  <w:style w:type="paragraph" w:styleId="Revision">
    <w:name w:val="Revision"/>
    <w:hidden/>
    <w:uiPriority w:val="99"/>
    <w:semiHidden/>
    <w:rsid w:val="00915106"/>
    <w:pPr>
      <w:spacing w:after="0" w:line="240" w:lineRule="auto"/>
    </w:pPr>
    <w:rPr>
      <w:rFonts w:ascii="Arial" w:eastAsia="Times New Roman" w:hAnsi="Arial" w:cs="Times New Roman"/>
      <w:color w:val="auto"/>
      <w:sz w:val="24"/>
      <w:szCs w:val="24"/>
      <w:lang w:val="en-AU"/>
    </w:rPr>
  </w:style>
  <w:style w:type="character" w:customStyle="1" w:styleId="apple-converted-space">
    <w:name w:val="apple-converted-space"/>
    <w:basedOn w:val="DefaultParagraphFont"/>
    <w:rsid w:val="00915106"/>
  </w:style>
  <w:style w:type="character" w:customStyle="1" w:styleId="A4">
    <w:name w:val="A4"/>
    <w:uiPriority w:val="99"/>
    <w:rsid w:val="00915106"/>
    <w:rPr>
      <w:color w:val="000000"/>
      <w:sz w:val="20"/>
      <w:szCs w:val="20"/>
    </w:rPr>
  </w:style>
  <w:style w:type="character" w:customStyle="1" w:styleId="A7">
    <w:name w:val="A7"/>
    <w:uiPriority w:val="99"/>
    <w:rsid w:val="00915106"/>
    <w:rPr>
      <w:color w:val="000000"/>
      <w:sz w:val="36"/>
      <w:szCs w:val="36"/>
    </w:rPr>
  </w:style>
  <w:style w:type="paragraph" w:customStyle="1" w:styleId="insideregtxt">
    <w:name w:val="insideregtxt"/>
    <w:basedOn w:val="Normal"/>
    <w:rsid w:val="00915106"/>
    <w:pPr>
      <w:spacing w:before="100" w:beforeAutospacing="1" w:after="100" w:afterAutospacing="1" w:line="240" w:lineRule="auto"/>
      <w:textAlignment w:val="top"/>
    </w:pPr>
    <w:rPr>
      <w:rFonts w:ascii="Arial" w:eastAsia="Times New Roman" w:hAnsi="Arial" w:cs="Arial"/>
      <w:color w:val="000000"/>
      <w:sz w:val="18"/>
      <w:szCs w:val="18"/>
      <w:lang w:eastAsia="en-NZ"/>
    </w:rPr>
  </w:style>
  <w:style w:type="paragraph" w:styleId="EndnoteText">
    <w:name w:val="endnote text"/>
    <w:basedOn w:val="Normal"/>
    <w:link w:val="EndnoteTextChar"/>
    <w:rsid w:val="00915106"/>
    <w:pPr>
      <w:spacing w:after="0" w:line="240" w:lineRule="auto"/>
    </w:pPr>
    <w:rPr>
      <w:rFonts w:ascii="Arial" w:eastAsia="Times New Roman" w:hAnsi="Arial" w:cs="Times New Roman"/>
      <w:color w:val="auto"/>
      <w:szCs w:val="20"/>
      <w:lang w:val="en-AU"/>
    </w:rPr>
  </w:style>
  <w:style w:type="character" w:customStyle="1" w:styleId="EndnoteTextChar">
    <w:name w:val="Endnote Text Char"/>
    <w:basedOn w:val="DefaultParagraphFont"/>
    <w:link w:val="EndnoteText"/>
    <w:rsid w:val="00915106"/>
    <w:rPr>
      <w:rFonts w:ascii="Arial" w:eastAsia="Times New Roman" w:hAnsi="Arial" w:cs="Times New Roman"/>
      <w:color w:val="auto"/>
      <w:szCs w:val="20"/>
      <w:lang w:val="en-AU"/>
    </w:rPr>
  </w:style>
  <w:style w:type="character" w:styleId="EndnoteReference">
    <w:name w:val="endnote reference"/>
    <w:basedOn w:val="DefaultParagraphFont"/>
    <w:rsid w:val="00915106"/>
    <w:rPr>
      <w:vertAlign w:val="superscript"/>
    </w:rPr>
  </w:style>
  <w:style w:type="paragraph" w:customStyle="1" w:styleId="BodyText1">
    <w:name w:val="Body Text1"/>
    <w:basedOn w:val="Normal"/>
    <w:link w:val="BodytextChar"/>
    <w:rsid w:val="00915106"/>
    <w:pPr>
      <w:spacing w:before="240" w:after="240" w:line="240" w:lineRule="auto"/>
    </w:pPr>
    <w:rPr>
      <w:rFonts w:ascii="Times New Roman" w:hAnsi="Times New Roman" w:cs="Times New Roman"/>
      <w:color w:val="auto"/>
    </w:rPr>
  </w:style>
  <w:style w:type="character" w:customStyle="1" w:styleId="BodytextChar">
    <w:name w:val="Body text Char"/>
    <w:basedOn w:val="DefaultParagraphFont"/>
    <w:link w:val="BodyText1"/>
    <w:rsid w:val="00915106"/>
    <w:rPr>
      <w:rFonts w:ascii="Times New Roman" w:hAnsi="Times New Roman" w:cs="Times New Roman"/>
      <w:color w:val="auto"/>
      <w:sz w:val="22"/>
      <w:szCs w:val="22"/>
      <w:lang w:val="en-NZ"/>
    </w:rPr>
  </w:style>
  <w:style w:type="character" w:styleId="SubtleEmphasis">
    <w:name w:val="Subtle Emphasis"/>
    <w:basedOn w:val="DefaultParagraphFont"/>
    <w:uiPriority w:val="19"/>
    <w:rsid w:val="00B2390E"/>
    <w:rPr>
      <w:i/>
      <w:iCs/>
      <w:color w:val="9D9FA2" w:themeColor="text1" w:themeTint="7F"/>
    </w:rPr>
  </w:style>
  <w:style w:type="paragraph" w:customStyle="1" w:styleId="Pa0">
    <w:name w:val="Pa0"/>
    <w:basedOn w:val="Default"/>
    <w:next w:val="Default"/>
    <w:uiPriority w:val="99"/>
    <w:rsid w:val="000B70C0"/>
    <w:pPr>
      <w:widowControl/>
      <w:spacing w:line="241" w:lineRule="atLeast"/>
    </w:pPr>
    <w:rPr>
      <w:rFonts w:ascii="Avenir 35 Light" w:eastAsiaTheme="minorHAnsi" w:hAnsi="Avenir 35 Light" w:cs="Times New Roman"/>
      <w:color w:val="032A45"/>
      <w:lang w:val="en-NZ" w:eastAsia="en-US"/>
    </w:rPr>
  </w:style>
  <w:style w:type="character" w:customStyle="1" w:styleId="A6">
    <w:name w:val="A6"/>
    <w:uiPriority w:val="99"/>
    <w:rsid w:val="000B70C0"/>
    <w:rPr>
      <w:rFonts w:cs="Avenir 35 Light"/>
      <w:color w:val="000000"/>
      <w:sz w:val="16"/>
      <w:szCs w:val="16"/>
    </w:rPr>
  </w:style>
  <w:style w:type="paragraph" w:styleId="Subtitle">
    <w:name w:val="Subtitle"/>
    <w:basedOn w:val="Normal"/>
    <w:next w:val="Normal"/>
    <w:link w:val="SubtitleChar"/>
    <w:uiPriority w:val="11"/>
    <w:rsid w:val="00EC1F7E"/>
    <w:rPr>
      <w:rFonts w:asciiTheme="majorHAnsi" w:hAnsiTheme="majorHAnsi"/>
      <w:b/>
      <w:color w:val="002941"/>
      <w:sz w:val="32"/>
    </w:rPr>
  </w:style>
  <w:style w:type="character" w:customStyle="1" w:styleId="SubtitleChar">
    <w:name w:val="Subtitle Char"/>
    <w:basedOn w:val="DefaultParagraphFont"/>
    <w:link w:val="Subtitle"/>
    <w:uiPriority w:val="11"/>
    <w:rsid w:val="00EC1F7E"/>
    <w:rPr>
      <w:rFonts w:asciiTheme="majorHAnsi" w:hAnsiTheme="majorHAnsi"/>
      <w:b/>
      <w:color w:val="002941"/>
      <w:sz w:val="32"/>
    </w:rPr>
  </w:style>
  <w:style w:type="paragraph" w:customStyle="1" w:styleId="Chart">
    <w:name w:val="Chart"/>
    <w:basedOn w:val="Body"/>
    <w:link w:val="ChartChar"/>
    <w:rsid w:val="004A320E"/>
    <w:pPr>
      <w:spacing w:before="40" w:after="40"/>
      <w:jc w:val="center"/>
    </w:pPr>
    <w:rPr>
      <w:b/>
      <w:sz w:val="20"/>
      <w:szCs w:val="20"/>
    </w:rPr>
  </w:style>
  <w:style w:type="paragraph" w:customStyle="1" w:styleId="InsideMainStory">
    <w:name w:val="Inside Main Story"/>
    <w:basedOn w:val="Normal"/>
    <w:rsid w:val="00D46528"/>
    <w:pPr>
      <w:spacing w:line="360" w:lineRule="auto"/>
    </w:pPr>
    <w:rPr>
      <w:rFonts w:eastAsia="Times New Roman" w:cs="Times New Roman"/>
      <w:color w:val="006699"/>
      <w:kern w:val="28"/>
      <w:sz w:val="17"/>
      <w:szCs w:val="17"/>
      <w:lang w:eastAsia="en-NZ"/>
      <w14:ligatures w14:val="standard"/>
      <w14:cntxtAlts/>
    </w:rPr>
  </w:style>
  <w:style w:type="character" w:customStyle="1" w:styleId="textChar">
    <w:name w:val="text Char"/>
    <w:basedOn w:val="DefaultParagraphFont"/>
    <w:link w:val="text"/>
    <w:uiPriority w:val="99"/>
    <w:rsid w:val="0056004F"/>
    <w:rPr>
      <w:rFonts w:ascii="FranklinGothic-Book" w:hAnsi="FranklinGothic-Book" w:cs="FranklinGothic-Book"/>
      <w:color w:val="000000"/>
      <w:szCs w:val="20"/>
      <w:lang w:val="en-NZ"/>
    </w:rPr>
  </w:style>
  <w:style w:type="character" w:customStyle="1" w:styleId="HeadChar">
    <w:name w:val="Head Char"/>
    <w:basedOn w:val="textChar"/>
    <w:link w:val="Head"/>
    <w:uiPriority w:val="99"/>
    <w:rsid w:val="0056004F"/>
    <w:rPr>
      <w:rFonts w:ascii="FranklinGothic-Demi" w:hAnsi="FranklinGothic-Demi" w:cs="FranklinGothic-Book"/>
      <w:color w:val="000000"/>
      <w:sz w:val="28"/>
      <w:szCs w:val="20"/>
      <w:lang w:val="en-NZ"/>
    </w:rPr>
  </w:style>
  <w:style w:type="character" w:customStyle="1" w:styleId="BodyChar">
    <w:name w:val="Body Char"/>
    <w:basedOn w:val="HeadChar"/>
    <w:link w:val="Body"/>
    <w:rsid w:val="00601340"/>
    <w:rPr>
      <w:rFonts w:asciiTheme="minorHAnsi" w:hAnsiTheme="minorHAnsi" w:cs="FranklinGothic-Book"/>
      <w:color w:val="404142" w:themeColor="accent3" w:themeShade="80"/>
      <w:sz w:val="28"/>
      <w:szCs w:val="28"/>
      <w:lang w:val="en-NZ"/>
    </w:rPr>
  </w:style>
  <w:style w:type="character" w:customStyle="1" w:styleId="ChartChar">
    <w:name w:val="Chart Char"/>
    <w:basedOn w:val="BodyChar"/>
    <w:link w:val="Chart"/>
    <w:rsid w:val="004A320E"/>
    <w:rPr>
      <w:rFonts w:asciiTheme="minorHAnsi" w:hAnsiTheme="minorHAnsi" w:cs="FranklinGothic-Book"/>
      <w:b/>
      <w:color w:val="515255" w:themeColor="text1" w:themeTint="E6"/>
      <w:sz w:val="20"/>
      <w:szCs w:val="20"/>
      <w:lang w:val="en-NZ"/>
    </w:rPr>
  </w:style>
  <w:style w:type="paragraph" w:customStyle="1" w:styleId="Tablebody">
    <w:name w:val="Table body"/>
    <w:basedOn w:val="Body"/>
    <w:link w:val="TablebodyChar"/>
    <w:qFormat/>
    <w:rsid w:val="00462D6C"/>
    <w:pPr>
      <w:spacing w:before="40" w:after="40"/>
      <w:textAlignment w:val="bottom"/>
    </w:pPr>
    <w:rPr>
      <w:rFonts w:cs="Arial"/>
      <w:sz w:val="20"/>
      <w:szCs w:val="20"/>
      <w:lang w:eastAsia="en-NZ"/>
    </w:rPr>
  </w:style>
  <w:style w:type="table" w:customStyle="1" w:styleId="TableML">
    <w:name w:val="Table ML"/>
    <w:basedOn w:val="TableNormal"/>
    <w:uiPriority w:val="99"/>
    <w:rsid w:val="00647CDD"/>
    <w:pPr>
      <w:spacing w:before="40" w:after="40" w:line="240" w:lineRule="auto"/>
    </w:pPr>
    <w:rPr>
      <w:color w:val="404142" w:themeColor="accent3" w:themeShade="8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vAlign w:val="center"/>
    </w:tcPr>
    <w:tblStylePr w:type="firstRow">
      <w:pPr>
        <w:jc w:val="left"/>
      </w:pPr>
      <w:rPr>
        <w:rFonts w:ascii="Calibri" w:hAnsi="Calibri"/>
        <w:b/>
        <w:color w:val="FFFFFF" w:themeColor="background1"/>
        <w:sz w:val="20"/>
      </w:rPr>
      <w:tblPr/>
      <w:tcPr>
        <w:tcBorders>
          <w:bottom w:val="single" w:sz="24" w:space="0" w:color="9DBE3B" w:themeColor="accent2"/>
        </w:tcBorders>
        <w:shd w:val="clear" w:color="auto" w:fill="002941" w:themeFill="text2"/>
      </w:tcPr>
    </w:tblStylePr>
    <w:tblStylePr w:type="firstCol">
      <w:pPr>
        <w:jc w:val="left"/>
      </w:pPr>
      <w:rPr>
        <w:b/>
        <w:color w:val="404142" w:themeColor="accent3" w:themeShade="80"/>
      </w:rPr>
    </w:tblStylePr>
    <w:tblStylePr w:type="band1Horz">
      <w:rPr>
        <w:rFonts w:asciiTheme="minorHAnsi" w:hAnsiTheme="minorHAnsi"/>
        <w:sz w:val="20"/>
      </w:rPr>
      <w:tblPr/>
      <w:tcPr>
        <w:shd w:val="clear" w:color="auto" w:fill="F2F2F2" w:themeFill="background1" w:themeFillShade="F2"/>
      </w:tcPr>
    </w:tblStylePr>
    <w:tblStylePr w:type="band2Horz">
      <w:rPr>
        <w:rFonts w:asciiTheme="minorHAnsi" w:hAnsiTheme="minorHAnsi"/>
        <w:sz w:val="20"/>
      </w:rPr>
      <w:tblPr/>
      <w:tcPr>
        <w:shd w:val="clear" w:color="auto" w:fill="F2F2F2" w:themeFill="background1" w:themeFillShade="F2"/>
      </w:tcPr>
    </w:tblStylePr>
  </w:style>
  <w:style w:type="character" w:customStyle="1" w:styleId="TablebodyChar">
    <w:name w:val="Table body Char"/>
    <w:basedOn w:val="DefaultParagraphFont"/>
    <w:link w:val="Tablebody"/>
    <w:rsid w:val="00462D6C"/>
    <w:rPr>
      <w:rFonts w:asciiTheme="minorHAnsi" w:hAnsiTheme="minorHAnsi" w:cs="Arial"/>
      <w:color w:val="404142" w:themeColor="accent3" w:themeShade="80"/>
      <w:sz w:val="20"/>
      <w:szCs w:val="20"/>
      <w:lang w:val="en-NZ" w:eastAsia="en-NZ"/>
    </w:rPr>
  </w:style>
  <w:style w:type="character" w:customStyle="1" w:styleId="st1">
    <w:name w:val="st1"/>
    <w:basedOn w:val="DefaultParagraphFont"/>
    <w:rsid w:val="003F0FC8"/>
  </w:style>
  <w:style w:type="paragraph" w:customStyle="1" w:styleId="BlockLine">
    <w:name w:val="Block Line"/>
    <w:basedOn w:val="Normal"/>
    <w:next w:val="Normal"/>
    <w:rsid w:val="003F0FC8"/>
    <w:pPr>
      <w:pBdr>
        <w:top w:val="single" w:sz="6" w:space="1" w:color="auto"/>
        <w:between w:val="single" w:sz="6" w:space="1" w:color="auto"/>
      </w:pBdr>
      <w:spacing w:before="240" w:after="0" w:line="240" w:lineRule="auto"/>
      <w:ind w:left="1700"/>
    </w:pPr>
    <w:rPr>
      <w:rFonts w:ascii="Arial" w:eastAsia="Times New Roman" w:hAnsi="Arial" w:cs="Arial"/>
      <w:snapToGrid w:val="0"/>
      <w:color w:val="auto"/>
    </w:rPr>
  </w:style>
  <w:style w:type="paragraph" w:styleId="BodyText">
    <w:name w:val="Body Text"/>
    <w:basedOn w:val="Normal"/>
    <w:link w:val="BodyTextChar0"/>
    <w:uiPriority w:val="99"/>
    <w:semiHidden/>
    <w:unhideWhenUsed/>
    <w:rsid w:val="00D4164E"/>
    <w:pPr>
      <w:spacing w:after="120"/>
    </w:pPr>
  </w:style>
  <w:style w:type="character" w:customStyle="1" w:styleId="BodyTextChar0">
    <w:name w:val="Body Text Char"/>
    <w:basedOn w:val="DefaultParagraphFont"/>
    <w:link w:val="BodyText"/>
    <w:uiPriority w:val="99"/>
    <w:semiHidden/>
    <w:rsid w:val="00D4164E"/>
    <w:rPr>
      <w:lang w:val="en-NZ"/>
    </w:rPr>
  </w:style>
  <w:style w:type="paragraph" w:customStyle="1" w:styleId="bullet">
    <w:name w:val="bullet"/>
    <w:basedOn w:val="Normal"/>
    <w:rsid w:val="00D4164E"/>
    <w:pPr>
      <w:overflowPunct w:val="0"/>
      <w:autoSpaceDE w:val="0"/>
      <w:autoSpaceDN w:val="0"/>
      <w:adjustRightInd w:val="0"/>
      <w:spacing w:before="10" w:after="10" w:line="240" w:lineRule="auto"/>
      <w:ind w:left="851" w:hanging="284"/>
      <w:jc w:val="both"/>
      <w:textAlignment w:val="baseline"/>
    </w:pPr>
    <w:rPr>
      <w:rFonts w:ascii="Times New Roman" w:eastAsia="Times New Roman" w:hAnsi="Times New Roman" w:cs="Times New Roman"/>
      <w:color w:val="auto"/>
      <w:szCs w:val="20"/>
      <w:lang w:val="en-AU"/>
    </w:rPr>
  </w:style>
  <w:style w:type="paragraph" w:customStyle="1" w:styleId="Bulletpoint">
    <w:name w:val="Bullet point"/>
    <w:basedOn w:val="Body"/>
    <w:link w:val="BulletpointChar"/>
    <w:qFormat/>
    <w:rsid w:val="009D38AF"/>
    <w:pPr>
      <w:numPr>
        <w:numId w:val="5"/>
      </w:numPr>
      <w:spacing w:before="80" w:after="80"/>
      <w:ind w:left="1276"/>
    </w:pPr>
  </w:style>
  <w:style w:type="paragraph" w:customStyle="1" w:styleId="Bulletpoint2">
    <w:name w:val="Bullet point 2"/>
    <w:basedOn w:val="Bulletpoint"/>
    <w:link w:val="Bulletpoint2Char"/>
    <w:qFormat/>
    <w:rsid w:val="007332B4"/>
    <w:pPr>
      <w:numPr>
        <w:numId w:val="3"/>
      </w:numPr>
    </w:pPr>
  </w:style>
  <w:style w:type="character" w:customStyle="1" w:styleId="BulletpointChar">
    <w:name w:val="Bullet point Char"/>
    <w:basedOn w:val="BodyChar"/>
    <w:link w:val="Bulletpoint"/>
    <w:rsid w:val="009D38AF"/>
    <w:rPr>
      <w:rFonts w:asciiTheme="minorHAnsi" w:hAnsiTheme="minorHAnsi" w:cs="FranklinGothic-Book"/>
      <w:color w:val="404142" w:themeColor="accent3" w:themeShade="80"/>
      <w:sz w:val="28"/>
      <w:szCs w:val="28"/>
      <w:lang w:val="en-NZ"/>
    </w:rPr>
  </w:style>
  <w:style w:type="paragraph" w:customStyle="1" w:styleId="FootnoteText1">
    <w:name w:val="Footnote Text1"/>
    <w:basedOn w:val="FootnoteText"/>
    <w:link w:val="FootnotetextChar0"/>
    <w:rsid w:val="000A42EB"/>
  </w:style>
  <w:style w:type="character" w:customStyle="1" w:styleId="Bulletpoint2Char">
    <w:name w:val="Bullet point 2 Char"/>
    <w:basedOn w:val="BulletpointChar"/>
    <w:link w:val="Bulletpoint2"/>
    <w:rsid w:val="007332B4"/>
    <w:rPr>
      <w:rFonts w:asciiTheme="minorHAnsi" w:hAnsiTheme="minorHAnsi" w:cs="FranklinGothic-Book"/>
      <w:color w:val="404142" w:themeColor="accent3" w:themeShade="80"/>
      <w:sz w:val="28"/>
      <w:szCs w:val="28"/>
      <w:lang w:val="en-NZ"/>
    </w:rPr>
  </w:style>
  <w:style w:type="character" w:customStyle="1" w:styleId="FootnotetextChar0">
    <w:name w:val="Footnote text Char"/>
    <w:basedOn w:val="FootnoteTextChar"/>
    <w:link w:val="FootnoteText1"/>
    <w:rsid w:val="000A42EB"/>
    <w:rPr>
      <w:rFonts w:asciiTheme="minorHAnsi" w:hAnsiTheme="minorHAnsi" w:cstheme="minorBidi"/>
      <w:color w:val="auto"/>
      <w:sz w:val="18"/>
      <w:szCs w:val="24"/>
      <w:lang w:val="en-NZ"/>
    </w:rPr>
  </w:style>
  <w:style w:type="paragraph" w:customStyle="1" w:styleId="Footnote">
    <w:name w:val="Footnote"/>
    <w:basedOn w:val="FootnoteText"/>
    <w:link w:val="FootnoteChar"/>
    <w:autoRedefine/>
    <w:rsid w:val="00001EB5"/>
    <w:rPr>
      <w:lang w:val="en-AU"/>
    </w:rPr>
  </w:style>
  <w:style w:type="character" w:customStyle="1" w:styleId="FootnoteChar">
    <w:name w:val="Footnote Char"/>
    <w:basedOn w:val="FootnoteTextChar"/>
    <w:link w:val="Footnote"/>
    <w:rsid w:val="00001EB5"/>
    <w:rPr>
      <w:rFonts w:asciiTheme="minorHAnsi" w:hAnsiTheme="minorHAnsi" w:cstheme="minorBidi"/>
      <w:color w:val="auto"/>
      <w:sz w:val="18"/>
      <w:szCs w:val="24"/>
      <w:lang w:val="en-AU"/>
    </w:rPr>
  </w:style>
  <w:style w:type="table" w:styleId="DarkList-Accent6">
    <w:name w:val="Dark List Accent 6"/>
    <w:basedOn w:val="TableNormal"/>
    <w:uiPriority w:val="70"/>
    <w:rsid w:val="00551A35"/>
    <w:pPr>
      <w:spacing w:before="0" w:after="0" w:line="240" w:lineRule="auto"/>
    </w:pPr>
    <w:rPr>
      <w:color w:val="FFFFFF" w:themeColor="background1"/>
    </w:rPr>
    <w:tblPr>
      <w:tblStyleRowBandSize w:val="1"/>
      <w:tblStyleColBandSize w:val="1"/>
    </w:tblPr>
    <w:tcPr>
      <w:shd w:val="clear" w:color="auto" w:fill="F8ED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F4042" w:themeFill="text1"/>
      </w:tcPr>
    </w:tblStylePr>
    <w:tblStylePr w:type="lastRow">
      <w:tblPr/>
      <w:tcPr>
        <w:tcBorders>
          <w:top w:val="single" w:sz="18" w:space="0" w:color="FFFFFF" w:themeColor="background1"/>
          <w:left w:val="nil"/>
          <w:bottom w:val="nil"/>
          <w:right w:val="nil"/>
          <w:insideH w:val="nil"/>
          <w:insideV w:val="nil"/>
        </w:tcBorders>
        <w:shd w:val="clear" w:color="auto" w:fill="C3A4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D35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D354" w:themeFill="accent6" w:themeFillShade="BF"/>
      </w:tcPr>
    </w:tblStylePr>
    <w:tblStylePr w:type="band1Vert">
      <w:tblPr/>
      <w:tcPr>
        <w:tcBorders>
          <w:top w:val="nil"/>
          <w:left w:val="nil"/>
          <w:bottom w:val="nil"/>
          <w:right w:val="nil"/>
          <w:insideH w:val="nil"/>
          <w:insideV w:val="nil"/>
        </w:tcBorders>
        <w:shd w:val="clear" w:color="auto" w:fill="EED354" w:themeFill="accent6" w:themeFillShade="BF"/>
      </w:tcPr>
    </w:tblStylePr>
    <w:tblStylePr w:type="band1Horz">
      <w:tblPr/>
      <w:tcPr>
        <w:tcBorders>
          <w:top w:val="nil"/>
          <w:left w:val="nil"/>
          <w:bottom w:val="nil"/>
          <w:right w:val="nil"/>
          <w:insideH w:val="nil"/>
          <w:insideV w:val="nil"/>
        </w:tcBorders>
        <w:shd w:val="clear" w:color="auto" w:fill="EED354" w:themeFill="accent6" w:themeFillShade="BF"/>
      </w:tcPr>
    </w:tblStylePr>
  </w:style>
  <w:style w:type="paragraph" w:customStyle="1" w:styleId="TableHeader">
    <w:name w:val="Table Header"/>
    <w:basedOn w:val="Body"/>
    <w:qFormat/>
    <w:rsid w:val="007C52CC"/>
    <w:pPr>
      <w:spacing w:before="120" w:after="120" w:line="240" w:lineRule="auto"/>
    </w:pPr>
    <w:rPr>
      <w:b/>
      <w:color w:val="FFFFFF" w:themeColor="background1"/>
      <w:sz w:val="20"/>
    </w:rPr>
  </w:style>
  <w:style w:type="table" w:styleId="LightList-Accent2">
    <w:name w:val="Light List Accent 2"/>
    <w:aliases w:val="Table ML 2"/>
    <w:basedOn w:val="TableNormal"/>
    <w:uiPriority w:val="61"/>
    <w:rsid w:val="000249F6"/>
    <w:pPr>
      <w:spacing w:before="0" w:after="0" w:line="240" w:lineRule="auto"/>
    </w:pPr>
    <w:rPr>
      <w:color w:val="404142" w:themeColor="accent3" w:themeShade="80"/>
      <w:sz w:val="20"/>
    </w:rPr>
    <w:tblPr>
      <w:tblStyleRowBandSize w:val="1"/>
      <w:tblStyleColBandSize w:val="1"/>
      <w:tblBorders>
        <w:top w:val="single" w:sz="4" w:space="0" w:color="808285" w:themeColor="accent3"/>
        <w:left w:val="single" w:sz="4" w:space="0" w:color="808285" w:themeColor="accent3"/>
        <w:bottom w:val="single" w:sz="4" w:space="0" w:color="808285" w:themeColor="accent3"/>
        <w:right w:val="single" w:sz="4" w:space="0" w:color="808285" w:themeColor="accent3"/>
        <w:insideH w:val="single" w:sz="4" w:space="0" w:color="808285" w:themeColor="accent3"/>
        <w:insideV w:val="single" w:sz="4" w:space="0" w:color="808285" w:themeColor="accent3"/>
      </w:tblBorders>
    </w:tblPr>
    <w:tblStylePr w:type="firstRow">
      <w:pPr>
        <w:spacing w:before="0" w:after="0" w:line="240" w:lineRule="auto"/>
        <w:jc w:val="left"/>
      </w:pPr>
      <w:rPr>
        <w:rFonts w:asciiTheme="minorHAnsi" w:hAnsiTheme="minorHAnsi"/>
        <w:b/>
        <w:bCs/>
        <w:color w:val="FFFFFF" w:themeColor="background1"/>
        <w:sz w:val="20"/>
      </w:rPr>
      <w:tblPr/>
      <w:tcPr>
        <w:tcBorders>
          <w:top w:val="single" w:sz="4" w:space="0" w:color="9DBE3B" w:themeColor="accent2"/>
          <w:left w:val="single" w:sz="4" w:space="0" w:color="9DBE3B" w:themeColor="accent2"/>
          <w:bottom w:val="single" w:sz="4" w:space="0" w:color="9DBE3B" w:themeColor="accent2"/>
          <w:right w:val="single" w:sz="4" w:space="0" w:color="9DBE3B" w:themeColor="accent2"/>
          <w:insideH w:val="nil"/>
          <w:insideV w:val="nil"/>
        </w:tcBorders>
        <w:shd w:val="clear" w:color="auto" w:fill="9DBE3B" w:themeFill="accent2"/>
        <w:vAlign w:val="center"/>
      </w:tcPr>
    </w:tblStylePr>
    <w:tblStylePr w:type="lastRow">
      <w:pPr>
        <w:spacing w:before="0" w:after="0" w:line="240" w:lineRule="auto"/>
      </w:pPr>
      <w:rPr>
        <w:b/>
        <w:bCs/>
      </w:rPr>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firstCol">
      <w:rPr>
        <w:b/>
        <w:bCs/>
      </w:rPr>
      <w:tblPr/>
      <w:tcPr>
        <w:tcBorders>
          <w:top w:val="single" w:sz="18" w:space="0" w:color="808285" w:themeColor="accent3"/>
          <w:left w:val="nil"/>
          <w:bottom w:val="single" w:sz="18" w:space="0" w:color="808285" w:themeColor="accent3"/>
          <w:right w:val="single" w:sz="18" w:space="0" w:color="808285" w:themeColor="accent3"/>
          <w:insideH w:val="single" w:sz="18" w:space="0" w:color="808285" w:themeColor="accent3"/>
          <w:insideV w:val="single" w:sz="18" w:space="0" w:color="808285" w:themeColor="accent3"/>
        </w:tcBorders>
      </w:tcPr>
    </w:tblStylePr>
    <w:tblStylePr w:type="lastCol">
      <w:rPr>
        <w:b/>
        <w:bCs/>
      </w:rPr>
      <w:tblPr/>
      <w:tcPr>
        <w:tcBorders>
          <w:top w:val="single" w:sz="18" w:space="0" w:color="808285" w:themeColor="accent3"/>
          <w:left w:val="single" w:sz="18" w:space="0" w:color="808285" w:themeColor="accent3"/>
          <w:bottom w:val="single" w:sz="18" w:space="0" w:color="808285" w:themeColor="accent3"/>
          <w:right w:val="nil"/>
          <w:insideH w:val="single" w:sz="18" w:space="0" w:color="808285" w:themeColor="accent3"/>
          <w:insideV w:val="single" w:sz="18" w:space="0" w:color="808285" w:themeColor="accent3"/>
        </w:tcBorders>
      </w:tcPr>
    </w:tblStylePr>
    <w:tblStylePr w:type="band1Vert">
      <w:tblPr/>
      <w:tcPr>
        <w:tcBorders>
          <w:top w:val="single" w:sz="4" w:space="0" w:color="808285" w:themeColor="accent3"/>
          <w:left w:val="single" w:sz="18" w:space="0" w:color="808285" w:themeColor="accent3"/>
          <w:bottom w:val="single" w:sz="4" w:space="0" w:color="808285" w:themeColor="accent3"/>
          <w:right w:val="single" w:sz="18" w:space="0" w:color="808285" w:themeColor="accent3"/>
          <w:insideH w:val="single" w:sz="18" w:space="0" w:color="808285" w:themeColor="accent3"/>
          <w:insideV w:val="single" w:sz="18" w:space="0" w:color="808285" w:themeColor="accent3"/>
        </w:tcBorders>
      </w:tcPr>
    </w:tblStylePr>
    <w:tblStylePr w:type="band2Vert">
      <w:tblPr/>
      <w:tcPr>
        <w:tcBorders>
          <w:top w:val="nil"/>
          <w:left w:val="nil"/>
          <w:bottom w:val="nil"/>
          <w:right w:val="nil"/>
          <w:insideH w:val="single" w:sz="18" w:space="0" w:color="808285" w:themeColor="accent3"/>
          <w:insideV w:val="single" w:sz="18" w:space="0" w:color="808285" w:themeColor="accent3"/>
          <w:tl2br w:val="nil"/>
          <w:tr2bl w:val="nil"/>
        </w:tcBorders>
      </w:tcPr>
    </w:tblStylePr>
    <w:tblStylePr w:type="band1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band2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swCell">
      <w:tblPr/>
      <w:tcPr>
        <w:tcBorders>
          <w:top w:val="single" w:sz="18" w:space="0" w:color="808285" w:themeColor="accent3"/>
          <w:left w:val="nil"/>
          <w:bottom w:val="single" w:sz="18" w:space="0" w:color="808285" w:themeColor="accent3"/>
          <w:right w:val="single" w:sz="18" w:space="0" w:color="808285" w:themeColor="accent3"/>
          <w:insideH w:val="single" w:sz="18" w:space="0" w:color="808285" w:themeColor="accent3"/>
          <w:insideV w:val="single" w:sz="18" w:space="0" w:color="808285" w:themeColor="accent3"/>
          <w:tl2br w:val="nil"/>
          <w:tr2bl w:val="nil"/>
        </w:tcBorders>
      </w:tcPr>
    </w:tblStylePr>
  </w:style>
  <w:style w:type="table" w:styleId="LightList-Accent3">
    <w:name w:val="Light List Accent 3"/>
    <w:basedOn w:val="TableNormal"/>
    <w:uiPriority w:val="61"/>
    <w:rsid w:val="00D83B0A"/>
    <w:pPr>
      <w:spacing w:before="0" w:after="0" w:line="240" w:lineRule="auto"/>
    </w:p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tblBorders>
    </w:tblPr>
    <w:tblStylePr w:type="firstRow">
      <w:pPr>
        <w:spacing w:before="0" w:after="0" w:line="240" w:lineRule="auto"/>
      </w:pPr>
      <w:rPr>
        <w:b/>
        <w:bCs/>
        <w:color w:val="FFFFFF" w:themeColor="background1"/>
      </w:rPr>
      <w:tblPr/>
      <w:tcPr>
        <w:shd w:val="clear" w:color="auto" w:fill="808285" w:themeFill="accent3"/>
      </w:tcPr>
    </w:tblStylePr>
    <w:tblStylePr w:type="lastRow">
      <w:pPr>
        <w:spacing w:before="0" w:after="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tcBorders>
      </w:tcPr>
    </w:tblStylePr>
    <w:tblStylePr w:type="firstCol">
      <w:rPr>
        <w:b/>
        <w:bCs/>
      </w:rPr>
    </w:tblStylePr>
    <w:tblStylePr w:type="lastCol">
      <w:rPr>
        <w:b/>
        <w:bCs/>
      </w:r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style>
  <w:style w:type="table" w:styleId="MediumList1-Accent2">
    <w:name w:val="Medium List 1 Accent 2"/>
    <w:basedOn w:val="TableNormal"/>
    <w:uiPriority w:val="65"/>
    <w:rsid w:val="00D83B0A"/>
    <w:pPr>
      <w:spacing w:before="0" w:after="0" w:line="240" w:lineRule="auto"/>
    </w:pPr>
    <w:rPr>
      <w:color w:val="3F4042" w:themeColor="text1"/>
    </w:rPr>
    <w:tblPr>
      <w:tblStyleRowBandSize w:val="1"/>
      <w:tblStyleColBandSize w:val="1"/>
      <w:tblBorders>
        <w:top w:val="single" w:sz="8" w:space="0" w:color="9DBE3B" w:themeColor="accent2"/>
        <w:bottom w:val="single" w:sz="8" w:space="0" w:color="9DBE3B" w:themeColor="accent2"/>
      </w:tblBorders>
    </w:tblPr>
    <w:tblStylePr w:type="firstRow">
      <w:rPr>
        <w:rFonts w:asciiTheme="majorHAnsi" w:eastAsiaTheme="majorEastAsia" w:hAnsiTheme="majorHAnsi" w:cstheme="majorBidi"/>
      </w:rPr>
      <w:tblPr/>
      <w:tcPr>
        <w:tcBorders>
          <w:top w:val="nil"/>
          <w:bottom w:val="single" w:sz="8" w:space="0" w:color="9DBE3B" w:themeColor="accent2"/>
        </w:tcBorders>
      </w:tcPr>
    </w:tblStylePr>
    <w:tblStylePr w:type="lastRow">
      <w:rPr>
        <w:b/>
        <w:bCs/>
        <w:color w:val="002941" w:themeColor="text2"/>
      </w:rPr>
      <w:tblPr/>
      <w:tcPr>
        <w:tcBorders>
          <w:top w:val="single" w:sz="8" w:space="0" w:color="9DBE3B" w:themeColor="accent2"/>
          <w:bottom w:val="single" w:sz="8" w:space="0" w:color="9DBE3B" w:themeColor="accent2"/>
        </w:tcBorders>
      </w:tcPr>
    </w:tblStylePr>
    <w:tblStylePr w:type="firstCol">
      <w:rPr>
        <w:b/>
        <w:bCs/>
      </w:rPr>
    </w:tblStylePr>
    <w:tblStylePr w:type="lastCol">
      <w:rPr>
        <w:b/>
        <w:bCs/>
      </w:rPr>
      <w:tblPr/>
      <w:tcPr>
        <w:tcBorders>
          <w:top w:val="single" w:sz="8" w:space="0" w:color="9DBE3B" w:themeColor="accent2"/>
          <w:bottom w:val="single" w:sz="8" w:space="0" w:color="9DBE3B" w:themeColor="accent2"/>
        </w:tcBorders>
      </w:tcPr>
    </w:tblStylePr>
    <w:tblStylePr w:type="band1Vert">
      <w:tblPr/>
      <w:tcPr>
        <w:shd w:val="clear" w:color="auto" w:fill="E7EFCD" w:themeFill="accent2" w:themeFillTint="3F"/>
      </w:tcPr>
    </w:tblStylePr>
    <w:tblStylePr w:type="band1Horz">
      <w:tblPr/>
      <w:tcPr>
        <w:shd w:val="clear" w:color="auto" w:fill="E7EFCD" w:themeFill="accent2" w:themeFillTint="3F"/>
      </w:tcPr>
    </w:tblStylePr>
  </w:style>
  <w:style w:type="table" w:styleId="LightShading">
    <w:name w:val="Light Shading"/>
    <w:basedOn w:val="TableNormal"/>
    <w:uiPriority w:val="60"/>
    <w:rsid w:val="00D83B0A"/>
    <w:pPr>
      <w:spacing w:before="0" w:after="0" w:line="240" w:lineRule="auto"/>
    </w:pPr>
    <w:rPr>
      <w:color w:val="2F2F31" w:themeColor="text1" w:themeShade="BF"/>
    </w:rPr>
    <w:tblPr>
      <w:tblStyleRowBandSize w:val="1"/>
      <w:tblStyleColBandSize w:val="1"/>
      <w:tblBorders>
        <w:top w:val="single" w:sz="8" w:space="0" w:color="3F4042" w:themeColor="text1"/>
        <w:bottom w:val="single" w:sz="8" w:space="0" w:color="3F4042" w:themeColor="text1"/>
      </w:tblBorders>
    </w:tblPr>
    <w:tblStylePr w:type="firstRow">
      <w:pPr>
        <w:spacing w:before="0" w:after="0" w:line="240" w:lineRule="auto"/>
      </w:pPr>
      <w:rPr>
        <w:b/>
        <w:bCs/>
      </w:rPr>
      <w:tblPr/>
      <w:tcPr>
        <w:tcBorders>
          <w:top w:val="single" w:sz="8" w:space="0" w:color="3F4042" w:themeColor="text1"/>
          <w:left w:val="nil"/>
          <w:bottom w:val="single" w:sz="8" w:space="0" w:color="3F4042" w:themeColor="text1"/>
          <w:right w:val="nil"/>
          <w:insideH w:val="nil"/>
          <w:insideV w:val="nil"/>
        </w:tcBorders>
      </w:tcPr>
    </w:tblStylePr>
    <w:tblStylePr w:type="lastRow">
      <w:pPr>
        <w:spacing w:before="0" w:after="0" w:line="240" w:lineRule="auto"/>
      </w:pPr>
      <w:rPr>
        <w:b/>
        <w:bCs/>
      </w:rPr>
      <w:tblPr/>
      <w:tcPr>
        <w:tcBorders>
          <w:top w:val="single" w:sz="8" w:space="0" w:color="3F4042" w:themeColor="text1"/>
          <w:left w:val="nil"/>
          <w:bottom w:val="single" w:sz="8" w:space="0" w:color="3F40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FD1" w:themeFill="text1" w:themeFillTint="3F"/>
      </w:tcPr>
    </w:tblStylePr>
    <w:tblStylePr w:type="band1Horz">
      <w:tblPr/>
      <w:tcPr>
        <w:tcBorders>
          <w:left w:val="nil"/>
          <w:right w:val="nil"/>
          <w:insideH w:val="nil"/>
          <w:insideV w:val="nil"/>
        </w:tcBorders>
        <w:shd w:val="clear" w:color="auto" w:fill="CECFD1" w:themeFill="text1" w:themeFillTint="3F"/>
      </w:tcPr>
    </w:tblStylePr>
  </w:style>
  <w:style w:type="table" w:styleId="LightShading-Accent1">
    <w:name w:val="Light Shading Accent 1"/>
    <w:basedOn w:val="TableNormal"/>
    <w:uiPriority w:val="60"/>
    <w:rsid w:val="003715CA"/>
    <w:pPr>
      <w:spacing w:before="0" w:after="0" w:line="240" w:lineRule="auto"/>
    </w:pPr>
    <w:rPr>
      <w:color w:val="002941" w:themeColor="accent1"/>
    </w:rPr>
    <w:tblPr>
      <w:tblStyleRowBandSize w:val="1"/>
      <w:tblStyleColBandSize w:val="1"/>
      <w:tblBorders>
        <w:top w:val="single" w:sz="8" w:space="0" w:color="002941" w:themeColor="accent1"/>
        <w:bottom w:val="single" w:sz="8" w:space="0" w:color="002941" w:themeColor="accent1"/>
      </w:tblBorders>
    </w:tblPr>
    <w:tblStylePr w:type="firstRow">
      <w:pPr>
        <w:spacing w:before="0" w:after="0" w:line="240" w:lineRule="auto"/>
      </w:pPr>
      <w:rPr>
        <w:b/>
        <w:bCs/>
      </w:rPr>
      <w:tblPr/>
      <w:tcPr>
        <w:tcBorders>
          <w:top w:val="single" w:sz="8" w:space="0" w:color="002941" w:themeColor="accent1"/>
          <w:left w:val="nil"/>
          <w:bottom w:val="single" w:sz="8" w:space="0" w:color="002941" w:themeColor="accent1"/>
          <w:right w:val="nil"/>
          <w:insideH w:val="nil"/>
          <w:insideV w:val="nil"/>
        </w:tcBorders>
      </w:tcPr>
    </w:tblStylePr>
    <w:tblStylePr w:type="lastRow">
      <w:pPr>
        <w:spacing w:before="0" w:after="0" w:line="240" w:lineRule="auto"/>
      </w:pPr>
      <w:rPr>
        <w:b/>
        <w:bCs/>
      </w:rPr>
      <w:tblPr/>
      <w:tcPr>
        <w:tcBorders>
          <w:top w:val="single" w:sz="8" w:space="0" w:color="002941" w:themeColor="accent1"/>
          <w:left w:val="nil"/>
          <w:bottom w:val="single" w:sz="8" w:space="0" w:color="0029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D6FF" w:themeFill="accent1" w:themeFillTint="3F"/>
      </w:tcPr>
    </w:tblStylePr>
    <w:tblStylePr w:type="band1Horz">
      <w:tblPr/>
      <w:tcPr>
        <w:tcBorders>
          <w:left w:val="nil"/>
          <w:right w:val="nil"/>
          <w:insideH w:val="nil"/>
          <w:insideV w:val="nil"/>
        </w:tcBorders>
        <w:shd w:val="clear" w:color="auto" w:fill="91D6FF" w:themeFill="accent1" w:themeFillTint="3F"/>
      </w:tcPr>
    </w:tblStylePr>
  </w:style>
  <w:style w:type="table" w:styleId="LightShading-Accent2">
    <w:name w:val="Light Shading Accent 2"/>
    <w:basedOn w:val="TableNormal"/>
    <w:uiPriority w:val="60"/>
    <w:rsid w:val="003715CA"/>
    <w:pPr>
      <w:spacing w:before="0" w:after="0" w:line="240" w:lineRule="auto"/>
    </w:pPr>
    <w:rPr>
      <w:color w:val="758E2C" w:themeColor="accent2" w:themeShade="BF"/>
    </w:rPr>
    <w:tblPr>
      <w:tblStyleRowBandSize w:val="1"/>
      <w:tblStyleColBandSize w:val="1"/>
      <w:tblBorders>
        <w:top w:val="single" w:sz="8" w:space="0" w:color="9DBE3B" w:themeColor="accent2"/>
        <w:bottom w:val="single" w:sz="8" w:space="0" w:color="9DBE3B" w:themeColor="accent2"/>
      </w:tblBorders>
    </w:tblPr>
    <w:tblStylePr w:type="firstRow">
      <w:pPr>
        <w:spacing w:before="0" w:after="0" w:line="240" w:lineRule="auto"/>
      </w:pPr>
      <w:rPr>
        <w:b/>
        <w:bCs/>
      </w:rPr>
      <w:tblPr/>
      <w:tcPr>
        <w:tcBorders>
          <w:top w:val="single" w:sz="8" w:space="0" w:color="9DBE3B" w:themeColor="accent2"/>
          <w:left w:val="nil"/>
          <w:bottom w:val="single" w:sz="8" w:space="0" w:color="9DBE3B" w:themeColor="accent2"/>
          <w:right w:val="nil"/>
          <w:insideH w:val="nil"/>
          <w:insideV w:val="nil"/>
        </w:tcBorders>
      </w:tcPr>
    </w:tblStylePr>
    <w:tblStylePr w:type="lastRow">
      <w:pPr>
        <w:spacing w:before="0" w:after="0" w:line="240" w:lineRule="auto"/>
      </w:pPr>
      <w:rPr>
        <w:b/>
        <w:bCs/>
      </w:rPr>
      <w:tblPr/>
      <w:tcPr>
        <w:tcBorders>
          <w:top w:val="single" w:sz="8" w:space="0" w:color="9DBE3B" w:themeColor="accent2"/>
          <w:left w:val="nil"/>
          <w:bottom w:val="single" w:sz="8" w:space="0" w:color="9DB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FCD" w:themeFill="accent2" w:themeFillTint="3F"/>
      </w:tcPr>
    </w:tblStylePr>
    <w:tblStylePr w:type="band1Horz">
      <w:tblPr/>
      <w:tcPr>
        <w:tcBorders>
          <w:left w:val="nil"/>
          <w:right w:val="nil"/>
          <w:insideH w:val="nil"/>
          <w:insideV w:val="nil"/>
        </w:tcBorders>
        <w:shd w:val="clear" w:color="auto" w:fill="E7EFCD" w:themeFill="accent2" w:themeFillTint="3F"/>
      </w:tcPr>
    </w:tblStylePr>
  </w:style>
  <w:style w:type="table" w:styleId="LightList-Accent4">
    <w:name w:val="Light List Accent 4"/>
    <w:basedOn w:val="TableNormal"/>
    <w:uiPriority w:val="61"/>
    <w:rsid w:val="003715CA"/>
    <w:pPr>
      <w:spacing w:before="0" w:after="0" w:line="240" w:lineRule="auto"/>
    </w:pPr>
    <w:tblPr>
      <w:tblStyleRowBandSize w:val="1"/>
      <w:tblStyleColBandSize w:val="1"/>
      <w:tblBorders>
        <w:top w:val="single" w:sz="8" w:space="0" w:color="D5E1AC" w:themeColor="accent4"/>
        <w:left w:val="single" w:sz="8" w:space="0" w:color="D5E1AC" w:themeColor="accent4"/>
        <w:bottom w:val="single" w:sz="8" w:space="0" w:color="D5E1AC" w:themeColor="accent4"/>
        <w:right w:val="single" w:sz="8" w:space="0" w:color="D5E1AC" w:themeColor="accent4"/>
      </w:tblBorders>
    </w:tblPr>
    <w:tblStylePr w:type="firstRow">
      <w:pPr>
        <w:spacing w:before="0" w:after="0" w:line="240" w:lineRule="auto"/>
      </w:pPr>
      <w:rPr>
        <w:b/>
        <w:bCs/>
        <w:color w:val="FFFFFF" w:themeColor="background1"/>
      </w:rPr>
      <w:tblPr/>
      <w:tcPr>
        <w:shd w:val="clear" w:color="auto" w:fill="D5E1AC" w:themeFill="accent4"/>
      </w:tcPr>
    </w:tblStylePr>
    <w:tblStylePr w:type="lastRow">
      <w:pPr>
        <w:spacing w:before="0" w:after="0" w:line="240" w:lineRule="auto"/>
      </w:pPr>
      <w:rPr>
        <w:b/>
        <w:bCs/>
      </w:rPr>
      <w:tblPr/>
      <w:tcPr>
        <w:tcBorders>
          <w:top w:val="double" w:sz="6" w:space="0" w:color="D5E1AC" w:themeColor="accent4"/>
          <w:left w:val="single" w:sz="8" w:space="0" w:color="D5E1AC" w:themeColor="accent4"/>
          <w:bottom w:val="single" w:sz="8" w:space="0" w:color="D5E1AC" w:themeColor="accent4"/>
          <w:right w:val="single" w:sz="8" w:space="0" w:color="D5E1AC" w:themeColor="accent4"/>
        </w:tcBorders>
      </w:tcPr>
    </w:tblStylePr>
    <w:tblStylePr w:type="firstCol">
      <w:rPr>
        <w:b/>
        <w:bCs/>
      </w:rPr>
    </w:tblStylePr>
    <w:tblStylePr w:type="lastCol">
      <w:rPr>
        <w:b/>
        <w:bCs/>
      </w:rPr>
    </w:tblStylePr>
    <w:tblStylePr w:type="band1Vert">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tcPr>
    </w:tblStylePr>
    <w:tblStylePr w:type="band1Horz">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tcPr>
    </w:tblStylePr>
  </w:style>
  <w:style w:type="table" w:styleId="ColorfulShading-Accent3">
    <w:name w:val="Colorful Shading Accent 3"/>
    <w:basedOn w:val="TableNormal"/>
    <w:uiPriority w:val="71"/>
    <w:rsid w:val="00FF6082"/>
    <w:pPr>
      <w:spacing w:before="0" w:after="0" w:line="240" w:lineRule="auto"/>
    </w:pPr>
    <w:rPr>
      <w:color w:val="3F4042" w:themeColor="text1"/>
    </w:rPr>
    <w:tblPr>
      <w:tblStyleRowBandSize w:val="1"/>
      <w:tblStyleColBandSize w:val="1"/>
      <w:tblBorders>
        <w:insideH w:val="single" w:sz="6" w:space="0" w:color="808285" w:themeColor="accent3"/>
        <w:insideV w:val="single" w:sz="6" w:space="0" w:color="808285" w:themeColor="accent3"/>
      </w:tblBorders>
    </w:tblPr>
    <w:tcPr>
      <w:shd w:val="clear" w:color="auto" w:fill="F2F2F3" w:themeFill="accent3" w:themeFillTint="19"/>
    </w:tcPr>
    <w:tblStylePr w:type="firstRow">
      <w:rPr>
        <w:rFonts w:asciiTheme="minorHAnsi" w:hAnsiTheme="minorHAnsi"/>
        <w:b/>
        <w:bCs/>
        <w:color w:val="404142" w:themeColor="accent3" w:themeShade="80"/>
        <w:sz w:val="20"/>
      </w:rPr>
      <w:tblPr/>
      <w:tcPr>
        <w:tcBorders>
          <w:top w:val="nil"/>
          <w:left w:val="nil"/>
          <w:bottom w:val="nil"/>
          <w:right w:val="nil"/>
          <w:insideH w:val="single" w:sz="6" w:space="0" w:color="808285" w:themeColor="accent3"/>
          <w:insideV w:val="single" w:sz="6" w:space="0" w:color="808285" w:themeColor="accent3"/>
        </w:tcBorders>
        <w:shd w:val="clear" w:color="auto" w:fill="9DBE3B" w:themeFill="accent2"/>
      </w:tcPr>
    </w:tblStylePr>
    <w:tblStylePr w:type="lastRow">
      <w:rPr>
        <w:b/>
        <w:bCs/>
        <w:color w:val="FFFFFF" w:themeColor="background1"/>
      </w:rPr>
      <w:tblPr/>
      <w:tcPr>
        <w:tcBorders>
          <w:top w:val="single" w:sz="6" w:space="0" w:color="FFFFFF" w:themeColor="background1"/>
        </w:tcBorders>
        <w:shd w:val="clear" w:color="auto" w:fill="4C4D4F" w:themeFill="accent3" w:themeFillShade="99"/>
      </w:tcPr>
    </w:tblStylePr>
    <w:tblStylePr w:type="firstCol">
      <w:rPr>
        <w:rFonts w:ascii="Calibri" w:hAnsi="Calibri"/>
        <w:b/>
        <w:color w:val="404142" w:themeColor="accent3" w:themeShade="80"/>
        <w:sz w:val="20"/>
      </w:rPr>
      <w:tblPr/>
      <w:tcPr>
        <w:shd w:val="clear" w:color="auto" w:fill="9DBE3B" w:themeFill="accent2"/>
      </w:tcPr>
    </w:tblStylePr>
    <w:tblStylePr w:type="lastCol">
      <w:rPr>
        <w:color w:val="FFFFFF" w:themeColor="background1"/>
      </w:rPr>
      <w:tblPr/>
      <w:tcPr>
        <w:shd w:val="clear" w:color="auto" w:fill="E5E5E6" w:themeFill="accent3" w:themeFillTint="33"/>
      </w:tcPr>
    </w:tblStylePr>
    <w:tblStylePr w:type="band1Vert">
      <w:tblPr/>
      <w:tcPr>
        <w:shd w:val="clear" w:color="auto" w:fill="CCCCCE" w:themeFill="accent3" w:themeFillTint="66"/>
      </w:tcPr>
    </w:tblStylePr>
    <w:tblStylePr w:type="band1Horz">
      <w:tblPr/>
      <w:tcPr>
        <w:shd w:val="clear" w:color="auto" w:fill="BFC0C2" w:themeFill="accent3" w:themeFillTint="7F"/>
      </w:tcPr>
    </w:tblStylePr>
  </w:style>
  <w:style w:type="table" w:styleId="DarkList-Accent5">
    <w:name w:val="Dark List Accent 5"/>
    <w:basedOn w:val="TableNormal"/>
    <w:uiPriority w:val="70"/>
    <w:rsid w:val="00BF65B5"/>
    <w:pPr>
      <w:spacing w:before="0" w:after="0" w:line="240" w:lineRule="auto"/>
    </w:pPr>
    <w:rPr>
      <w:color w:val="FFFFFF" w:themeColor="background1"/>
    </w:rPr>
    <w:tblPr>
      <w:tblStyleRowBandSize w:val="1"/>
      <w:tblStyleColBandSize w:val="1"/>
    </w:tblPr>
    <w:tcPr>
      <w:shd w:val="clear" w:color="auto" w:fill="EED45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F4042" w:themeFill="text1"/>
      </w:tcPr>
    </w:tblStylePr>
    <w:tblStylePr w:type="lastRow">
      <w:tblPr/>
      <w:tcPr>
        <w:tcBorders>
          <w:top w:val="single" w:sz="18" w:space="0" w:color="FFFFFF" w:themeColor="background1"/>
          <w:left w:val="nil"/>
          <w:bottom w:val="nil"/>
          <w:right w:val="nil"/>
          <w:insideH w:val="nil"/>
          <w:insideV w:val="nil"/>
        </w:tcBorders>
        <w:shd w:val="clear" w:color="auto" w:fill="917B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BB9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BB915" w:themeFill="accent5" w:themeFillShade="BF"/>
      </w:tcPr>
    </w:tblStylePr>
    <w:tblStylePr w:type="band1Vert">
      <w:tblPr/>
      <w:tcPr>
        <w:tcBorders>
          <w:top w:val="nil"/>
          <w:left w:val="nil"/>
          <w:bottom w:val="nil"/>
          <w:right w:val="nil"/>
          <w:insideH w:val="nil"/>
          <w:insideV w:val="nil"/>
        </w:tcBorders>
        <w:shd w:val="clear" w:color="auto" w:fill="DBB915" w:themeFill="accent5" w:themeFillShade="BF"/>
      </w:tcPr>
    </w:tblStylePr>
    <w:tblStylePr w:type="band1Horz">
      <w:tblPr/>
      <w:tcPr>
        <w:tcBorders>
          <w:top w:val="nil"/>
          <w:left w:val="nil"/>
          <w:bottom w:val="nil"/>
          <w:right w:val="nil"/>
          <w:insideH w:val="nil"/>
          <w:insideV w:val="nil"/>
        </w:tcBorders>
        <w:shd w:val="clear" w:color="auto" w:fill="DBB915" w:themeFill="accent5" w:themeFillShade="BF"/>
      </w:tcPr>
    </w:tblStylePr>
  </w:style>
  <w:style w:type="table" w:styleId="MediumList2-Accent4">
    <w:name w:val="Medium List 2 Accent 4"/>
    <w:basedOn w:val="TableNormal"/>
    <w:uiPriority w:val="66"/>
    <w:rsid w:val="00462553"/>
    <w:pPr>
      <w:spacing w:before="0" w:after="0" w:line="240" w:lineRule="auto"/>
    </w:pPr>
    <w:rPr>
      <w:rFonts w:asciiTheme="majorHAnsi" w:eastAsiaTheme="majorEastAsia" w:hAnsiTheme="majorHAnsi" w:cstheme="majorBidi"/>
      <w:color w:val="3F4042" w:themeColor="text1"/>
    </w:rPr>
    <w:tblPr>
      <w:tblStyleRowBandSize w:val="1"/>
      <w:tblStyleColBandSize w:val="1"/>
      <w:tblBorders>
        <w:top w:val="single" w:sz="8" w:space="0" w:color="D5E1AC" w:themeColor="accent4"/>
        <w:left w:val="single" w:sz="8" w:space="0" w:color="D5E1AC" w:themeColor="accent4"/>
        <w:bottom w:val="single" w:sz="8" w:space="0" w:color="D5E1AC" w:themeColor="accent4"/>
        <w:right w:val="single" w:sz="8" w:space="0" w:color="D5E1AC" w:themeColor="accent4"/>
      </w:tblBorders>
    </w:tblPr>
    <w:tblStylePr w:type="firstRow">
      <w:rPr>
        <w:sz w:val="24"/>
        <w:szCs w:val="24"/>
      </w:rPr>
      <w:tblPr/>
      <w:tcPr>
        <w:tcBorders>
          <w:top w:val="nil"/>
          <w:left w:val="nil"/>
          <w:bottom w:val="single" w:sz="24" w:space="0" w:color="D5E1AC" w:themeColor="accent4"/>
          <w:right w:val="nil"/>
          <w:insideH w:val="nil"/>
          <w:insideV w:val="nil"/>
        </w:tcBorders>
        <w:shd w:val="clear" w:color="auto" w:fill="FFFFFF" w:themeFill="background1"/>
      </w:tcPr>
    </w:tblStylePr>
    <w:tblStylePr w:type="lastRow">
      <w:tblPr/>
      <w:tcPr>
        <w:tcBorders>
          <w:top w:val="single" w:sz="8" w:space="0" w:color="D5E1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1AC" w:themeColor="accent4"/>
          <w:insideH w:val="nil"/>
          <w:insideV w:val="nil"/>
        </w:tcBorders>
        <w:shd w:val="clear" w:color="auto" w:fill="FFFFFF" w:themeFill="background1"/>
      </w:tcPr>
    </w:tblStylePr>
    <w:tblStylePr w:type="lastCol">
      <w:tblPr/>
      <w:tcPr>
        <w:tcBorders>
          <w:top w:val="nil"/>
          <w:left w:val="single" w:sz="8" w:space="0" w:color="D5E1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A" w:themeFill="accent4" w:themeFillTint="3F"/>
      </w:tcPr>
    </w:tblStylePr>
    <w:tblStylePr w:type="band1Horz">
      <w:tblPr/>
      <w:tcPr>
        <w:tcBorders>
          <w:top w:val="nil"/>
          <w:bottom w:val="nil"/>
          <w:insideH w:val="nil"/>
          <w:insideV w:val="nil"/>
        </w:tcBorders>
        <w:shd w:val="clear" w:color="auto" w:fill="F4F7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462553"/>
    <w:pPr>
      <w:spacing w:before="0" w:after="0" w:line="240" w:lineRule="auto"/>
    </w:pPr>
    <w:rPr>
      <w:rFonts w:asciiTheme="majorHAnsi" w:eastAsiaTheme="majorEastAsia" w:hAnsiTheme="majorHAnsi" w:cstheme="majorBidi"/>
      <w:color w:val="3F4042" w:themeColor="text1"/>
    </w:rPr>
    <w:tblPr>
      <w:tblStyleRowBandSize w:val="1"/>
      <w:tblStyleColBandSize w:val="1"/>
      <w:tblBorders>
        <w:top w:val="single" w:sz="8" w:space="0" w:color="3F4042" w:themeColor="text1"/>
        <w:left w:val="single" w:sz="8" w:space="0" w:color="3F4042" w:themeColor="text1"/>
        <w:bottom w:val="single" w:sz="8" w:space="0" w:color="3F4042" w:themeColor="text1"/>
        <w:right w:val="single" w:sz="8" w:space="0" w:color="3F4042" w:themeColor="text1"/>
      </w:tblBorders>
    </w:tblPr>
    <w:tblStylePr w:type="firstRow">
      <w:rPr>
        <w:sz w:val="24"/>
        <w:szCs w:val="24"/>
      </w:rPr>
      <w:tblPr/>
      <w:tcPr>
        <w:tcBorders>
          <w:top w:val="nil"/>
          <w:left w:val="nil"/>
          <w:bottom w:val="single" w:sz="24" w:space="0" w:color="3F4042" w:themeColor="text1"/>
          <w:right w:val="nil"/>
          <w:insideH w:val="nil"/>
          <w:insideV w:val="nil"/>
        </w:tcBorders>
        <w:shd w:val="clear" w:color="auto" w:fill="FFFFFF" w:themeFill="background1"/>
      </w:tcPr>
    </w:tblStylePr>
    <w:tblStylePr w:type="lastRow">
      <w:tblPr/>
      <w:tcPr>
        <w:tcBorders>
          <w:top w:val="single" w:sz="8" w:space="0" w:color="3F404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4042" w:themeColor="text1"/>
          <w:insideH w:val="nil"/>
          <w:insideV w:val="nil"/>
        </w:tcBorders>
        <w:shd w:val="clear" w:color="auto" w:fill="FFFFFF" w:themeFill="background1"/>
      </w:tcPr>
    </w:tblStylePr>
    <w:tblStylePr w:type="lastCol">
      <w:tblPr/>
      <w:tcPr>
        <w:tcBorders>
          <w:top w:val="nil"/>
          <w:left w:val="single" w:sz="8" w:space="0" w:color="3F404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FD1" w:themeFill="text1" w:themeFillTint="3F"/>
      </w:tcPr>
    </w:tblStylePr>
    <w:tblStylePr w:type="band1Horz">
      <w:tblPr/>
      <w:tcPr>
        <w:tcBorders>
          <w:top w:val="nil"/>
          <w:bottom w:val="nil"/>
          <w:insideH w:val="nil"/>
          <w:insideV w:val="nil"/>
        </w:tcBorders>
        <w:shd w:val="clear" w:color="auto" w:fill="CECFD1"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L2">
    <w:name w:val="ML 2"/>
    <w:basedOn w:val="LightList-Accent2"/>
    <w:uiPriority w:val="99"/>
    <w:rsid w:val="002410FD"/>
    <w:tblPr>
      <w:tblStyleRowBandSize w:val="0"/>
      <w:tblStyleColBandSize w:val="0"/>
      <w:tblBorders>
        <w:top w:val="single" w:sz="12" w:space="0" w:color="808285" w:themeColor="accent3"/>
        <w:left w:val="none" w:sz="0" w:space="0" w:color="auto"/>
        <w:bottom w:val="single" w:sz="12" w:space="0" w:color="808285" w:themeColor="accent3"/>
        <w:right w:val="none" w:sz="0" w:space="0" w:color="auto"/>
        <w:insideH w:val="single" w:sz="12" w:space="0" w:color="808285" w:themeColor="accent3"/>
        <w:insideV w:val="single" w:sz="12" w:space="0" w:color="808285" w:themeColor="accent3"/>
      </w:tblBorders>
    </w:tblPr>
    <w:tblStylePr w:type="firstRow">
      <w:pPr>
        <w:spacing w:before="0" w:after="0" w:line="240" w:lineRule="auto"/>
        <w:jc w:val="left"/>
      </w:pPr>
      <w:rPr>
        <w:rFonts w:asciiTheme="minorHAnsi" w:hAnsiTheme="minorHAnsi"/>
        <w:b/>
        <w:bCs/>
        <w:color w:val="FFFFFF" w:themeColor="background1"/>
        <w:sz w:val="20"/>
      </w:rPr>
      <w:tblPr/>
      <w:tcPr>
        <w:tcBorders>
          <w:top w:val="single" w:sz="4" w:space="0" w:color="9DBE3B" w:themeColor="accent2"/>
          <w:left w:val="single" w:sz="4" w:space="0" w:color="9DBE3B" w:themeColor="accent2"/>
          <w:bottom w:val="single" w:sz="4" w:space="0" w:color="9DBE3B" w:themeColor="accent2"/>
          <w:right w:val="single" w:sz="4" w:space="0" w:color="9DBE3B" w:themeColor="accent2"/>
          <w:insideH w:val="nil"/>
          <w:insideV w:val="nil"/>
        </w:tcBorders>
        <w:shd w:val="clear" w:color="auto" w:fill="9DBE3B" w:themeFill="accent2"/>
        <w:vAlign w:val="center"/>
      </w:tcPr>
    </w:tblStylePr>
    <w:tblStylePr w:type="lastRow">
      <w:pPr>
        <w:spacing w:before="0" w:after="0" w:line="240" w:lineRule="auto"/>
      </w:pPr>
      <w:rPr>
        <w:b/>
        <w:bCs/>
      </w:rPr>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firstCol">
      <w:rPr>
        <w:b/>
        <w:bCs/>
      </w:rPr>
      <w:tblPr/>
      <w:tcPr>
        <w:tcBorders>
          <w:top w:val="nil"/>
          <w:left w:val="nil"/>
          <w:bottom w:val="nil"/>
          <w:right w:val="nil"/>
          <w:insideH w:val="single" w:sz="12" w:space="0" w:color="808285" w:themeColor="accent3"/>
          <w:insideV w:val="single" w:sz="12" w:space="0" w:color="808285" w:themeColor="accent3"/>
        </w:tcBorders>
      </w:tcPr>
    </w:tblStylePr>
    <w:tblStylePr w:type="lastCol">
      <w:rPr>
        <w:b/>
        <w:bCs/>
      </w:rPr>
      <w:tblPr/>
      <w:tcPr>
        <w:tcBorders>
          <w:top w:val="nil"/>
          <w:left w:val="nil"/>
          <w:bottom w:val="nil"/>
          <w:right w:val="nil"/>
          <w:insideH w:val="single" w:sz="12" w:space="0" w:color="808285" w:themeColor="accent3"/>
          <w:insideV w:val="single" w:sz="12" w:space="0" w:color="808285" w:themeColor="accent3"/>
          <w:tl2br w:val="nil"/>
          <w:tr2bl w:val="nil"/>
        </w:tcBorders>
      </w:tcPr>
    </w:tblStylePr>
    <w:tblStylePr w:type="band1Vert">
      <w:tblPr/>
      <w:tcPr>
        <w:tcBorders>
          <w:top w:val="single" w:sz="4" w:space="0" w:color="808285" w:themeColor="accent3"/>
          <w:left w:val="single" w:sz="18" w:space="0" w:color="808285" w:themeColor="accent3"/>
          <w:bottom w:val="single" w:sz="4" w:space="0" w:color="808285" w:themeColor="accent3"/>
          <w:right w:val="single" w:sz="18" w:space="0" w:color="808285" w:themeColor="accent3"/>
          <w:insideH w:val="single" w:sz="18" w:space="0" w:color="808285" w:themeColor="accent3"/>
          <w:insideV w:val="single" w:sz="18" w:space="0" w:color="808285" w:themeColor="accent3"/>
        </w:tcBorders>
      </w:tcPr>
    </w:tblStylePr>
    <w:tblStylePr w:type="band2Vert">
      <w:tblPr/>
      <w:tcPr>
        <w:tcBorders>
          <w:top w:val="nil"/>
          <w:left w:val="nil"/>
          <w:bottom w:val="nil"/>
          <w:right w:val="nil"/>
          <w:insideH w:val="single" w:sz="18" w:space="0" w:color="808285" w:themeColor="accent3"/>
          <w:insideV w:val="single" w:sz="18" w:space="0" w:color="808285" w:themeColor="accent3"/>
          <w:tl2br w:val="nil"/>
          <w:tr2bl w:val="nil"/>
        </w:tcBorders>
      </w:tcPr>
    </w:tblStylePr>
    <w:tblStylePr w:type="band1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band2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seCell">
      <w:tblPr/>
      <w:tcPr>
        <w:tcBorders>
          <w:top w:val="single" w:sz="12" w:space="0" w:color="808285" w:themeColor="accent3"/>
          <w:left w:val="single" w:sz="12" w:space="0" w:color="808285" w:themeColor="accent3"/>
          <w:bottom w:val="single" w:sz="12" w:space="0" w:color="808285" w:themeColor="accent3"/>
          <w:right w:val="nil"/>
          <w:insideH w:val="nil"/>
          <w:insideV w:val="nil"/>
          <w:tl2br w:val="nil"/>
          <w:tr2bl w:val="nil"/>
        </w:tcBorders>
      </w:tcPr>
    </w:tblStylePr>
    <w:tblStylePr w:type="swCell">
      <w:tblPr/>
      <w:tcPr>
        <w:tcBorders>
          <w:top w:val="single" w:sz="18" w:space="0" w:color="808285" w:themeColor="accent3"/>
          <w:left w:val="nil"/>
          <w:bottom w:val="single" w:sz="18" w:space="0" w:color="808285" w:themeColor="accent3"/>
          <w:right w:val="single" w:sz="18" w:space="0" w:color="808285" w:themeColor="accent3"/>
          <w:insideH w:val="nil"/>
          <w:insideV w:val="nil"/>
          <w:tl2br w:val="nil"/>
          <w:tr2bl w:val="nil"/>
        </w:tcBorders>
      </w:tcPr>
    </w:tblStylePr>
  </w:style>
  <w:style w:type="table" w:styleId="LightGrid-Accent2">
    <w:name w:val="Light Grid Accent 2"/>
    <w:basedOn w:val="TableNormal"/>
    <w:uiPriority w:val="62"/>
    <w:rsid w:val="00462553"/>
    <w:pPr>
      <w:spacing w:before="0" w:after="0" w:line="240" w:lineRule="auto"/>
    </w:pPr>
    <w:tblPr>
      <w:tblStyleRowBandSize w:val="1"/>
      <w:tblStyleColBandSize w:val="1"/>
      <w:tblBorders>
        <w:top w:val="single" w:sz="8" w:space="0" w:color="9DBE3B" w:themeColor="accent2"/>
        <w:left w:val="single" w:sz="8" w:space="0" w:color="9DBE3B" w:themeColor="accent2"/>
        <w:bottom w:val="single" w:sz="8" w:space="0" w:color="9DBE3B" w:themeColor="accent2"/>
        <w:right w:val="single" w:sz="8" w:space="0" w:color="9DBE3B" w:themeColor="accent2"/>
        <w:insideH w:val="single" w:sz="8" w:space="0" w:color="9DBE3B" w:themeColor="accent2"/>
        <w:insideV w:val="single" w:sz="8" w:space="0" w:color="9DB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BE3B" w:themeColor="accent2"/>
          <w:left w:val="single" w:sz="8" w:space="0" w:color="9DBE3B" w:themeColor="accent2"/>
          <w:bottom w:val="single" w:sz="18" w:space="0" w:color="9DBE3B" w:themeColor="accent2"/>
          <w:right w:val="single" w:sz="8" w:space="0" w:color="9DBE3B" w:themeColor="accent2"/>
          <w:insideH w:val="nil"/>
          <w:insideV w:val="single" w:sz="8" w:space="0" w:color="9DB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BE3B" w:themeColor="accent2"/>
          <w:left w:val="single" w:sz="8" w:space="0" w:color="9DBE3B" w:themeColor="accent2"/>
          <w:bottom w:val="single" w:sz="8" w:space="0" w:color="9DBE3B" w:themeColor="accent2"/>
          <w:right w:val="single" w:sz="8" w:space="0" w:color="9DBE3B" w:themeColor="accent2"/>
          <w:insideH w:val="nil"/>
          <w:insideV w:val="single" w:sz="8" w:space="0" w:color="9DB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BE3B" w:themeColor="accent2"/>
          <w:left w:val="single" w:sz="8" w:space="0" w:color="9DBE3B" w:themeColor="accent2"/>
          <w:bottom w:val="single" w:sz="8" w:space="0" w:color="9DBE3B" w:themeColor="accent2"/>
          <w:right w:val="single" w:sz="8" w:space="0" w:color="9DBE3B" w:themeColor="accent2"/>
        </w:tcBorders>
      </w:tcPr>
    </w:tblStylePr>
    <w:tblStylePr w:type="band1Vert">
      <w:tblPr/>
      <w:tcPr>
        <w:tcBorders>
          <w:top w:val="single" w:sz="8" w:space="0" w:color="9DBE3B" w:themeColor="accent2"/>
          <w:left w:val="single" w:sz="8" w:space="0" w:color="9DBE3B" w:themeColor="accent2"/>
          <w:bottom w:val="single" w:sz="8" w:space="0" w:color="9DBE3B" w:themeColor="accent2"/>
          <w:right w:val="single" w:sz="8" w:space="0" w:color="9DBE3B" w:themeColor="accent2"/>
        </w:tcBorders>
        <w:shd w:val="clear" w:color="auto" w:fill="E7EFCD" w:themeFill="accent2" w:themeFillTint="3F"/>
      </w:tcPr>
    </w:tblStylePr>
    <w:tblStylePr w:type="band1Horz">
      <w:tblPr/>
      <w:tcPr>
        <w:tcBorders>
          <w:top w:val="single" w:sz="8" w:space="0" w:color="9DBE3B" w:themeColor="accent2"/>
          <w:left w:val="single" w:sz="8" w:space="0" w:color="9DBE3B" w:themeColor="accent2"/>
          <w:bottom w:val="single" w:sz="8" w:space="0" w:color="9DBE3B" w:themeColor="accent2"/>
          <w:right w:val="single" w:sz="8" w:space="0" w:color="9DBE3B" w:themeColor="accent2"/>
          <w:insideV w:val="single" w:sz="8" w:space="0" w:color="9DBE3B" w:themeColor="accent2"/>
        </w:tcBorders>
        <w:shd w:val="clear" w:color="auto" w:fill="E7EFCD" w:themeFill="accent2" w:themeFillTint="3F"/>
      </w:tcPr>
    </w:tblStylePr>
    <w:tblStylePr w:type="band2Horz">
      <w:tblPr/>
      <w:tcPr>
        <w:tcBorders>
          <w:top w:val="single" w:sz="8" w:space="0" w:color="9DBE3B" w:themeColor="accent2"/>
          <w:left w:val="single" w:sz="8" w:space="0" w:color="9DBE3B" w:themeColor="accent2"/>
          <w:bottom w:val="single" w:sz="8" w:space="0" w:color="9DBE3B" w:themeColor="accent2"/>
          <w:right w:val="single" w:sz="8" w:space="0" w:color="9DBE3B" w:themeColor="accent2"/>
          <w:insideV w:val="single" w:sz="8" w:space="0" w:color="9DBE3B" w:themeColor="accent2"/>
        </w:tcBorders>
      </w:tcPr>
    </w:tblStylePr>
  </w:style>
  <w:style w:type="table" w:styleId="LightGrid-Accent4">
    <w:name w:val="Light Grid Accent 4"/>
    <w:basedOn w:val="TableNormal"/>
    <w:uiPriority w:val="62"/>
    <w:rsid w:val="00462553"/>
    <w:pPr>
      <w:spacing w:before="0" w:after="0" w:line="240" w:lineRule="auto"/>
    </w:pPr>
    <w:tblPr>
      <w:tblStyleRowBandSize w:val="1"/>
      <w:tblStyleColBandSize w:val="1"/>
      <w:tblBorders>
        <w:top w:val="single" w:sz="8" w:space="0" w:color="D5E1AC" w:themeColor="accent4"/>
        <w:left w:val="single" w:sz="8" w:space="0" w:color="D5E1AC" w:themeColor="accent4"/>
        <w:bottom w:val="single" w:sz="8" w:space="0" w:color="D5E1AC" w:themeColor="accent4"/>
        <w:right w:val="single" w:sz="8" w:space="0" w:color="D5E1AC" w:themeColor="accent4"/>
        <w:insideH w:val="single" w:sz="8" w:space="0" w:color="D5E1AC" w:themeColor="accent4"/>
        <w:insideV w:val="single" w:sz="8" w:space="0" w:color="D5E1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E1AC" w:themeColor="accent4"/>
          <w:left w:val="single" w:sz="8" w:space="0" w:color="D5E1AC" w:themeColor="accent4"/>
          <w:bottom w:val="single" w:sz="18" w:space="0" w:color="D5E1AC" w:themeColor="accent4"/>
          <w:right w:val="single" w:sz="8" w:space="0" w:color="D5E1AC" w:themeColor="accent4"/>
          <w:insideH w:val="nil"/>
          <w:insideV w:val="single" w:sz="8" w:space="0" w:color="D5E1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1AC" w:themeColor="accent4"/>
          <w:left w:val="single" w:sz="8" w:space="0" w:color="D5E1AC" w:themeColor="accent4"/>
          <w:bottom w:val="single" w:sz="8" w:space="0" w:color="D5E1AC" w:themeColor="accent4"/>
          <w:right w:val="single" w:sz="8" w:space="0" w:color="D5E1AC" w:themeColor="accent4"/>
          <w:insideH w:val="nil"/>
          <w:insideV w:val="single" w:sz="8" w:space="0" w:color="D5E1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tcPr>
    </w:tblStylePr>
    <w:tblStylePr w:type="band1Vert">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shd w:val="clear" w:color="auto" w:fill="F4F7EA" w:themeFill="accent4" w:themeFillTint="3F"/>
      </w:tcPr>
    </w:tblStylePr>
    <w:tblStylePr w:type="band1Horz">
      <w:tblPr/>
      <w:tcPr>
        <w:tcBorders>
          <w:top w:val="single" w:sz="8" w:space="0" w:color="D5E1AC" w:themeColor="accent4"/>
          <w:left w:val="single" w:sz="8" w:space="0" w:color="D5E1AC" w:themeColor="accent4"/>
          <w:bottom w:val="single" w:sz="8" w:space="0" w:color="D5E1AC" w:themeColor="accent4"/>
          <w:right w:val="single" w:sz="8" w:space="0" w:color="D5E1AC" w:themeColor="accent4"/>
          <w:insideV w:val="single" w:sz="8" w:space="0" w:color="D5E1AC" w:themeColor="accent4"/>
        </w:tcBorders>
        <w:shd w:val="clear" w:color="auto" w:fill="F4F7EA" w:themeFill="accent4" w:themeFillTint="3F"/>
      </w:tcPr>
    </w:tblStylePr>
    <w:tblStylePr w:type="band2Horz">
      <w:tblPr/>
      <w:tcPr>
        <w:tcBorders>
          <w:top w:val="single" w:sz="8" w:space="0" w:color="D5E1AC" w:themeColor="accent4"/>
          <w:left w:val="single" w:sz="8" w:space="0" w:color="D5E1AC" w:themeColor="accent4"/>
          <w:bottom w:val="single" w:sz="8" w:space="0" w:color="D5E1AC" w:themeColor="accent4"/>
          <w:right w:val="single" w:sz="8" w:space="0" w:color="D5E1AC" w:themeColor="accent4"/>
          <w:insideV w:val="single" w:sz="8" w:space="0" w:color="D5E1AC" w:themeColor="accent4"/>
        </w:tcBorders>
      </w:tcPr>
    </w:tblStylePr>
  </w:style>
  <w:style w:type="table" w:styleId="MediumShading1-Accent2">
    <w:name w:val="Medium Shading 1 Accent 2"/>
    <w:basedOn w:val="TableNormal"/>
    <w:uiPriority w:val="63"/>
    <w:rsid w:val="00462553"/>
    <w:pPr>
      <w:spacing w:before="0" w:after="0" w:line="240" w:lineRule="auto"/>
    </w:pPr>
    <w:tblPr>
      <w:tblStyleRowBandSize w:val="1"/>
      <w:tblStyleColBandSize w:val="1"/>
      <w:tblBorders>
        <w:top w:val="single" w:sz="8" w:space="0" w:color="B6D069" w:themeColor="accent2" w:themeTint="BF"/>
        <w:left w:val="single" w:sz="8" w:space="0" w:color="B6D069" w:themeColor="accent2" w:themeTint="BF"/>
        <w:bottom w:val="single" w:sz="8" w:space="0" w:color="B6D069" w:themeColor="accent2" w:themeTint="BF"/>
        <w:right w:val="single" w:sz="8" w:space="0" w:color="B6D069" w:themeColor="accent2" w:themeTint="BF"/>
        <w:insideH w:val="single" w:sz="8" w:space="0" w:color="B6D069" w:themeColor="accent2" w:themeTint="BF"/>
      </w:tblBorders>
    </w:tblPr>
    <w:tblStylePr w:type="firstRow">
      <w:pPr>
        <w:spacing w:before="0" w:after="0" w:line="240" w:lineRule="auto"/>
      </w:pPr>
      <w:rPr>
        <w:b/>
        <w:bCs/>
        <w:color w:val="FFFFFF" w:themeColor="background1"/>
      </w:rPr>
      <w:tblPr/>
      <w:tcPr>
        <w:tcBorders>
          <w:top w:val="single" w:sz="8" w:space="0" w:color="B6D069" w:themeColor="accent2" w:themeTint="BF"/>
          <w:left w:val="single" w:sz="8" w:space="0" w:color="B6D069" w:themeColor="accent2" w:themeTint="BF"/>
          <w:bottom w:val="single" w:sz="8" w:space="0" w:color="B6D069" w:themeColor="accent2" w:themeTint="BF"/>
          <w:right w:val="single" w:sz="8" w:space="0" w:color="B6D069" w:themeColor="accent2" w:themeTint="BF"/>
          <w:insideH w:val="nil"/>
          <w:insideV w:val="nil"/>
        </w:tcBorders>
        <w:shd w:val="clear" w:color="auto" w:fill="9DBE3B" w:themeFill="accent2"/>
      </w:tcPr>
    </w:tblStylePr>
    <w:tblStylePr w:type="lastRow">
      <w:pPr>
        <w:spacing w:before="0" w:after="0" w:line="240" w:lineRule="auto"/>
      </w:pPr>
      <w:rPr>
        <w:b/>
        <w:bCs/>
      </w:rPr>
      <w:tblPr/>
      <w:tcPr>
        <w:tcBorders>
          <w:top w:val="double" w:sz="6" w:space="0" w:color="B6D069" w:themeColor="accent2" w:themeTint="BF"/>
          <w:left w:val="single" w:sz="8" w:space="0" w:color="B6D069" w:themeColor="accent2" w:themeTint="BF"/>
          <w:bottom w:val="single" w:sz="8" w:space="0" w:color="B6D069" w:themeColor="accent2" w:themeTint="BF"/>
          <w:right w:val="single" w:sz="8" w:space="0" w:color="B6D0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FCD" w:themeFill="accent2" w:themeFillTint="3F"/>
      </w:tcPr>
    </w:tblStylePr>
    <w:tblStylePr w:type="band1Horz">
      <w:tblPr/>
      <w:tcPr>
        <w:tcBorders>
          <w:insideH w:val="nil"/>
          <w:insideV w:val="nil"/>
        </w:tcBorders>
        <w:shd w:val="clear" w:color="auto" w:fill="E7EFCD" w:themeFill="accent2" w:themeFillTint="3F"/>
      </w:tcPr>
    </w:tblStylePr>
    <w:tblStylePr w:type="band2Horz">
      <w:tblPr/>
      <w:tcPr>
        <w:tcBorders>
          <w:insideH w:val="nil"/>
          <w:insideV w:val="nil"/>
        </w:tcBorders>
      </w:tcPr>
    </w:tblStylePr>
  </w:style>
  <w:style w:type="table" w:styleId="LightList">
    <w:name w:val="Light List"/>
    <w:basedOn w:val="TableNormal"/>
    <w:uiPriority w:val="61"/>
    <w:rsid w:val="00FF6082"/>
    <w:pPr>
      <w:spacing w:before="0" w:after="0" w:line="240" w:lineRule="auto"/>
    </w:pPr>
    <w:tblPr>
      <w:tblStyleRowBandSize w:val="1"/>
      <w:tblStyleColBandSize w:val="1"/>
      <w:tblBorders>
        <w:top w:val="single" w:sz="8" w:space="0" w:color="3F4042" w:themeColor="text1"/>
        <w:left w:val="single" w:sz="8" w:space="0" w:color="3F4042" w:themeColor="text1"/>
        <w:bottom w:val="single" w:sz="8" w:space="0" w:color="3F4042" w:themeColor="text1"/>
        <w:right w:val="single" w:sz="8" w:space="0" w:color="3F4042" w:themeColor="text1"/>
      </w:tblBorders>
    </w:tblPr>
    <w:tblStylePr w:type="firstRow">
      <w:pPr>
        <w:spacing w:before="0" w:after="0" w:line="240" w:lineRule="auto"/>
      </w:pPr>
      <w:rPr>
        <w:b/>
        <w:bCs/>
        <w:color w:val="FFFFFF" w:themeColor="background1"/>
      </w:rPr>
      <w:tblPr/>
      <w:tcPr>
        <w:shd w:val="clear" w:color="auto" w:fill="3F4042" w:themeFill="text1"/>
      </w:tcPr>
    </w:tblStylePr>
    <w:tblStylePr w:type="lastRow">
      <w:pPr>
        <w:spacing w:before="0" w:after="0" w:line="240" w:lineRule="auto"/>
      </w:pPr>
      <w:rPr>
        <w:b/>
        <w:bCs/>
      </w:rPr>
      <w:tblPr/>
      <w:tcPr>
        <w:tcBorders>
          <w:top w:val="double" w:sz="6" w:space="0" w:color="3F4042" w:themeColor="text1"/>
          <w:left w:val="single" w:sz="8" w:space="0" w:color="3F4042" w:themeColor="text1"/>
          <w:bottom w:val="single" w:sz="8" w:space="0" w:color="3F4042" w:themeColor="text1"/>
          <w:right w:val="single" w:sz="8" w:space="0" w:color="3F4042" w:themeColor="text1"/>
        </w:tcBorders>
      </w:tcPr>
    </w:tblStylePr>
    <w:tblStylePr w:type="firstCol">
      <w:rPr>
        <w:b/>
        <w:bCs/>
      </w:rPr>
    </w:tblStylePr>
    <w:tblStylePr w:type="lastCol">
      <w:rPr>
        <w:b/>
        <w:bCs/>
      </w:rPr>
    </w:tblStylePr>
    <w:tblStylePr w:type="band1Vert">
      <w:tblPr/>
      <w:tcPr>
        <w:tcBorders>
          <w:top w:val="single" w:sz="8" w:space="0" w:color="3F4042" w:themeColor="text1"/>
          <w:left w:val="single" w:sz="8" w:space="0" w:color="3F4042" w:themeColor="text1"/>
          <w:bottom w:val="single" w:sz="8" w:space="0" w:color="3F4042" w:themeColor="text1"/>
          <w:right w:val="single" w:sz="8" w:space="0" w:color="3F4042" w:themeColor="text1"/>
        </w:tcBorders>
      </w:tcPr>
    </w:tblStylePr>
    <w:tblStylePr w:type="band1Horz">
      <w:tblPr/>
      <w:tcPr>
        <w:tcBorders>
          <w:top w:val="single" w:sz="8" w:space="0" w:color="3F4042" w:themeColor="text1"/>
          <w:left w:val="single" w:sz="8" w:space="0" w:color="3F4042" w:themeColor="text1"/>
          <w:bottom w:val="single" w:sz="8" w:space="0" w:color="3F4042" w:themeColor="text1"/>
          <w:right w:val="single" w:sz="8" w:space="0" w:color="3F4042" w:themeColor="text1"/>
        </w:tcBorders>
      </w:tcPr>
    </w:tblStylePr>
  </w:style>
  <w:style w:type="paragraph" w:customStyle="1" w:styleId="TableBody0">
    <w:name w:val="Table Body"/>
    <w:basedOn w:val="Body"/>
    <w:rsid w:val="007C52CC"/>
    <w:pPr>
      <w:spacing w:before="80" w:after="80" w:line="22" w:lineRule="exact"/>
    </w:pPr>
    <w:rPr>
      <w:bCs/>
      <w:sz w:val="20"/>
    </w:rPr>
  </w:style>
  <w:style w:type="table" w:customStyle="1" w:styleId="ListTable2-Accent11">
    <w:name w:val="List Table 2 - Accent 11"/>
    <w:basedOn w:val="TableNormal"/>
    <w:uiPriority w:val="47"/>
    <w:rsid w:val="007A56A9"/>
    <w:pPr>
      <w:spacing w:after="0" w:line="240" w:lineRule="auto"/>
    </w:pPr>
    <w:tblPr>
      <w:tblStyleRowBandSize w:val="1"/>
      <w:tblStyleColBandSize w:val="1"/>
      <w:tblBorders>
        <w:top w:val="single" w:sz="4" w:space="0" w:color="0098F3" w:themeColor="accent1" w:themeTint="99"/>
        <w:bottom w:val="single" w:sz="4" w:space="0" w:color="0098F3" w:themeColor="accent1" w:themeTint="99"/>
        <w:insideH w:val="single" w:sz="4" w:space="0" w:color="0098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DDFF" w:themeFill="accent1" w:themeFillTint="33"/>
      </w:tcPr>
    </w:tblStylePr>
    <w:tblStylePr w:type="band1Horz">
      <w:tblPr/>
      <w:tcPr>
        <w:shd w:val="clear" w:color="auto" w:fill="A6DDFF" w:themeFill="accent1" w:themeFillTint="33"/>
      </w:tcPr>
    </w:tblStylePr>
  </w:style>
  <w:style w:type="table" w:customStyle="1" w:styleId="TableGridLight1">
    <w:name w:val="Table Grid Light1"/>
    <w:basedOn w:val="TableNormal"/>
    <w:uiPriority w:val="40"/>
    <w:rsid w:val="002410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LTable3">
    <w:name w:val="ML Table 3"/>
    <w:basedOn w:val="TableNormal"/>
    <w:uiPriority w:val="99"/>
    <w:rsid w:val="002410FD"/>
    <w:pPr>
      <w:spacing w:before="0" w:after="0" w:line="240" w:lineRule="auto"/>
    </w:pPr>
    <w:rPr>
      <w:color w:val="404142" w:themeColor="accent3" w:themeShade="80"/>
      <w:sz w:val="20"/>
    </w:rPr>
    <w:tblPr>
      <w:tblStyleRowBandSize w:val="1"/>
    </w:tblPr>
    <w:tblStylePr w:type="firstRow">
      <w:pPr>
        <w:wordWrap/>
        <w:spacing w:beforeLines="0" w:before="60" w:beforeAutospacing="0" w:afterLines="0" w:after="60" w:afterAutospacing="0" w:line="240" w:lineRule="auto"/>
      </w:pPr>
      <w:rPr>
        <w:rFonts w:ascii="Calibri" w:hAnsi="Calibri"/>
        <w:b/>
        <w:color w:val="FFFFFF" w:themeColor="background1"/>
        <w:sz w:val="20"/>
      </w:rPr>
      <w:tblPr/>
      <w:tcPr>
        <w:tcBorders>
          <w:top w:val="nil"/>
          <w:left w:val="nil"/>
          <w:bottom w:val="nil"/>
          <w:right w:val="nil"/>
          <w:insideH w:val="nil"/>
          <w:insideV w:val="single" w:sz="4" w:space="0" w:color="808285" w:themeColor="accent3"/>
          <w:tl2br w:val="nil"/>
          <w:tr2bl w:val="nil"/>
        </w:tcBorders>
        <w:shd w:val="clear" w:color="auto" w:fill="9DBE3B" w:themeFill="accent2"/>
      </w:tcPr>
    </w:tblStylePr>
    <w:tblStylePr w:type="firstCol">
      <w:rPr>
        <w:b/>
      </w:rPr>
    </w:tblStylePr>
    <w:tblStylePr w:type="band1Horz">
      <w:rPr>
        <w:rFonts w:asciiTheme="minorHAnsi" w:hAnsiTheme="minorHAnsi"/>
        <w:sz w:val="20"/>
      </w:rPr>
      <w:tblPr/>
      <w:tcPr>
        <w:tcBorders>
          <w:insideV w:val="single" w:sz="4" w:space="0" w:color="808285" w:themeColor="accent3"/>
        </w:tcBorders>
        <w:shd w:val="clear" w:color="auto" w:fill="E5E5E6" w:themeFill="accent3" w:themeFillTint="33"/>
      </w:tcPr>
    </w:tblStylePr>
    <w:tblStylePr w:type="band2Horz">
      <w:rPr>
        <w:rFonts w:asciiTheme="minorHAnsi" w:hAnsiTheme="minorHAnsi"/>
        <w:sz w:val="20"/>
      </w:rPr>
      <w:tblPr/>
      <w:trPr>
        <w:cantSplit/>
      </w:trPr>
      <w:tcPr>
        <w:tcBorders>
          <w:insideV w:val="single" w:sz="4" w:space="0" w:color="808285" w:themeColor="accent3"/>
        </w:tcBorders>
        <w:shd w:val="clear" w:color="auto" w:fill="F2F2F2" w:themeFill="background1" w:themeFillShade="F2"/>
      </w:tcPr>
    </w:tblStylePr>
  </w:style>
  <w:style w:type="table" w:customStyle="1" w:styleId="MLTable4">
    <w:name w:val="ML Table 4"/>
    <w:basedOn w:val="TableNormal"/>
    <w:uiPriority w:val="99"/>
    <w:rsid w:val="00647CDD"/>
    <w:pPr>
      <w:spacing w:before="0" w:after="0" w:line="240" w:lineRule="auto"/>
    </w:pPr>
    <w:rPr>
      <w:color w:val="404142" w:themeColor="accent3" w:themeShade="80"/>
      <w:sz w:val="20"/>
    </w:rPr>
    <w:tblPr>
      <w:tblStyleRowBandSize w:val="1"/>
      <w:tblBorders>
        <w:bottom w:val="single" w:sz="4" w:space="0" w:color="9DBE3B" w:themeColor="accent2"/>
      </w:tblBorders>
    </w:tblPr>
    <w:tblStylePr w:type="firstRow">
      <w:rPr>
        <w:rFonts w:asciiTheme="minorHAnsi" w:hAnsiTheme="minorHAnsi"/>
        <w:b/>
        <w:color w:val="FFFFFF" w:themeColor="background1"/>
        <w:sz w:val="20"/>
      </w:rPr>
      <w:tblPr/>
      <w:tcPr>
        <w:shd w:val="clear" w:color="auto" w:fill="9DBE3B" w:themeFill="accent2"/>
      </w:tcPr>
    </w:tblStylePr>
    <w:tblStylePr w:type="firstCol">
      <w:rPr>
        <w:rFonts w:asciiTheme="minorHAnsi" w:hAnsiTheme="minorHAnsi"/>
        <w:b/>
        <w:sz w:val="20"/>
      </w:rPr>
    </w:tblStylePr>
    <w:tblStylePr w:type="band1Horz">
      <w:pPr>
        <w:jc w:val="left"/>
      </w:pPr>
      <w:rPr>
        <w:rFonts w:asciiTheme="minorHAnsi" w:hAnsiTheme="minorHAnsi"/>
        <w:sz w:val="20"/>
      </w:rPr>
      <w:tblPr/>
      <w:tcPr>
        <w:shd w:val="clear" w:color="auto" w:fill="EBF2D7" w:themeFill="accent2" w:themeFillTint="33"/>
        <w:vAlign w:val="center"/>
      </w:tcPr>
    </w:tblStylePr>
    <w:tblStylePr w:type="band2Horz">
      <w:rPr>
        <w:rFonts w:asciiTheme="minorHAnsi" w:hAnsiTheme="minorHAnsi"/>
        <w:sz w:val="20"/>
      </w:rPr>
    </w:tblStylePr>
  </w:style>
  <w:style w:type="table" w:customStyle="1" w:styleId="MLTable5">
    <w:name w:val="ML Table 5"/>
    <w:basedOn w:val="TableNormal"/>
    <w:uiPriority w:val="99"/>
    <w:rsid w:val="00647CDD"/>
    <w:pPr>
      <w:spacing w:before="0" w:after="0" w:line="240" w:lineRule="auto"/>
    </w:pPr>
    <w:rPr>
      <w:color w:val="404142" w:themeColor="accent3" w:themeShade="80"/>
      <w:sz w:val="20"/>
    </w:rPr>
    <w:tblPr>
      <w:tblBorders>
        <w:top w:val="single" w:sz="4" w:space="0" w:color="808285" w:themeColor="accent3"/>
        <w:bottom w:val="single" w:sz="4" w:space="0" w:color="808285" w:themeColor="accent3"/>
        <w:insideH w:val="single" w:sz="4" w:space="0" w:color="808285" w:themeColor="accent3"/>
        <w:insideV w:val="single" w:sz="4" w:space="0" w:color="808285" w:themeColor="accent3"/>
      </w:tblBorders>
    </w:tblPr>
    <w:tblStylePr w:type="firstRow">
      <w:rPr>
        <w:rFonts w:asciiTheme="minorHAnsi" w:hAnsiTheme="minorHAnsi"/>
        <w:b/>
        <w:color w:val="FFFFFF" w:themeColor="background1"/>
        <w:sz w:val="20"/>
      </w:rPr>
      <w:tblPr/>
      <w:tcPr>
        <w:shd w:val="clear" w:color="auto" w:fill="002941" w:themeFill="accent1"/>
      </w:tcPr>
    </w:tblStylePr>
    <w:tblStylePr w:type="firstCol">
      <w:rPr>
        <w:rFonts w:asciiTheme="minorHAnsi" w:hAnsiTheme="minorHAnsi"/>
        <w:b/>
        <w:sz w:val="2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FranklinGothic-Demi"/>
        <w:color w:val="032A45"/>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lsdException w:name="Default Paragraph Font" w:uiPriority="1"/>
    <w:lsdException w:name="Subtitle" w:semiHidden="0" w:uiPriority="11" w:unhideWhenUsed="0"/>
    <w:lsdException w:name="Body Text 2" w:uiPriority="0"/>
    <w:lsdException w:name="Hyperlink" w:qFormat="1"/>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uiPriority="59"/>
    <w:lsdException w:name="Placeholder Text"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next w:val="Body"/>
    <w:rsid w:val="00F630EE"/>
    <w:pPr>
      <w:spacing w:before="160" w:after="160" w:line="259" w:lineRule="auto"/>
    </w:pPr>
    <w:rPr>
      <w:lang w:val="en-NZ"/>
    </w:rPr>
  </w:style>
  <w:style w:type="paragraph" w:styleId="Heading1">
    <w:name w:val="heading 1"/>
    <w:basedOn w:val="Head"/>
    <w:next w:val="Body"/>
    <w:link w:val="Heading1Char"/>
    <w:qFormat/>
    <w:rsid w:val="00601340"/>
    <w:pPr>
      <w:spacing w:before="360" w:after="360"/>
      <w:outlineLvl w:val="0"/>
    </w:pPr>
    <w:rPr>
      <w:rFonts w:asciiTheme="majorHAnsi" w:hAnsiTheme="majorHAnsi"/>
      <w:b/>
      <w:sz w:val="32"/>
    </w:rPr>
  </w:style>
  <w:style w:type="paragraph" w:styleId="Heading2">
    <w:name w:val="heading 2"/>
    <w:basedOn w:val="Head"/>
    <w:next w:val="Normal"/>
    <w:link w:val="Heading2Char"/>
    <w:unhideWhenUsed/>
    <w:qFormat/>
    <w:rsid w:val="0094166E"/>
    <w:pPr>
      <w:keepNext/>
      <w:widowControl/>
      <w:numPr>
        <w:ilvl w:val="1"/>
      </w:numPr>
      <w:tabs>
        <w:tab w:val="left" w:pos="851"/>
      </w:tabs>
      <w:suppressAutoHyphens w:val="0"/>
      <w:autoSpaceDE/>
      <w:autoSpaceDN/>
      <w:adjustRightInd/>
      <w:spacing w:before="240" w:after="240"/>
      <w:ind w:left="578" w:hanging="578"/>
      <w:textAlignment w:val="auto"/>
      <w:outlineLvl w:val="1"/>
    </w:pPr>
    <w:rPr>
      <w:rFonts w:asciiTheme="majorHAnsi" w:hAnsiTheme="majorHAnsi"/>
      <w:b/>
      <w:color w:val="84AC2F"/>
    </w:rPr>
  </w:style>
  <w:style w:type="paragraph" w:styleId="Heading3">
    <w:name w:val="heading 3"/>
    <w:basedOn w:val="Head"/>
    <w:next w:val="Body"/>
    <w:link w:val="Heading3Char"/>
    <w:unhideWhenUsed/>
    <w:qFormat/>
    <w:rsid w:val="00BA3735"/>
    <w:pPr>
      <w:keepNext/>
      <w:widowControl/>
      <w:numPr>
        <w:ilvl w:val="2"/>
      </w:numPr>
      <w:tabs>
        <w:tab w:val="left" w:pos="851"/>
        <w:tab w:val="left" w:pos="6860"/>
      </w:tabs>
      <w:suppressAutoHyphens w:val="0"/>
      <w:autoSpaceDE/>
      <w:autoSpaceDN/>
      <w:adjustRightInd/>
      <w:spacing w:before="200" w:after="160"/>
      <w:ind w:left="851" w:hanging="851"/>
      <w:textAlignment w:val="auto"/>
      <w:outlineLvl w:val="2"/>
    </w:pPr>
    <w:rPr>
      <w:rFonts w:asciiTheme="majorHAnsi" w:hAnsiTheme="majorHAnsi"/>
      <w:b/>
      <w:i/>
      <w:color w:val="002941" w:themeColor="accent1"/>
      <w:sz w:val="24"/>
    </w:rPr>
  </w:style>
  <w:style w:type="paragraph" w:styleId="Heading4">
    <w:name w:val="heading 4"/>
    <w:basedOn w:val="Normal"/>
    <w:next w:val="Normal"/>
    <w:link w:val="Heading4Char"/>
    <w:uiPriority w:val="9"/>
    <w:semiHidden/>
    <w:unhideWhenUsed/>
    <w:rsid w:val="00524605"/>
    <w:pPr>
      <w:keepNext/>
      <w:keepLines/>
      <w:numPr>
        <w:ilvl w:val="3"/>
        <w:numId w:val="1"/>
      </w:numPr>
      <w:spacing w:after="0"/>
      <w:outlineLvl w:val="3"/>
    </w:pPr>
    <w:rPr>
      <w:rFonts w:asciiTheme="majorHAnsi" w:eastAsiaTheme="majorEastAsia" w:hAnsiTheme="majorHAnsi" w:cstheme="majorBidi"/>
      <w:b/>
      <w:bCs/>
      <w:i/>
      <w:iCs/>
      <w:color w:val="002941" w:themeColor="accent1"/>
    </w:rPr>
  </w:style>
  <w:style w:type="paragraph" w:styleId="Heading5">
    <w:name w:val="heading 5"/>
    <w:basedOn w:val="Normal"/>
    <w:next w:val="Normal"/>
    <w:link w:val="Heading5Char"/>
    <w:uiPriority w:val="9"/>
    <w:semiHidden/>
    <w:unhideWhenUsed/>
    <w:qFormat/>
    <w:rsid w:val="00524605"/>
    <w:pPr>
      <w:keepNext/>
      <w:keepLines/>
      <w:numPr>
        <w:ilvl w:val="4"/>
        <w:numId w:val="1"/>
      </w:numPr>
      <w:spacing w:after="0"/>
      <w:outlineLvl w:val="4"/>
    </w:pPr>
    <w:rPr>
      <w:rFonts w:asciiTheme="majorHAnsi" w:eastAsiaTheme="majorEastAsia" w:hAnsiTheme="majorHAnsi" w:cstheme="majorBidi"/>
      <w:color w:val="001420" w:themeColor="accent1" w:themeShade="7F"/>
    </w:rPr>
  </w:style>
  <w:style w:type="paragraph" w:styleId="Heading6">
    <w:name w:val="heading 6"/>
    <w:basedOn w:val="Normal"/>
    <w:next w:val="Normal"/>
    <w:link w:val="Heading6Char"/>
    <w:uiPriority w:val="9"/>
    <w:semiHidden/>
    <w:unhideWhenUsed/>
    <w:qFormat/>
    <w:rsid w:val="00524605"/>
    <w:pPr>
      <w:keepNext/>
      <w:keepLines/>
      <w:numPr>
        <w:ilvl w:val="5"/>
        <w:numId w:val="1"/>
      </w:numPr>
      <w:spacing w:after="0"/>
      <w:outlineLvl w:val="5"/>
    </w:pPr>
    <w:rPr>
      <w:rFonts w:asciiTheme="majorHAnsi" w:eastAsiaTheme="majorEastAsia" w:hAnsiTheme="majorHAnsi" w:cstheme="majorBidi"/>
      <w:i/>
      <w:iCs/>
      <w:color w:val="001420" w:themeColor="accent1" w:themeShade="7F"/>
    </w:rPr>
  </w:style>
  <w:style w:type="paragraph" w:styleId="Heading7">
    <w:name w:val="heading 7"/>
    <w:basedOn w:val="Normal"/>
    <w:next w:val="Normal"/>
    <w:link w:val="Heading7Char"/>
    <w:uiPriority w:val="9"/>
    <w:semiHidden/>
    <w:unhideWhenUsed/>
    <w:qFormat/>
    <w:rsid w:val="00524605"/>
    <w:pPr>
      <w:keepNext/>
      <w:keepLines/>
      <w:numPr>
        <w:ilvl w:val="6"/>
        <w:numId w:val="1"/>
      </w:numPr>
      <w:spacing w:after="0"/>
      <w:outlineLvl w:val="6"/>
    </w:pPr>
    <w:rPr>
      <w:rFonts w:asciiTheme="majorHAnsi" w:eastAsiaTheme="majorEastAsia" w:hAnsiTheme="majorHAnsi" w:cstheme="majorBidi"/>
      <w:i/>
      <w:iCs/>
      <w:color w:val="6D6F72" w:themeColor="text1" w:themeTint="BF"/>
    </w:rPr>
  </w:style>
  <w:style w:type="paragraph" w:styleId="Heading8">
    <w:name w:val="heading 8"/>
    <w:basedOn w:val="Normal"/>
    <w:next w:val="Normal"/>
    <w:link w:val="Heading8Char"/>
    <w:uiPriority w:val="9"/>
    <w:semiHidden/>
    <w:unhideWhenUsed/>
    <w:qFormat/>
    <w:rsid w:val="00524605"/>
    <w:pPr>
      <w:keepNext/>
      <w:keepLines/>
      <w:numPr>
        <w:ilvl w:val="7"/>
        <w:numId w:val="1"/>
      </w:numPr>
      <w:spacing w:after="0"/>
      <w:outlineLvl w:val="7"/>
    </w:pPr>
    <w:rPr>
      <w:rFonts w:asciiTheme="majorHAnsi" w:eastAsiaTheme="majorEastAsia" w:hAnsiTheme="majorHAnsi" w:cstheme="majorBidi"/>
      <w:color w:val="6D6F72" w:themeColor="text1" w:themeTint="BF"/>
      <w:szCs w:val="20"/>
    </w:rPr>
  </w:style>
  <w:style w:type="paragraph" w:styleId="Heading9">
    <w:name w:val="heading 9"/>
    <w:basedOn w:val="Normal"/>
    <w:next w:val="Normal"/>
    <w:link w:val="Heading9Char"/>
    <w:uiPriority w:val="9"/>
    <w:semiHidden/>
    <w:unhideWhenUsed/>
    <w:qFormat/>
    <w:rsid w:val="00524605"/>
    <w:pPr>
      <w:keepNext/>
      <w:keepLines/>
      <w:numPr>
        <w:ilvl w:val="8"/>
        <w:numId w:val="1"/>
      </w:numPr>
      <w:spacing w:after="0"/>
      <w:outlineLvl w:val="8"/>
    </w:pPr>
    <w:rPr>
      <w:rFonts w:asciiTheme="majorHAnsi" w:eastAsiaTheme="majorEastAsia" w:hAnsiTheme="majorHAnsi" w:cstheme="majorBidi"/>
      <w:i/>
      <w:iCs/>
      <w:color w:val="6D6F72"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849A2"/>
    <w:pPr>
      <w:tabs>
        <w:tab w:val="center" w:pos="4320"/>
        <w:tab w:val="right" w:pos="8640"/>
      </w:tabs>
    </w:pPr>
  </w:style>
  <w:style w:type="character" w:customStyle="1" w:styleId="HeaderChar">
    <w:name w:val="Header Char"/>
    <w:basedOn w:val="DefaultParagraphFont"/>
    <w:link w:val="Header"/>
    <w:rsid w:val="006849A2"/>
  </w:style>
  <w:style w:type="paragraph" w:styleId="Footer">
    <w:name w:val="footer"/>
    <w:basedOn w:val="Normal"/>
    <w:link w:val="FooterChar"/>
    <w:uiPriority w:val="99"/>
    <w:unhideWhenUsed/>
    <w:rsid w:val="006849A2"/>
    <w:pPr>
      <w:tabs>
        <w:tab w:val="center" w:pos="4320"/>
        <w:tab w:val="right" w:pos="8640"/>
      </w:tabs>
    </w:pPr>
  </w:style>
  <w:style w:type="character" w:customStyle="1" w:styleId="FooterChar">
    <w:name w:val="Footer Char"/>
    <w:basedOn w:val="DefaultParagraphFont"/>
    <w:link w:val="Footer"/>
    <w:uiPriority w:val="99"/>
    <w:rsid w:val="006849A2"/>
  </w:style>
  <w:style w:type="paragraph" w:customStyle="1" w:styleId="text">
    <w:name w:val="text"/>
    <w:basedOn w:val="Normal"/>
    <w:link w:val="textChar"/>
    <w:uiPriority w:val="99"/>
    <w:rsid w:val="00361DE4"/>
    <w:pPr>
      <w:widowControl w:val="0"/>
      <w:suppressAutoHyphens/>
      <w:autoSpaceDE w:val="0"/>
      <w:autoSpaceDN w:val="0"/>
      <w:adjustRightInd w:val="0"/>
      <w:spacing w:after="113"/>
      <w:textAlignment w:val="center"/>
    </w:pPr>
    <w:rPr>
      <w:rFonts w:ascii="FranklinGothic-Book" w:hAnsi="FranklinGothic-Book" w:cs="FranklinGothic-Book"/>
      <w:color w:val="000000"/>
      <w:szCs w:val="20"/>
    </w:rPr>
  </w:style>
  <w:style w:type="paragraph" w:customStyle="1" w:styleId="Head">
    <w:name w:val="Head"/>
    <w:basedOn w:val="text"/>
    <w:link w:val="HeadChar"/>
    <w:uiPriority w:val="99"/>
    <w:rsid w:val="00361DE4"/>
    <w:pPr>
      <w:spacing w:after="227"/>
    </w:pPr>
    <w:rPr>
      <w:rFonts w:ascii="FranklinGothic-Demi" w:hAnsi="FranklinGothic-Demi" w:cs="FranklinGothic-Demi"/>
      <w:color w:val="032A45"/>
      <w:sz w:val="28"/>
      <w:szCs w:val="28"/>
    </w:rPr>
  </w:style>
  <w:style w:type="paragraph" w:customStyle="1" w:styleId="bullets">
    <w:name w:val="bullets"/>
    <w:basedOn w:val="text"/>
    <w:uiPriority w:val="99"/>
    <w:rsid w:val="00361DE4"/>
    <w:pPr>
      <w:ind w:left="360" w:hanging="360"/>
    </w:pPr>
  </w:style>
  <w:style w:type="paragraph" w:customStyle="1" w:styleId="Quote1">
    <w:name w:val="Quote1"/>
    <w:basedOn w:val="Head"/>
    <w:uiPriority w:val="99"/>
    <w:rsid w:val="00361DE4"/>
    <w:pPr>
      <w:jc w:val="center"/>
    </w:pPr>
    <w:rPr>
      <w:rFonts w:ascii="FranklinGothic-DemiItalic" w:hAnsi="FranklinGothic-DemiItalic" w:cs="FranklinGothic-DemiItalic"/>
      <w:i/>
      <w:iCs/>
      <w:color w:val="52C5D7"/>
    </w:rPr>
  </w:style>
  <w:style w:type="character" w:customStyle="1" w:styleId="bold">
    <w:name w:val="bold"/>
    <w:uiPriority w:val="99"/>
    <w:rsid w:val="006956AB"/>
    <w:rPr>
      <w:rFonts w:ascii="FranklinGothic-Demi" w:hAnsi="FranklinGothic-Demi" w:cs="FranklinGothic-Demi"/>
    </w:rPr>
  </w:style>
  <w:style w:type="paragraph" w:customStyle="1" w:styleId="Subhead">
    <w:name w:val="Subhead"/>
    <w:basedOn w:val="Body"/>
    <w:rsid w:val="00341073"/>
    <w:rPr>
      <w:b/>
      <w:sz w:val="28"/>
    </w:rPr>
  </w:style>
  <w:style w:type="paragraph" w:customStyle="1" w:styleId="Smalltext">
    <w:name w:val="Small text"/>
    <w:basedOn w:val="text"/>
    <w:uiPriority w:val="99"/>
    <w:rsid w:val="00D16206"/>
    <w:rPr>
      <w:sz w:val="16"/>
      <w:szCs w:val="16"/>
    </w:rPr>
  </w:style>
  <w:style w:type="character" w:customStyle="1" w:styleId="Heading1Char">
    <w:name w:val="Heading 1 Char"/>
    <w:basedOn w:val="DefaultParagraphFont"/>
    <w:link w:val="Heading1"/>
    <w:rsid w:val="00601340"/>
    <w:rPr>
      <w:rFonts w:asciiTheme="majorHAnsi" w:hAnsiTheme="majorHAnsi"/>
      <w:b/>
      <w:sz w:val="32"/>
      <w:szCs w:val="28"/>
      <w:lang w:val="en-NZ"/>
    </w:rPr>
  </w:style>
  <w:style w:type="character" w:customStyle="1" w:styleId="Heading2Char">
    <w:name w:val="Heading 2 Char"/>
    <w:basedOn w:val="DefaultParagraphFont"/>
    <w:link w:val="Heading2"/>
    <w:rsid w:val="0094166E"/>
    <w:rPr>
      <w:rFonts w:asciiTheme="majorHAnsi" w:hAnsiTheme="majorHAnsi"/>
      <w:b/>
      <w:color w:val="84AC2F"/>
      <w:sz w:val="28"/>
      <w:szCs w:val="28"/>
      <w:lang w:val="en-NZ"/>
    </w:rPr>
  </w:style>
  <w:style w:type="paragraph" w:customStyle="1" w:styleId="Body">
    <w:name w:val="Body"/>
    <w:basedOn w:val="Head"/>
    <w:link w:val="BodyChar"/>
    <w:qFormat/>
    <w:rsid w:val="00601340"/>
    <w:pPr>
      <w:spacing w:after="160"/>
    </w:pPr>
    <w:rPr>
      <w:rFonts w:asciiTheme="minorHAnsi" w:hAnsiTheme="minorHAnsi"/>
      <w:color w:val="404142" w:themeColor="accent3" w:themeShade="80"/>
      <w:sz w:val="22"/>
    </w:rPr>
  </w:style>
  <w:style w:type="paragraph" w:styleId="TOC2">
    <w:name w:val="toc 2"/>
    <w:basedOn w:val="Normal"/>
    <w:next w:val="Normal"/>
    <w:autoRedefine/>
    <w:uiPriority w:val="39"/>
    <w:unhideWhenUsed/>
    <w:rsid w:val="008D7D76"/>
    <w:pPr>
      <w:tabs>
        <w:tab w:val="right" w:pos="9825"/>
      </w:tabs>
      <w:spacing w:before="40" w:after="40"/>
      <w:ind w:left="198"/>
    </w:pPr>
    <w:rPr>
      <w:color w:val="515255" w:themeColor="text1" w:themeTint="E6"/>
    </w:rPr>
  </w:style>
  <w:style w:type="paragraph" w:styleId="TOC1">
    <w:name w:val="toc 1"/>
    <w:basedOn w:val="Normal"/>
    <w:next w:val="Normal"/>
    <w:autoRedefine/>
    <w:uiPriority w:val="39"/>
    <w:unhideWhenUsed/>
    <w:rsid w:val="00316A3D"/>
    <w:pPr>
      <w:tabs>
        <w:tab w:val="left" w:pos="993"/>
        <w:tab w:val="right" w:pos="9825"/>
      </w:tabs>
      <w:spacing w:before="80" w:after="60"/>
    </w:pPr>
    <w:rPr>
      <w:noProof/>
      <w:color w:val="515255" w:themeColor="text1" w:themeTint="E6"/>
    </w:rPr>
  </w:style>
  <w:style w:type="character" w:styleId="Hyperlink">
    <w:name w:val="Hyperlink"/>
    <w:basedOn w:val="DefaultParagraphFont"/>
    <w:uiPriority w:val="99"/>
    <w:unhideWhenUsed/>
    <w:qFormat/>
    <w:rsid w:val="004A320E"/>
    <w:rPr>
      <w:rFonts w:ascii="Calibri" w:hAnsi="Calibri"/>
      <w:i/>
      <w:color w:val="0066A4"/>
      <w:sz w:val="22"/>
      <w:u w:val="single"/>
    </w:rPr>
  </w:style>
  <w:style w:type="paragraph" w:styleId="BalloonText">
    <w:name w:val="Balloon Text"/>
    <w:basedOn w:val="Normal"/>
    <w:link w:val="BalloonTextChar"/>
    <w:unhideWhenUsed/>
    <w:rsid w:val="00052D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52D3F"/>
    <w:rPr>
      <w:rFonts w:ascii="Tahoma" w:hAnsi="Tahoma" w:cs="Tahoma"/>
      <w:sz w:val="16"/>
      <w:szCs w:val="16"/>
    </w:rPr>
  </w:style>
  <w:style w:type="character" w:customStyle="1" w:styleId="Heading3Char">
    <w:name w:val="Heading 3 Char"/>
    <w:basedOn w:val="DefaultParagraphFont"/>
    <w:link w:val="Heading3"/>
    <w:rsid w:val="00BA3735"/>
    <w:rPr>
      <w:rFonts w:asciiTheme="majorHAnsi" w:hAnsiTheme="majorHAnsi"/>
      <w:b/>
      <w:i/>
      <w:color w:val="002941" w:themeColor="accent1"/>
      <w:sz w:val="24"/>
      <w:szCs w:val="28"/>
      <w:lang w:val="en-NZ"/>
    </w:rPr>
  </w:style>
  <w:style w:type="paragraph" w:styleId="TOC3">
    <w:name w:val="toc 3"/>
    <w:basedOn w:val="Normal"/>
    <w:next w:val="Normal"/>
    <w:autoRedefine/>
    <w:uiPriority w:val="39"/>
    <w:unhideWhenUsed/>
    <w:rsid w:val="00F630EE"/>
    <w:pPr>
      <w:spacing w:after="60"/>
      <w:ind w:left="403"/>
    </w:pPr>
  </w:style>
  <w:style w:type="table" w:styleId="TableGrid">
    <w:name w:val="Table Grid"/>
    <w:basedOn w:val="TableNormal"/>
    <w:uiPriority w:val="59"/>
    <w:rsid w:val="004C4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24605"/>
    <w:rPr>
      <w:rFonts w:asciiTheme="majorHAnsi" w:eastAsiaTheme="majorEastAsia" w:hAnsiTheme="majorHAnsi" w:cstheme="majorBidi"/>
      <w:b/>
      <w:bCs/>
      <w:i/>
      <w:iCs/>
      <w:color w:val="002941" w:themeColor="accent1"/>
      <w:lang w:val="en-NZ"/>
    </w:rPr>
  </w:style>
  <w:style w:type="character" w:customStyle="1" w:styleId="Heading5Char">
    <w:name w:val="Heading 5 Char"/>
    <w:basedOn w:val="DefaultParagraphFont"/>
    <w:link w:val="Heading5"/>
    <w:uiPriority w:val="9"/>
    <w:semiHidden/>
    <w:rsid w:val="00524605"/>
    <w:rPr>
      <w:rFonts w:asciiTheme="majorHAnsi" w:eastAsiaTheme="majorEastAsia" w:hAnsiTheme="majorHAnsi" w:cstheme="majorBidi"/>
      <w:color w:val="001420" w:themeColor="accent1" w:themeShade="7F"/>
      <w:lang w:val="en-NZ"/>
    </w:rPr>
  </w:style>
  <w:style w:type="character" w:customStyle="1" w:styleId="Heading6Char">
    <w:name w:val="Heading 6 Char"/>
    <w:basedOn w:val="DefaultParagraphFont"/>
    <w:link w:val="Heading6"/>
    <w:uiPriority w:val="9"/>
    <w:semiHidden/>
    <w:rsid w:val="00524605"/>
    <w:rPr>
      <w:rFonts w:asciiTheme="majorHAnsi" w:eastAsiaTheme="majorEastAsia" w:hAnsiTheme="majorHAnsi" w:cstheme="majorBidi"/>
      <w:i/>
      <w:iCs/>
      <w:color w:val="001420" w:themeColor="accent1" w:themeShade="7F"/>
      <w:lang w:val="en-NZ"/>
    </w:rPr>
  </w:style>
  <w:style w:type="character" w:customStyle="1" w:styleId="Heading7Char">
    <w:name w:val="Heading 7 Char"/>
    <w:basedOn w:val="DefaultParagraphFont"/>
    <w:link w:val="Heading7"/>
    <w:uiPriority w:val="9"/>
    <w:semiHidden/>
    <w:rsid w:val="00524605"/>
    <w:rPr>
      <w:rFonts w:asciiTheme="majorHAnsi" w:eastAsiaTheme="majorEastAsia" w:hAnsiTheme="majorHAnsi" w:cstheme="majorBidi"/>
      <w:i/>
      <w:iCs/>
      <w:color w:val="6D6F72" w:themeColor="text1" w:themeTint="BF"/>
      <w:lang w:val="en-NZ"/>
    </w:rPr>
  </w:style>
  <w:style w:type="character" w:customStyle="1" w:styleId="Heading8Char">
    <w:name w:val="Heading 8 Char"/>
    <w:basedOn w:val="DefaultParagraphFont"/>
    <w:link w:val="Heading8"/>
    <w:uiPriority w:val="9"/>
    <w:semiHidden/>
    <w:rsid w:val="00524605"/>
    <w:rPr>
      <w:rFonts w:asciiTheme="majorHAnsi" w:eastAsiaTheme="majorEastAsia" w:hAnsiTheme="majorHAnsi" w:cstheme="majorBidi"/>
      <w:color w:val="6D6F72" w:themeColor="text1" w:themeTint="BF"/>
      <w:szCs w:val="20"/>
      <w:lang w:val="en-NZ"/>
    </w:rPr>
  </w:style>
  <w:style w:type="character" w:customStyle="1" w:styleId="Heading9Char">
    <w:name w:val="Heading 9 Char"/>
    <w:basedOn w:val="DefaultParagraphFont"/>
    <w:link w:val="Heading9"/>
    <w:uiPriority w:val="9"/>
    <w:semiHidden/>
    <w:rsid w:val="00524605"/>
    <w:rPr>
      <w:rFonts w:asciiTheme="majorHAnsi" w:eastAsiaTheme="majorEastAsia" w:hAnsiTheme="majorHAnsi" w:cstheme="majorBidi"/>
      <w:i/>
      <w:iCs/>
      <w:color w:val="6D6F72" w:themeColor="text1" w:themeTint="BF"/>
      <w:szCs w:val="20"/>
      <w:lang w:val="en-NZ"/>
    </w:rPr>
  </w:style>
  <w:style w:type="character" w:styleId="CommentReference">
    <w:name w:val="annotation reference"/>
    <w:basedOn w:val="DefaultParagraphFont"/>
    <w:unhideWhenUsed/>
    <w:rsid w:val="00FC119B"/>
    <w:rPr>
      <w:sz w:val="16"/>
      <w:szCs w:val="16"/>
    </w:rPr>
  </w:style>
  <w:style w:type="paragraph" w:styleId="CommentText">
    <w:name w:val="annotation text"/>
    <w:basedOn w:val="Normal"/>
    <w:link w:val="CommentTextChar"/>
    <w:unhideWhenUsed/>
    <w:rsid w:val="00FC119B"/>
    <w:pPr>
      <w:spacing w:line="240" w:lineRule="auto"/>
    </w:pPr>
    <w:rPr>
      <w:szCs w:val="20"/>
    </w:rPr>
  </w:style>
  <w:style w:type="character" w:customStyle="1" w:styleId="CommentTextChar">
    <w:name w:val="Comment Text Char"/>
    <w:basedOn w:val="DefaultParagraphFont"/>
    <w:link w:val="CommentText"/>
    <w:rsid w:val="00FC119B"/>
    <w:rPr>
      <w:szCs w:val="20"/>
      <w:lang w:val="en-NZ"/>
    </w:rPr>
  </w:style>
  <w:style w:type="paragraph" w:styleId="CommentSubject">
    <w:name w:val="annotation subject"/>
    <w:basedOn w:val="CommentText"/>
    <w:next w:val="CommentText"/>
    <w:link w:val="CommentSubjectChar"/>
    <w:unhideWhenUsed/>
    <w:rsid w:val="00FC119B"/>
    <w:rPr>
      <w:b/>
      <w:bCs/>
    </w:rPr>
  </w:style>
  <w:style w:type="character" w:customStyle="1" w:styleId="CommentSubjectChar">
    <w:name w:val="Comment Subject Char"/>
    <w:basedOn w:val="CommentTextChar"/>
    <w:link w:val="CommentSubject"/>
    <w:rsid w:val="00FC119B"/>
    <w:rPr>
      <w:b/>
      <w:bCs/>
      <w:szCs w:val="20"/>
      <w:lang w:val="en-NZ"/>
    </w:rPr>
  </w:style>
  <w:style w:type="paragraph" w:styleId="TOCHeading">
    <w:name w:val="TOC Heading"/>
    <w:basedOn w:val="Heading1"/>
    <w:next w:val="Normal"/>
    <w:uiPriority w:val="39"/>
    <w:unhideWhenUsed/>
    <w:rsid w:val="00341073"/>
    <w:pPr>
      <w:keepNext/>
      <w:keepLines/>
      <w:widowControl/>
      <w:suppressAutoHyphens w:val="0"/>
      <w:autoSpaceDE/>
      <w:autoSpaceDN/>
      <w:adjustRightInd/>
      <w:spacing w:before="480" w:after="0"/>
      <w:textAlignment w:val="auto"/>
      <w:outlineLvl w:val="9"/>
    </w:pPr>
    <w:rPr>
      <w:rFonts w:eastAsiaTheme="majorEastAsia" w:cstheme="majorBidi"/>
      <w:bCs/>
      <w:color w:val="001E30" w:themeColor="accent1" w:themeShade="BF"/>
      <w:sz w:val="28"/>
      <w:lang w:eastAsia="ja-JP"/>
    </w:rPr>
  </w:style>
  <w:style w:type="paragraph" w:customStyle="1" w:styleId="bodycopy">
    <w:name w:val="body copy"/>
    <w:basedOn w:val="Normal"/>
    <w:rsid w:val="00915106"/>
    <w:pPr>
      <w:spacing w:after="0" w:line="240" w:lineRule="auto"/>
    </w:pPr>
    <w:rPr>
      <w:rFonts w:ascii="Arial" w:eastAsia="Times New Roman" w:hAnsi="Arial" w:cs="Times New Roman"/>
      <w:color w:val="auto"/>
      <w:szCs w:val="24"/>
      <w:lang w:val="en-AU"/>
    </w:rPr>
  </w:style>
  <w:style w:type="paragraph" w:styleId="BodyText2">
    <w:name w:val="Body Text 2"/>
    <w:basedOn w:val="Normal"/>
    <w:link w:val="BodyText2Char"/>
    <w:rsid w:val="00915106"/>
    <w:pPr>
      <w:spacing w:after="0" w:line="240" w:lineRule="auto"/>
      <w:jc w:val="both"/>
    </w:pPr>
    <w:rPr>
      <w:rFonts w:ascii="Arial" w:eastAsia="Times New Roman" w:hAnsi="Arial" w:cs="Times New Roman"/>
      <w:color w:val="auto"/>
      <w:szCs w:val="24"/>
      <w:lang w:val="en-AU"/>
    </w:rPr>
  </w:style>
  <w:style w:type="character" w:customStyle="1" w:styleId="BodyText2Char">
    <w:name w:val="Body Text 2 Char"/>
    <w:basedOn w:val="DefaultParagraphFont"/>
    <w:link w:val="BodyText2"/>
    <w:rsid w:val="00915106"/>
    <w:rPr>
      <w:rFonts w:ascii="Arial" w:eastAsia="Times New Roman" w:hAnsi="Arial" w:cs="Times New Roman"/>
      <w:color w:val="auto"/>
      <w:sz w:val="22"/>
      <w:szCs w:val="24"/>
      <w:lang w:val="en-AU"/>
    </w:rPr>
  </w:style>
  <w:style w:type="paragraph" w:customStyle="1" w:styleId="Style1">
    <w:name w:val="Style1"/>
    <w:basedOn w:val="Heading1"/>
    <w:rsid w:val="00915106"/>
    <w:pPr>
      <w:keepNext/>
      <w:widowControl/>
      <w:tabs>
        <w:tab w:val="num" w:pos="0"/>
        <w:tab w:val="left" w:pos="709"/>
      </w:tabs>
      <w:suppressAutoHyphens w:val="0"/>
      <w:autoSpaceDE/>
      <w:autoSpaceDN/>
      <w:adjustRightInd/>
      <w:spacing w:line="240" w:lineRule="auto"/>
      <w:textAlignment w:val="auto"/>
    </w:pPr>
    <w:rPr>
      <w:rFonts w:ascii="Arial" w:eastAsia="Times New Roman" w:hAnsi="Arial" w:cs="Arial"/>
      <w:b w:val="0"/>
      <w:bCs/>
      <w:caps/>
      <w:color w:val="000080"/>
      <w:kern w:val="32"/>
      <w:sz w:val="24"/>
      <w:szCs w:val="32"/>
    </w:rPr>
  </w:style>
  <w:style w:type="paragraph" w:customStyle="1" w:styleId="StyleJustified">
    <w:name w:val="Style Justified"/>
    <w:basedOn w:val="Normal"/>
    <w:rsid w:val="00915106"/>
    <w:pPr>
      <w:spacing w:after="0" w:line="240" w:lineRule="auto"/>
      <w:jc w:val="both"/>
    </w:pPr>
    <w:rPr>
      <w:rFonts w:ascii="Arial" w:eastAsia="Times New Roman" w:hAnsi="Arial" w:cs="Times New Roman"/>
      <w:color w:val="auto"/>
      <w:szCs w:val="24"/>
      <w:lang w:val="en-AU"/>
    </w:rPr>
  </w:style>
  <w:style w:type="paragraph" w:styleId="TOC4">
    <w:name w:val="toc 4"/>
    <w:basedOn w:val="Normal"/>
    <w:next w:val="Normal"/>
    <w:autoRedefine/>
    <w:semiHidden/>
    <w:rsid w:val="00915106"/>
    <w:pPr>
      <w:spacing w:after="0" w:line="240" w:lineRule="auto"/>
      <w:ind w:left="480"/>
    </w:pPr>
    <w:rPr>
      <w:rFonts w:ascii="Times New Roman" w:eastAsia="Times New Roman" w:hAnsi="Times New Roman" w:cs="Times New Roman"/>
      <w:color w:val="auto"/>
      <w:szCs w:val="24"/>
      <w:lang w:val="en-AU"/>
    </w:rPr>
  </w:style>
  <w:style w:type="paragraph" w:styleId="TOC5">
    <w:name w:val="toc 5"/>
    <w:basedOn w:val="Normal"/>
    <w:next w:val="Normal"/>
    <w:autoRedefine/>
    <w:semiHidden/>
    <w:rsid w:val="00915106"/>
    <w:pPr>
      <w:spacing w:after="0" w:line="240" w:lineRule="auto"/>
      <w:ind w:left="720"/>
    </w:pPr>
    <w:rPr>
      <w:rFonts w:ascii="Times New Roman" w:eastAsia="Times New Roman" w:hAnsi="Times New Roman" w:cs="Times New Roman"/>
      <w:color w:val="auto"/>
      <w:szCs w:val="24"/>
      <w:lang w:val="en-AU"/>
    </w:rPr>
  </w:style>
  <w:style w:type="paragraph" w:styleId="TOC6">
    <w:name w:val="toc 6"/>
    <w:basedOn w:val="Normal"/>
    <w:next w:val="Normal"/>
    <w:autoRedefine/>
    <w:semiHidden/>
    <w:rsid w:val="00915106"/>
    <w:pPr>
      <w:spacing w:after="0" w:line="240" w:lineRule="auto"/>
      <w:ind w:left="960"/>
    </w:pPr>
    <w:rPr>
      <w:rFonts w:ascii="Times New Roman" w:eastAsia="Times New Roman" w:hAnsi="Times New Roman" w:cs="Times New Roman"/>
      <w:color w:val="auto"/>
      <w:szCs w:val="24"/>
      <w:lang w:val="en-AU"/>
    </w:rPr>
  </w:style>
  <w:style w:type="paragraph" w:styleId="TOC7">
    <w:name w:val="toc 7"/>
    <w:basedOn w:val="Normal"/>
    <w:next w:val="Normal"/>
    <w:autoRedefine/>
    <w:semiHidden/>
    <w:rsid w:val="00915106"/>
    <w:pPr>
      <w:spacing w:after="0" w:line="240" w:lineRule="auto"/>
      <w:ind w:left="1200"/>
    </w:pPr>
    <w:rPr>
      <w:rFonts w:ascii="Times New Roman" w:eastAsia="Times New Roman" w:hAnsi="Times New Roman" w:cs="Times New Roman"/>
      <w:color w:val="auto"/>
      <w:szCs w:val="24"/>
      <w:lang w:val="en-AU"/>
    </w:rPr>
  </w:style>
  <w:style w:type="paragraph" w:styleId="TOC8">
    <w:name w:val="toc 8"/>
    <w:basedOn w:val="Normal"/>
    <w:next w:val="Normal"/>
    <w:autoRedefine/>
    <w:semiHidden/>
    <w:rsid w:val="00915106"/>
    <w:pPr>
      <w:spacing w:after="0" w:line="240" w:lineRule="auto"/>
      <w:ind w:left="1440"/>
    </w:pPr>
    <w:rPr>
      <w:rFonts w:ascii="Times New Roman" w:eastAsia="Times New Roman" w:hAnsi="Times New Roman" w:cs="Times New Roman"/>
      <w:color w:val="auto"/>
      <w:szCs w:val="24"/>
      <w:lang w:val="en-AU"/>
    </w:rPr>
  </w:style>
  <w:style w:type="paragraph" w:styleId="TOC9">
    <w:name w:val="toc 9"/>
    <w:basedOn w:val="Normal"/>
    <w:next w:val="Normal"/>
    <w:autoRedefine/>
    <w:semiHidden/>
    <w:rsid w:val="00915106"/>
    <w:pPr>
      <w:spacing w:after="0" w:line="240" w:lineRule="auto"/>
      <w:ind w:left="1680"/>
    </w:pPr>
    <w:rPr>
      <w:rFonts w:ascii="Times New Roman" w:eastAsia="Times New Roman" w:hAnsi="Times New Roman" w:cs="Times New Roman"/>
      <w:color w:val="auto"/>
      <w:szCs w:val="24"/>
      <w:lang w:val="en-AU"/>
    </w:rPr>
  </w:style>
  <w:style w:type="character" w:styleId="PageNumber">
    <w:name w:val="page number"/>
    <w:basedOn w:val="DefaultParagraphFont"/>
    <w:rsid w:val="00915106"/>
  </w:style>
  <w:style w:type="paragraph" w:customStyle="1" w:styleId="Bulletedlist1">
    <w:name w:val="Bulleted list 1"/>
    <w:basedOn w:val="Normal"/>
    <w:rsid w:val="00915106"/>
    <w:pPr>
      <w:tabs>
        <w:tab w:val="num" w:pos="710"/>
        <w:tab w:val="left" w:pos="1276"/>
      </w:tabs>
      <w:spacing w:after="0" w:line="240" w:lineRule="auto"/>
      <w:ind w:left="710" w:hanging="360"/>
      <w:jc w:val="both"/>
    </w:pPr>
    <w:rPr>
      <w:rFonts w:ascii="Arial" w:eastAsia="Times New Roman" w:hAnsi="Arial" w:cs="Arial"/>
      <w:color w:val="auto"/>
      <w:sz w:val="24"/>
      <w:szCs w:val="24"/>
      <w:lang w:val="en-AU"/>
    </w:rPr>
  </w:style>
  <w:style w:type="paragraph" w:customStyle="1" w:styleId="StyleHeading2Justified">
    <w:name w:val="Style Heading 2 + Justified"/>
    <w:basedOn w:val="Heading2"/>
    <w:rsid w:val="00915106"/>
    <w:pPr>
      <w:tabs>
        <w:tab w:val="num" w:pos="0"/>
        <w:tab w:val="left" w:pos="709"/>
      </w:tabs>
      <w:spacing w:line="240" w:lineRule="auto"/>
      <w:jc w:val="both"/>
    </w:pPr>
    <w:rPr>
      <w:rFonts w:ascii="Arial Bold" w:eastAsia="Times New Roman" w:hAnsi="Arial Bold" w:cs="Times New Roman"/>
      <w:bCs/>
      <w:color w:val="000080"/>
      <w:sz w:val="22"/>
      <w:szCs w:val="20"/>
    </w:rPr>
  </w:style>
  <w:style w:type="paragraph" w:customStyle="1" w:styleId="Default">
    <w:name w:val="Default"/>
    <w:rsid w:val="00915106"/>
    <w:pPr>
      <w:widowControl w:val="0"/>
      <w:autoSpaceDE w:val="0"/>
      <w:autoSpaceDN w:val="0"/>
      <w:adjustRightInd w:val="0"/>
      <w:spacing w:after="0" w:line="240" w:lineRule="auto"/>
    </w:pPr>
    <w:rPr>
      <w:rFonts w:ascii="Futura Light" w:eastAsia="Times New Roman" w:hAnsi="Futura Light" w:cs="Futura Light"/>
      <w:color w:val="000000"/>
      <w:sz w:val="24"/>
      <w:szCs w:val="24"/>
      <w:lang w:val="en-GB" w:eastAsia="en-GB"/>
    </w:rPr>
  </w:style>
  <w:style w:type="paragraph" w:styleId="ListParagraph">
    <w:name w:val="List Paragraph"/>
    <w:basedOn w:val="Normal"/>
    <w:uiPriority w:val="34"/>
    <w:qFormat/>
    <w:rsid w:val="004A372C"/>
    <w:pPr>
      <w:numPr>
        <w:numId w:val="2"/>
      </w:numPr>
      <w:spacing w:after="0"/>
      <w:ind w:hanging="720"/>
    </w:pPr>
    <w:rPr>
      <w:rFonts w:eastAsia="Times New Roman" w:cs="Times New Roman"/>
      <w:color w:val="404142" w:themeColor="accent3" w:themeShade="80"/>
      <w:lang w:val="en-AU"/>
    </w:rPr>
  </w:style>
  <w:style w:type="character" w:styleId="FootnoteReference">
    <w:name w:val="footnote reference"/>
    <w:basedOn w:val="DefaultParagraphFont"/>
    <w:uiPriority w:val="99"/>
    <w:rsid w:val="00915106"/>
    <w:rPr>
      <w:vertAlign w:val="superscript"/>
    </w:rPr>
  </w:style>
  <w:style w:type="paragraph" w:styleId="NormalWeb">
    <w:name w:val="Normal (Web)"/>
    <w:basedOn w:val="Normal"/>
    <w:uiPriority w:val="99"/>
    <w:unhideWhenUsed/>
    <w:rsid w:val="00915106"/>
    <w:pPr>
      <w:spacing w:after="135" w:line="240" w:lineRule="auto"/>
    </w:pPr>
    <w:rPr>
      <w:rFonts w:ascii="Times New Roman" w:eastAsia="Times New Roman" w:hAnsi="Times New Roman" w:cs="Times New Roman"/>
      <w:color w:val="5F6062"/>
      <w:sz w:val="21"/>
      <w:szCs w:val="21"/>
      <w:lang w:eastAsia="en-NZ"/>
    </w:rPr>
  </w:style>
  <w:style w:type="paragraph" w:styleId="Caption">
    <w:name w:val="caption"/>
    <w:basedOn w:val="Body"/>
    <w:next w:val="Normal"/>
    <w:uiPriority w:val="35"/>
    <w:unhideWhenUsed/>
    <w:qFormat/>
    <w:rsid w:val="001567EB"/>
    <w:pPr>
      <w:ind w:left="1134" w:hanging="1134"/>
    </w:pPr>
    <w:rPr>
      <w:b/>
    </w:rPr>
  </w:style>
  <w:style w:type="table" w:customStyle="1" w:styleId="ListTable4-Accent11">
    <w:name w:val="List Table 4 - Accent 11"/>
    <w:basedOn w:val="TableNormal"/>
    <w:uiPriority w:val="49"/>
    <w:rsid w:val="0045729B"/>
    <w:pPr>
      <w:spacing w:after="0" w:line="240" w:lineRule="auto"/>
    </w:pPr>
    <w:tblPr>
      <w:tblStyleRowBandSize w:val="1"/>
      <w:tblStyleColBandSize w:val="1"/>
      <w:tblBorders>
        <w:top w:val="single" w:sz="4" w:space="0" w:color="0098F3" w:themeColor="accent1" w:themeTint="99"/>
        <w:left w:val="single" w:sz="4" w:space="0" w:color="0098F3" w:themeColor="accent1" w:themeTint="99"/>
        <w:bottom w:val="single" w:sz="4" w:space="0" w:color="0098F3" w:themeColor="accent1" w:themeTint="99"/>
        <w:right w:val="single" w:sz="4" w:space="0" w:color="0098F3" w:themeColor="accent1" w:themeTint="99"/>
        <w:insideH w:val="single" w:sz="4" w:space="0" w:color="0098F3" w:themeColor="accent1" w:themeTint="99"/>
      </w:tblBorders>
    </w:tblPr>
    <w:tblStylePr w:type="firstRow">
      <w:rPr>
        <w:b/>
        <w:bCs/>
        <w:color w:val="FFFFFF" w:themeColor="background1"/>
      </w:rPr>
      <w:tblPr/>
      <w:tcPr>
        <w:tcBorders>
          <w:top w:val="single" w:sz="4" w:space="0" w:color="002941" w:themeColor="accent1"/>
          <w:left w:val="single" w:sz="4" w:space="0" w:color="002941" w:themeColor="accent1"/>
          <w:bottom w:val="single" w:sz="4" w:space="0" w:color="002941" w:themeColor="accent1"/>
          <w:right w:val="single" w:sz="4" w:space="0" w:color="002941" w:themeColor="accent1"/>
          <w:insideH w:val="nil"/>
        </w:tcBorders>
        <w:shd w:val="clear" w:color="auto" w:fill="002941" w:themeFill="accent1"/>
      </w:tcPr>
    </w:tblStylePr>
    <w:tblStylePr w:type="lastRow">
      <w:rPr>
        <w:b/>
        <w:bCs/>
      </w:rPr>
      <w:tblPr/>
      <w:tcPr>
        <w:tcBorders>
          <w:top w:val="double" w:sz="4" w:space="0" w:color="0098F3" w:themeColor="accent1" w:themeTint="99"/>
        </w:tcBorders>
      </w:tcPr>
    </w:tblStylePr>
    <w:tblStylePr w:type="firstCol">
      <w:rPr>
        <w:b/>
        <w:bCs/>
      </w:rPr>
    </w:tblStylePr>
    <w:tblStylePr w:type="lastCol">
      <w:rPr>
        <w:b/>
        <w:bCs/>
      </w:rPr>
    </w:tblStylePr>
    <w:tblStylePr w:type="band1Vert">
      <w:tblPr/>
      <w:tcPr>
        <w:shd w:val="clear" w:color="auto" w:fill="A6DDFF" w:themeFill="accent1" w:themeFillTint="33"/>
      </w:tcPr>
    </w:tblStylePr>
    <w:tblStylePr w:type="band1Horz">
      <w:tblPr/>
      <w:tcPr>
        <w:shd w:val="clear" w:color="auto" w:fill="A6DDFF" w:themeFill="accent1" w:themeFillTint="33"/>
      </w:tcPr>
    </w:tblStylePr>
  </w:style>
  <w:style w:type="paragraph" w:styleId="NoSpacing">
    <w:name w:val="No Spacing"/>
    <w:uiPriority w:val="1"/>
    <w:rsid w:val="00915106"/>
    <w:pPr>
      <w:spacing w:after="0" w:line="240" w:lineRule="auto"/>
    </w:pPr>
    <w:rPr>
      <w:rFonts w:asciiTheme="minorHAnsi" w:hAnsiTheme="minorHAnsi" w:cstheme="minorBidi"/>
      <w:color w:val="auto"/>
      <w:lang w:val="en-AU"/>
    </w:rPr>
  </w:style>
  <w:style w:type="paragraph" w:styleId="FootnoteText">
    <w:name w:val="footnote text"/>
    <w:basedOn w:val="Normal"/>
    <w:link w:val="FootnoteTextChar"/>
    <w:uiPriority w:val="99"/>
    <w:unhideWhenUsed/>
    <w:qFormat/>
    <w:rsid w:val="0094166E"/>
    <w:pPr>
      <w:spacing w:before="0" w:after="0" w:line="240" w:lineRule="auto"/>
    </w:pPr>
    <w:rPr>
      <w:rFonts w:asciiTheme="minorHAnsi" w:hAnsiTheme="minorHAnsi" w:cstheme="minorBidi"/>
      <w:color w:val="404142" w:themeColor="accent3" w:themeShade="80"/>
      <w:sz w:val="18"/>
      <w:szCs w:val="24"/>
    </w:rPr>
  </w:style>
  <w:style w:type="character" w:customStyle="1" w:styleId="FootnoteTextChar">
    <w:name w:val="Footnote Text Char"/>
    <w:basedOn w:val="DefaultParagraphFont"/>
    <w:link w:val="FootnoteText"/>
    <w:uiPriority w:val="99"/>
    <w:rsid w:val="0094166E"/>
    <w:rPr>
      <w:rFonts w:asciiTheme="minorHAnsi" w:hAnsiTheme="minorHAnsi" w:cstheme="minorBidi"/>
      <w:color w:val="404142" w:themeColor="accent3" w:themeShade="80"/>
      <w:sz w:val="18"/>
      <w:szCs w:val="24"/>
      <w:lang w:val="en-NZ"/>
    </w:rPr>
  </w:style>
  <w:style w:type="table" w:styleId="MediumShading1-Accent1">
    <w:name w:val="Medium Shading 1 Accent 1"/>
    <w:basedOn w:val="TableNormal"/>
    <w:uiPriority w:val="63"/>
    <w:rsid w:val="00915106"/>
    <w:pPr>
      <w:spacing w:after="0" w:line="240" w:lineRule="auto"/>
    </w:pPr>
    <w:rPr>
      <w:rFonts w:asciiTheme="minorHAnsi" w:hAnsiTheme="minorHAnsi" w:cstheme="minorBidi"/>
      <w:color w:val="auto"/>
      <w:lang w:val="en-NZ"/>
    </w:rPr>
    <w:tblPr>
      <w:tblStyleRowBandSize w:val="1"/>
      <w:tblStyleColBandSize w:val="1"/>
      <w:tblBorders>
        <w:top w:val="single" w:sz="8" w:space="0" w:color="006EB0" w:themeColor="accent1" w:themeTint="BF"/>
        <w:left w:val="single" w:sz="8" w:space="0" w:color="006EB0" w:themeColor="accent1" w:themeTint="BF"/>
        <w:bottom w:val="single" w:sz="8" w:space="0" w:color="006EB0" w:themeColor="accent1" w:themeTint="BF"/>
        <w:right w:val="single" w:sz="8" w:space="0" w:color="006EB0" w:themeColor="accent1" w:themeTint="BF"/>
        <w:insideH w:val="single" w:sz="8" w:space="0" w:color="006EB0" w:themeColor="accent1" w:themeTint="BF"/>
      </w:tblBorders>
    </w:tblPr>
    <w:tblStylePr w:type="firstRow">
      <w:pPr>
        <w:spacing w:before="0" w:after="0" w:line="240" w:lineRule="auto"/>
      </w:pPr>
      <w:rPr>
        <w:b/>
        <w:bCs/>
        <w:color w:val="FFFFFF" w:themeColor="background1"/>
      </w:rPr>
      <w:tblPr/>
      <w:tcPr>
        <w:tcBorders>
          <w:top w:val="single" w:sz="8" w:space="0" w:color="006EB0" w:themeColor="accent1" w:themeTint="BF"/>
          <w:left w:val="single" w:sz="8" w:space="0" w:color="006EB0" w:themeColor="accent1" w:themeTint="BF"/>
          <w:bottom w:val="single" w:sz="8" w:space="0" w:color="006EB0" w:themeColor="accent1" w:themeTint="BF"/>
          <w:right w:val="single" w:sz="8" w:space="0" w:color="006EB0" w:themeColor="accent1" w:themeTint="BF"/>
          <w:insideH w:val="nil"/>
          <w:insideV w:val="nil"/>
        </w:tcBorders>
        <w:shd w:val="clear" w:color="auto" w:fill="002941" w:themeFill="accent1"/>
      </w:tcPr>
    </w:tblStylePr>
    <w:tblStylePr w:type="lastRow">
      <w:pPr>
        <w:spacing w:before="0" w:after="0" w:line="240" w:lineRule="auto"/>
      </w:pPr>
      <w:rPr>
        <w:b/>
        <w:bCs/>
      </w:rPr>
      <w:tblPr/>
      <w:tcPr>
        <w:tcBorders>
          <w:top w:val="double" w:sz="6" w:space="0" w:color="006EB0" w:themeColor="accent1" w:themeTint="BF"/>
          <w:left w:val="single" w:sz="8" w:space="0" w:color="006EB0" w:themeColor="accent1" w:themeTint="BF"/>
          <w:bottom w:val="single" w:sz="8" w:space="0" w:color="006EB0" w:themeColor="accent1" w:themeTint="BF"/>
          <w:right w:val="single" w:sz="8" w:space="0" w:color="006EB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1D6FF" w:themeFill="accent1" w:themeFillTint="3F"/>
      </w:tcPr>
    </w:tblStylePr>
    <w:tblStylePr w:type="band1Horz">
      <w:tblPr/>
      <w:tcPr>
        <w:tcBorders>
          <w:insideH w:val="nil"/>
          <w:insideV w:val="nil"/>
        </w:tcBorders>
        <w:shd w:val="clear" w:color="auto" w:fill="91D6FF" w:themeFill="accent1"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915106"/>
    <w:pPr>
      <w:spacing w:after="0" w:line="240" w:lineRule="auto"/>
    </w:pPr>
    <w:rPr>
      <w:rFonts w:ascii="Times New Roman" w:eastAsia="Times New Roman" w:hAnsi="Times New Roman" w:cs="Times New Roman"/>
      <w:color w:val="auto"/>
      <w:sz w:val="24"/>
      <w:szCs w:val="24"/>
      <w:lang w:val="en-NZ" w:eastAsia="en-NZ"/>
    </w:r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insideH w:val="single" w:sz="8" w:space="0" w:color="808285" w:themeColor="accent3"/>
        <w:insideV w:val="single" w:sz="8" w:space="0" w:color="80828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285" w:themeColor="accent3"/>
          <w:left w:val="single" w:sz="8" w:space="0" w:color="808285" w:themeColor="accent3"/>
          <w:bottom w:val="single" w:sz="18" w:space="0" w:color="808285" w:themeColor="accent3"/>
          <w:right w:val="single" w:sz="8" w:space="0" w:color="808285" w:themeColor="accent3"/>
          <w:insideH w:val="nil"/>
          <w:insideV w:val="single" w:sz="8" w:space="0" w:color="80828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insideH w:val="nil"/>
          <w:insideV w:val="single" w:sz="8" w:space="0" w:color="80828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shd w:val="clear" w:color="auto" w:fill="DFE0E0" w:themeFill="accent3" w:themeFillTint="3F"/>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V w:val="single" w:sz="8" w:space="0" w:color="808285" w:themeColor="accent3"/>
        </w:tcBorders>
        <w:shd w:val="clear" w:color="auto" w:fill="DFE0E0" w:themeFill="accent3" w:themeFillTint="3F"/>
      </w:tcPr>
    </w:tblStylePr>
    <w:tblStylePr w:type="band2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insideV w:val="single" w:sz="8" w:space="0" w:color="808285" w:themeColor="accent3"/>
        </w:tcBorders>
      </w:tcPr>
    </w:tblStylePr>
  </w:style>
  <w:style w:type="character" w:styleId="Emphasis">
    <w:name w:val="Emphasis"/>
    <w:basedOn w:val="DefaultParagraphFont"/>
    <w:uiPriority w:val="20"/>
    <w:rsid w:val="00915106"/>
    <w:rPr>
      <w:i/>
      <w:iCs/>
    </w:rPr>
  </w:style>
  <w:style w:type="paragraph" w:styleId="TableofFigures">
    <w:name w:val="table of figures"/>
    <w:basedOn w:val="Normal"/>
    <w:next w:val="Normal"/>
    <w:uiPriority w:val="99"/>
    <w:rsid w:val="002D79BB"/>
    <w:pPr>
      <w:spacing w:before="40" w:after="40" w:line="240" w:lineRule="auto"/>
    </w:pPr>
    <w:rPr>
      <w:rFonts w:eastAsia="Times New Roman" w:cs="Times New Roman"/>
      <w:color w:val="515255" w:themeColor="text1" w:themeTint="E6"/>
      <w:szCs w:val="24"/>
      <w:lang w:val="en-AU"/>
    </w:rPr>
  </w:style>
  <w:style w:type="character" w:styleId="Strong">
    <w:name w:val="Strong"/>
    <w:basedOn w:val="DefaultParagraphFont"/>
    <w:uiPriority w:val="22"/>
    <w:rsid w:val="00915106"/>
    <w:rPr>
      <w:b/>
      <w:bCs/>
    </w:rPr>
  </w:style>
  <w:style w:type="paragraph" w:styleId="DocumentMap">
    <w:name w:val="Document Map"/>
    <w:basedOn w:val="Normal"/>
    <w:link w:val="DocumentMapChar"/>
    <w:rsid w:val="00915106"/>
    <w:pPr>
      <w:spacing w:after="0" w:line="240" w:lineRule="auto"/>
    </w:pPr>
    <w:rPr>
      <w:rFonts w:ascii="Lucida Grande" w:eastAsia="Times New Roman" w:hAnsi="Lucida Grande" w:cs="Lucida Grande"/>
      <w:color w:val="auto"/>
      <w:sz w:val="24"/>
      <w:szCs w:val="24"/>
      <w:lang w:val="en-AU"/>
    </w:rPr>
  </w:style>
  <w:style w:type="character" w:customStyle="1" w:styleId="DocumentMapChar">
    <w:name w:val="Document Map Char"/>
    <w:basedOn w:val="DefaultParagraphFont"/>
    <w:link w:val="DocumentMap"/>
    <w:rsid w:val="00915106"/>
    <w:rPr>
      <w:rFonts w:ascii="Lucida Grande" w:eastAsia="Times New Roman" w:hAnsi="Lucida Grande" w:cs="Lucida Grande"/>
      <w:color w:val="auto"/>
      <w:sz w:val="24"/>
      <w:szCs w:val="24"/>
      <w:lang w:val="en-AU"/>
    </w:rPr>
  </w:style>
  <w:style w:type="paragraph" w:styleId="Revision">
    <w:name w:val="Revision"/>
    <w:hidden/>
    <w:uiPriority w:val="99"/>
    <w:semiHidden/>
    <w:rsid w:val="00915106"/>
    <w:pPr>
      <w:spacing w:after="0" w:line="240" w:lineRule="auto"/>
    </w:pPr>
    <w:rPr>
      <w:rFonts w:ascii="Arial" w:eastAsia="Times New Roman" w:hAnsi="Arial" w:cs="Times New Roman"/>
      <w:color w:val="auto"/>
      <w:sz w:val="24"/>
      <w:szCs w:val="24"/>
      <w:lang w:val="en-AU"/>
    </w:rPr>
  </w:style>
  <w:style w:type="character" w:customStyle="1" w:styleId="apple-converted-space">
    <w:name w:val="apple-converted-space"/>
    <w:basedOn w:val="DefaultParagraphFont"/>
    <w:rsid w:val="00915106"/>
  </w:style>
  <w:style w:type="character" w:customStyle="1" w:styleId="A4">
    <w:name w:val="A4"/>
    <w:uiPriority w:val="99"/>
    <w:rsid w:val="00915106"/>
    <w:rPr>
      <w:color w:val="000000"/>
      <w:sz w:val="20"/>
      <w:szCs w:val="20"/>
    </w:rPr>
  </w:style>
  <w:style w:type="character" w:customStyle="1" w:styleId="A7">
    <w:name w:val="A7"/>
    <w:uiPriority w:val="99"/>
    <w:rsid w:val="00915106"/>
    <w:rPr>
      <w:color w:val="000000"/>
      <w:sz w:val="36"/>
      <w:szCs w:val="36"/>
    </w:rPr>
  </w:style>
  <w:style w:type="paragraph" w:customStyle="1" w:styleId="insideregtxt">
    <w:name w:val="insideregtxt"/>
    <w:basedOn w:val="Normal"/>
    <w:rsid w:val="00915106"/>
    <w:pPr>
      <w:spacing w:before="100" w:beforeAutospacing="1" w:after="100" w:afterAutospacing="1" w:line="240" w:lineRule="auto"/>
      <w:textAlignment w:val="top"/>
    </w:pPr>
    <w:rPr>
      <w:rFonts w:ascii="Arial" w:eastAsia="Times New Roman" w:hAnsi="Arial" w:cs="Arial"/>
      <w:color w:val="000000"/>
      <w:sz w:val="18"/>
      <w:szCs w:val="18"/>
      <w:lang w:eastAsia="en-NZ"/>
    </w:rPr>
  </w:style>
  <w:style w:type="paragraph" w:styleId="EndnoteText">
    <w:name w:val="endnote text"/>
    <w:basedOn w:val="Normal"/>
    <w:link w:val="EndnoteTextChar"/>
    <w:rsid w:val="00915106"/>
    <w:pPr>
      <w:spacing w:after="0" w:line="240" w:lineRule="auto"/>
    </w:pPr>
    <w:rPr>
      <w:rFonts w:ascii="Arial" w:eastAsia="Times New Roman" w:hAnsi="Arial" w:cs="Times New Roman"/>
      <w:color w:val="auto"/>
      <w:szCs w:val="20"/>
      <w:lang w:val="en-AU"/>
    </w:rPr>
  </w:style>
  <w:style w:type="character" w:customStyle="1" w:styleId="EndnoteTextChar">
    <w:name w:val="Endnote Text Char"/>
    <w:basedOn w:val="DefaultParagraphFont"/>
    <w:link w:val="EndnoteText"/>
    <w:rsid w:val="00915106"/>
    <w:rPr>
      <w:rFonts w:ascii="Arial" w:eastAsia="Times New Roman" w:hAnsi="Arial" w:cs="Times New Roman"/>
      <w:color w:val="auto"/>
      <w:szCs w:val="20"/>
      <w:lang w:val="en-AU"/>
    </w:rPr>
  </w:style>
  <w:style w:type="character" w:styleId="EndnoteReference">
    <w:name w:val="endnote reference"/>
    <w:basedOn w:val="DefaultParagraphFont"/>
    <w:rsid w:val="00915106"/>
    <w:rPr>
      <w:vertAlign w:val="superscript"/>
    </w:rPr>
  </w:style>
  <w:style w:type="paragraph" w:customStyle="1" w:styleId="BodyText1">
    <w:name w:val="Body Text1"/>
    <w:basedOn w:val="Normal"/>
    <w:link w:val="BodytextChar"/>
    <w:rsid w:val="00915106"/>
    <w:pPr>
      <w:spacing w:before="240" w:after="240" w:line="240" w:lineRule="auto"/>
    </w:pPr>
    <w:rPr>
      <w:rFonts w:ascii="Times New Roman" w:hAnsi="Times New Roman" w:cs="Times New Roman"/>
      <w:color w:val="auto"/>
    </w:rPr>
  </w:style>
  <w:style w:type="character" w:customStyle="1" w:styleId="BodytextChar">
    <w:name w:val="Body text Char"/>
    <w:basedOn w:val="DefaultParagraphFont"/>
    <w:link w:val="BodyText1"/>
    <w:rsid w:val="00915106"/>
    <w:rPr>
      <w:rFonts w:ascii="Times New Roman" w:hAnsi="Times New Roman" w:cs="Times New Roman"/>
      <w:color w:val="auto"/>
      <w:sz w:val="22"/>
      <w:szCs w:val="22"/>
      <w:lang w:val="en-NZ"/>
    </w:rPr>
  </w:style>
  <w:style w:type="character" w:styleId="SubtleEmphasis">
    <w:name w:val="Subtle Emphasis"/>
    <w:basedOn w:val="DefaultParagraphFont"/>
    <w:uiPriority w:val="19"/>
    <w:rsid w:val="00B2390E"/>
    <w:rPr>
      <w:i/>
      <w:iCs/>
      <w:color w:val="9D9FA2" w:themeColor="text1" w:themeTint="7F"/>
    </w:rPr>
  </w:style>
  <w:style w:type="paragraph" w:customStyle="1" w:styleId="Pa0">
    <w:name w:val="Pa0"/>
    <w:basedOn w:val="Default"/>
    <w:next w:val="Default"/>
    <w:uiPriority w:val="99"/>
    <w:rsid w:val="000B70C0"/>
    <w:pPr>
      <w:widowControl/>
      <w:spacing w:line="241" w:lineRule="atLeast"/>
    </w:pPr>
    <w:rPr>
      <w:rFonts w:ascii="Avenir 35 Light" w:eastAsiaTheme="minorHAnsi" w:hAnsi="Avenir 35 Light" w:cs="Times New Roman"/>
      <w:color w:val="032A45"/>
      <w:lang w:val="en-NZ" w:eastAsia="en-US"/>
    </w:rPr>
  </w:style>
  <w:style w:type="character" w:customStyle="1" w:styleId="A6">
    <w:name w:val="A6"/>
    <w:uiPriority w:val="99"/>
    <w:rsid w:val="000B70C0"/>
    <w:rPr>
      <w:rFonts w:cs="Avenir 35 Light"/>
      <w:color w:val="000000"/>
      <w:sz w:val="16"/>
      <w:szCs w:val="16"/>
    </w:rPr>
  </w:style>
  <w:style w:type="paragraph" w:styleId="Subtitle">
    <w:name w:val="Subtitle"/>
    <w:basedOn w:val="Normal"/>
    <w:next w:val="Normal"/>
    <w:link w:val="SubtitleChar"/>
    <w:uiPriority w:val="11"/>
    <w:rsid w:val="00EC1F7E"/>
    <w:rPr>
      <w:rFonts w:asciiTheme="majorHAnsi" w:hAnsiTheme="majorHAnsi"/>
      <w:b/>
      <w:color w:val="002941"/>
      <w:sz w:val="32"/>
    </w:rPr>
  </w:style>
  <w:style w:type="character" w:customStyle="1" w:styleId="SubtitleChar">
    <w:name w:val="Subtitle Char"/>
    <w:basedOn w:val="DefaultParagraphFont"/>
    <w:link w:val="Subtitle"/>
    <w:uiPriority w:val="11"/>
    <w:rsid w:val="00EC1F7E"/>
    <w:rPr>
      <w:rFonts w:asciiTheme="majorHAnsi" w:hAnsiTheme="majorHAnsi"/>
      <w:b/>
      <w:color w:val="002941"/>
      <w:sz w:val="32"/>
    </w:rPr>
  </w:style>
  <w:style w:type="paragraph" w:customStyle="1" w:styleId="Chart">
    <w:name w:val="Chart"/>
    <w:basedOn w:val="Body"/>
    <w:link w:val="ChartChar"/>
    <w:rsid w:val="004A320E"/>
    <w:pPr>
      <w:spacing w:before="40" w:after="40"/>
      <w:jc w:val="center"/>
    </w:pPr>
    <w:rPr>
      <w:b/>
      <w:sz w:val="20"/>
      <w:szCs w:val="20"/>
    </w:rPr>
  </w:style>
  <w:style w:type="paragraph" w:customStyle="1" w:styleId="InsideMainStory">
    <w:name w:val="Inside Main Story"/>
    <w:basedOn w:val="Normal"/>
    <w:rsid w:val="00D46528"/>
    <w:pPr>
      <w:spacing w:line="360" w:lineRule="auto"/>
    </w:pPr>
    <w:rPr>
      <w:rFonts w:eastAsia="Times New Roman" w:cs="Times New Roman"/>
      <w:color w:val="006699"/>
      <w:kern w:val="28"/>
      <w:sz w:val="17"/>
      <w:szCs w:val="17"/>
      <w:lang w:eastAsia="en-NZ"/>
      <w14:ligatures w14:val="standard"/>
      <w14:cntxtAlts/>
    </w:rPr>
  </w:style>
  <w:style w:type="character" w:customStyle="1" w:styleId="textChar">
    <w:name w:val="text Char"/>
    <w:basedOn w:val="DefaultParagraphFont"/>
    <w:link w:val="text"/>
    <w:uiPriority w:val="99"/>
    <w:rsid w:val="0056004F"/>
    <w:rPr>
      <w:rFonts w:ascii="FranklinGothic-Book" w:hAnsi="FranklinGothic-Book" w:cs="FranklinGothic-Book"/>
      <w:color w:val="000000"/>
      <w:szCs w:val="20"/>
      <w:lang w:val="en-NZ"/>
    </w:rPr>
  </w:style>
  <w:style w:type="character" w:customStyle="1" w:styleId="HeadChar">
    <w:name w:val="Head Char"/>
    <w:basedOn w:val="textChar"/>
    <w:link w:val="Head"/>
    <w:uiPriority w:val="99"/>
    <w:rsid w:val="0056004F"/>
    <w:rPr>
      <w:rFonts w:ascii="FranklinGothic-Demi" w:hAnsi="FranklinGothic-Demi" w:cs="FranklinGothic-Book"/>
      <w:color w:val="000000"/>
      <w:sz w:val="28"/>
      <w:szCs w:val="20"/>
      <w:lang w:val="en-NZ"/>
    </w:rPr>
  </w:style>
  <w:style w:type="character" w:customStyle="1" w:styleId="BodyChar">
    <w:name w:val="Body Char"/>
    <w:basedOn w:val="HeadChar"/>
    <w:link w:val="Body"/>
    <w:rsid w:val="00601340"/>
    <w:rPr>
      <w:rFonts w:asciiTheme="minorHAnsi" w:hAnsiTheme="minorHAnsi" w:cs="FranklinGothic-Book"/>
      <w:color w:val="404142" w:themeColor="accent3" w:themeShade="80"/>
      <w:sz w:val="28"/>
      <w:szCs w:val="28"/>
      <w:lang w:val="en-NZ"/>
    </w:rPr>
  </w:style>
  <w:style w:type="character" w:customStyle="1" w:styleId="ChartChar">
    <w:name w:val="Chart Char"/>
    <w:basedOn w:val="BodyChar"/>
    <w:link w:val="Chart"/>
    <w:rsid w:val="004A320E"/>
    <w:rPr>
      <w:rFonts w:asciiTheme="minorHAnsi" w:hAnsiTheme="minorHAnsi" w:cs="FranklinGothic-Book"/>
      <w:b/>
      <w:color w:val="515255" w:themeColor="text1" w:themeTint="E6"/>
      <w:sz w:val="20"/>
      <w:szCs w:val="20"/>
      <w:lang w:val="en-NZ"/>
    </w:rPr>
  </w:style>
  <w:style w:type="paragraph" w:customStyle="1" w:styleId="Tablebody">
    <w:name w:val="Table body"/>
    <w:basedOn w:val="Body"/>
    <w:link w:val="TablebodyChar"/>
    <w:qFormat/>
    <w:rsid w:val="00462D6C"/>
    <w:pPr>
      <w:spacing w:before="40" w:after="40"/>
      <w:textAlignment w:val="bottom"/>
    </w:pPr>
    <w:rPr>
      <w:rFonts w:cs="Arial"/>
      <w:sz w:val="20"/>
      <w:szCs w:val="20"/>
      <w:lang w:eastAsia="en-NZ"/>
    </w:rPr>
  </w:style>
  <w:style w:type="table" w:customStyle="1" w:styleId="TableML">
    <w:name w:val="Table ML"/>
    <w:basedOn w:val="TableNormal"/>
    <w:uiPriority w:val="99"/>
    <w:rsid w:val="00647CDD"/>
    <w:pPr>
      <w:spacing w:before="40" w:after="40" w:line="240" w:lineRule="auto"/>
    </w:pPr>
    <w:rPr>
      <w:color w:val="404142" w:themeColor="accent3" w:themeShade="8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vAlign w:val="center"/>
    </w:tcPr>
    <w:tblStylePr w:type="firstRow">
      <w:pPr>
        <w:jc w:val="left"/>
      </w:pPr>
      <w:rPr>
        <w:rFonts w:ascii="Calibri" w:hAnsi="Calibri"/>
        <w:b/>
        <w:color w:val="FFFFFF" w:themeColor="background1"/>
        <w:sz w:val="20"/>
      </w:rPr>
      <w:tblPr/>
      <w:tcPr>
        <w:tcBorders>
          <w:bottom w:val="single" w:sz="24" w:space="0" w:color="9DBE3B" w:themeColor="accent2"/>
        </w:tcBorders>
        <w:shd w:val="clear" w:color="auto" w:fill="002941" w:themeFill="text2"/>
      </w:tcPr>
    </w:tblStylePr>
    <w:tblStylePr w:type="firstCol">
      <w:pPr>
        <w:jc w:val="left"/>
      </w:pPr>
      <w:rPr>
        <w:b/>
        <w:color w:val="404142" w:themeColor="accent3" w:themeShade="80"/>
      </w:rPr>
    </w:tblStylePr>
    <w:tblStylePr w:type="band1Horz">
      <w:rPr>
        <w:rFonts w:asciiTheme="minorHAnsi" w:hAnsiTheme="minorHAnsi"/>
        <w:sz w:val="20"/>
      </w:rPr>
      <w:tblPr/>
      <w:tcPr>
        <w:shd w:val="clear" w:color="auto" w:fill="F2F2F2" w:themeFill="background1" w:themeFillShade="F2"/>
      </w:tcPr>
    </w:tblStylePr>
    <w:tblStylePr w:type="band2Horz">
      <w:rPr>
        <w:rFonts w:asciiTheme="minorHAnsi" w:hAnsiTheme="minorHAnsi"/>
        <w:sz w:val="20"/>
      </w:rPr>
      <w:tblPr/>
      <w:tcPr>
        <w:shd w:val="clear" w:color="auto" w:fill="F2F2F2" w:themeFill="background1" w:themeFillShade="F2"/>
      </w:tcPr>
    </w:tblStylePr>
  </w:style>
  <w:style w:type="character" w:customStyle="1" w:styleId="TablebodyChar">
    <w:name w:val="Table body Char"/>
    <w:basedOn w:val="DefaultParagraphFont"/>
    <w:link w:val="Tablebody"/>
    <w:rsid w:val="00462D6C"/>
    <w:rPr>
      <w:rFonts w:asciiTheme="minorHAnsi" w:hAnsiTheme="minorHAnsi" w:cs="Arial"/>
      <w:color w:val="404142" w:themeColor="accent3" w:themeShade="80"/>
      <w:sz w:val="20"/>
      <w:szCs w:val="20"/>
      <w:lang w:val="en-NZ" w:eastAsia="en-NZ"/>
    </w:rPr>
  </w:style>
  <w:style w:type="character" w:customStyle="1" w:styleId="st1">
    <w:name w:val="st1"/>
    <w:basedOn w:val="DefaultParagraphFont"/>
    <w:rsid w:val="003F0FC8"/>
  </w:style>
  <w:style w:type="paragraph" w:customStyle="1" w:styleId="BlockLine">
    <w:name w:val="Block Line"/>
    <w:basedOn w:val="Normal"/>
    <w:next w:val="Normal"/>
    <w:rsid w:val="003F0FC8"/>
    <w:pPr>
      <w:pBdr>
        <w:top w:val="single" w:sz="6" w:space="1" w:color="auto"/>
        <w:between w:val="single" w:sz="6" w:space="1" w:color="auto"/>
      </w:pBdr>
      <w:spacing w:before="240" w:after="0" w:line="240" w:lineRule="auto"/>
      <w:ind w:left="1700"/>
    </w:pPr>
    <w:rPr>
      <w:rFonts w:ascii="Arial" w:eastAsia="Times New Roman" w:hAnsi="Arial" w:cs="Arial"/>
      <w:snapToGrid w:val="0"/>
      <w:color w:val="auto"/>
    </w:rPr>
  </w:style>
  <w:style w:type="paragraph" w:styleId="BodyText">
    <w:name w:val="Body Text"/>
    <w:basedOn w:val="Normal"/>
    <w:link w:val="BodyTextChar0"/>
    <w:uiPriority w:val="99"/>
    <w:semiHidden/>
    <w:unhideWhenUsed/>
    <w:rsid w:val="00D4164E"/>
    <w:pPr>
      <w:spacing w:after="120"/>
    </w:pPr>
  </w:style>
  <w:style w:type="character" w:customStyle="1" w:styleId="BodyTextChar0">
    <w:name w:val="Body Text Char"/>
    <w:basedOn w:val="DefaultParagraphFont"/>
    <w:link w:val="BodyText"/>
    <w:uiPriority w:val="99"/>
    <w:semiHidden/>
    <w:rsid w:val="00D4164E"/>
    <w:rPr>
      <w:lang w:val="en-NZ"/>
    </w:rPr>
  </w:style>
  <w:style w:type="paragraph" w:customStyle="1" w:styleId="bullet">
    <w:name w:val="bullet"/>
    <w:basedOn w:val="Normal"/>
    <w:rsid w:val="00D4164E"/>
    <w:pPr>
      <w:overflowPunct w:val="0"/>
      <w:autoSpaceDE w:val="0"/>
      <w:autoSpaceDN w:val="0"/>
      <w:adjustRightInd w:val="0"/>
      <w:spacing w:before="10" w:after="10" w:line="240" w:lineRule="auto"/>
      <w:ind w:left="851" w:hanging="284"/>
      <w:jc w:val="both"/>
      <w:textAlignment w:val="baseline"/>
    </w:pPr>
    <w:rPr>
      <w:rFonts w:ascii="Times New Roman" w:eastAsia="Times New Roman" w:hAnsi="Times New Roman" w:cs="Times New Roman"/>
      <w:color w:val="auto"/>
      <w:szCs w:val="20"/>
      <w:lang w:val="en-AU"/>
    </w:rPr>
  </w:style>
  <w:style w:type="paragraph" w:customStyle="1" w:styleId="Bulletpoint">
    <w:name w:val="Bullet point"/>
    <w:basedOn w:val="Body"/>
    <w:link w:val="BulletpointChar"/>
    <w:qFormat/>
    <w:rsid w:val="009D38AF"/>
    <w:pPr>
      <w:numPr>
        <w:numId w:val="5"/>
      </w:numPr>
      <w:spacing w:before="80" w:after="80"/>
      <w:ind w:left="1276"/>
    </w:pPr>
  </w:style>
  <w:style w:type="paragraph" w:customStyle="1" w:styleId="Bulletpoint2">
    <w:name w:val="Bullet point 2"/>
    <w:basedOn w:val="Bulletpoint"/>
    <w:link w:val="Bulletpoint2Char"/>
    <w:qFormat/>
    <w:rsid w:val="007332B4"/>
    <w:pPr>
      <w:numPr>
        <w:numId w:val="3"/>
      </w:numPr>
    </w:pPr>
  </w:style>
  <w:style w:type="character" w:customStyle="1" w:styleId="BulletpointChar">
    <w:name w:val="Bullet point Char"/>
    <w:basedOn w:val="BodyChar"/>
    <w:link w:val="Bulletpoint"/>
    <w:rsid w:val="009D38AF"/>
    <w:rPr>
      <w:rFonts w:asciiTheme="minorHAnsi" w:hAnsiTheme="minorHAnsi" w:cs="FranklinGothic-Book"/>
      <w:color w:val="404142" w:themeColor="accent3" w:themeShade="80"/>
      <w:sz w:val="28"/>
      <w:szCs w:val="28"/>
      <w:lang w:val="en-NZ"/>
    </w:rPr>
  </w:style>
  <w:style w:type="paragraph" w:customStyle="1" w:styleId="FootnoteText1">
    <w:name w:val="Footnote Text1"/>
    <w:basedOn w:val="FootnoteText"/>
    <w:link w:val="FootnotetextChar0"/>
    <w:rsid w:val="000A42EB"/>
  </w:style>
  <w:style w:type="character" w:customStyle="1" w:styleId="Bulletpoint2Char">
    <w:name w:val="Bullet point 2 Char"/>
    <w:basedOn w:val="BulletpointChar"/>
    <w:link w:val="Bulletpoint2"/>
    <w:rsid w:val="007332B4"/>
    <w:rPr>
      <w:rFonts w:asciiTheme="minorHAnsi" w:hAnsiTheme="minorHAnsi" w:cs="FranklinGothic-Book"/>
      <w:color w:val="404142" w:themeColor="accent3" w:themeShade="80"/>
      <w:sz w:val="28"/>
      <w:szCs w:val="28"/>
      <w:lang w:val="en-NZ"/>
    </w:rPr>
  </w:style>
  <w:style w:type="character" w:customStyle="1" w:styleId="FootnotetextChar0">
    <w:name w:val="Footnote text Char"/>
    <w:basedOn w:val="FootnoteTextChar"/>
    <w:link w:val="FootnoteText1"/>
    <w:rsid w:val="000A42EB"/>
    <w:rPr>
      <w:rFonts w:asciiTheme="minorHAnsi" w:hAnsiTheme="minorHAnsi" w:cstheme="minorBidi"/>
      <w:color w:val="auto"/>
      <w:sz w:val="18"/>
      <w:szCs w:val="24"/>
      <w:lang w:val="en-NZ"/>
    </w:rPr>
  </w:style>
  <w:style w:type="paragraph" w:customStyle="1" w:styleId="Footnote">
    <w:name w:val="Footnote"/>
    <w:basedOn w:val="FootnoteText"/>
    <w:link w:val="FootnoteChar"/>
    <w:autoRedefine/>
    <w:rsid w:val="00001EB5"/>
    <w:rPr>
      <w:lang w:val="en-AU"/>
    </w:rPr>
  </w:style>
  <w:style w:type="character" w:customStyle="1" w:styleId="FootnoteChar">
    <w:name w:val="Footnote Char"/>
    <w:basedOn w:val="FootnoteTextChar"/>
    <w:link w:val="Footnote"/>
    <w:rsid w:val="00001EB5"/>
    <w:rPr>
      <w:rFonts w:asciiTheme="minorHAnsi" w:hAnsiTheme="minorHAnsi" w:cstheme="minorBidi"/>
      <w:color w:val="auto"/>
      <w:sz w:val="18"/>
      <w:szCs w:val="24"/>
      <w:lang w:val="en-AU"/>
    </w:rPr>
  </w:style>
  <w:style w:type="table" w:styleId="DarkList-Accent6">
    <w:name w:val="Dark List Accent 6"/>
    <w:basedOn w:val="TableNormal"/>
    <w:uiPriority w:val="70"/>
    <w:rsid w:val="00551A35"/>
    <w:pPr>
      <w:spacing w:before="0" w:after="0" w:line="240" w:lineRule="auto"/>
    </w:pPr>
    <w:rPr>
      <w:color w:val="FFFFFF" w:themeColor="background1"/>
    </w:rPr>
    <w:tblPr>
      <w:tblStyleRowBandSize w:val="1"/>
      <w:tblStyleColBandSize w:val="1"/>
    </w:tblPr>
    <w:tcPr>
      <w:shd w:val="clear" w:color="auto" w:fill="F8EDB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F4042" w:themeFill="text1"/>
      </w:tcPr>
    </w:tblStylePr>
    <w:tblStylePr w:type="lastRow">
      <w:tblPr/>
      <w:tcPr>
        <w:tcBorders>
          <w:top w:val="single" w:sz="18" w:space="0" w:color="FFFFFF" w:themeColor="background1"/>
          <w:left w:val="nil"/>
          <w:bottom w:val="nil"/>
          <w:right w:val="nil"/>
          <w:insideH w:val="nil"/>
          <w:insideV w:val="nil"/>
        </w:tcBorders>
        <w:shd w:val="clear" w:color="auto" w:fill="C3A41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D35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D354" w:themeFill="accent6" w:themeFillShade="BF"/>
      </w:tcPr>
    </w:tblStylePr>
    <w:tblStylePr w:type="band1Vert">
      <w:tblPr/>
      <w:tcPr>
        <w:tcBorders>
          <w:top w:val="nil"/>
          <w:left w:val="nil"/>
          <w:bottom w:val="nil"/>
          <w:right w:val="nil"/>
          <w:insideH w:val="nil"/>
          <w:insideV w:val="nil"/>
        </w:tcBorders>
        <w:shd w:val="clear" w:color="auto" w:fill="EED354" w:themeFill="accent6" w:themeFillShade="BF"/>
      </w:tcPr>
    </w:tblStylePr>
    <w:tblStylePr w:type="band1Horz">
      <w:tblPr/>
      <w:tcPr>
        <w:tcBorders>
          <w:top w:val="nil"/>
          <w:left w:val="nil"/>
          <w:bottom w:val="nil"/>
          <w:right w:val="nil"/>
          <w:insideH w:val="nil"/>
          <w:insideV w:val="nil"/>
        </w:tcBorders>
        <w:shd w:val="clear" w:color="auto" w:fill="EED354" w:themeFill="accent6" w:themeFillShade="BF"/>
      </w:tcPr>
    </w:tblStylePr>
  </w:style>
  <w:style w:type="paragraph" w:customStyle="1" w:styleId="TableHeader">
    <w:name w:val="Table Header"/>
    <w:basedOn w:val="Body"/>
    <w:qFormat/>
    <w:rsid w:val="007C52CC"/>
    <w:pPr>
      <w:spacing w:before="120" w:after="120" w:line="240" w:lineRule="auto"/>
    </w:pPr>
    <w:rPr>
      <w:b/>
      <w:color w:val="FFFFFF" w:themeColor="background1"/>
      <w:sz w:val="20"/>
    </w:rPr>
  </w:style>
  <w:style w:type="table" w:styleId="LightList-Accent2">
    <w:name w:val="Light List Accent 2"/>
    <w:aliases w:val="Table ML 2"/>
    <w:basedOn w:val="TableNormal"/>
    <w:uiPriority w:val="61"/>
    <w:rsid w:val="000249F6"/>
    <w:pPr>
      <w:spacing w:before="0" w:after="0" w:line="240" w:lineRule="auto"/>
    </w:pPr>
    <w:rPr>
      <w:color w:val="404142" w:themeColor="accent3" w:themeShade="80"/>
      <w:sz w:val="20"/>
    </w:rPr>
    <w:tblPr>
      <w:tblStyleRowBandSize w:val="1"/>
      <w:tblStyleColBandSize w:val="1"/>
      <w:tblBorders>
        <w:top w:val="single" w:sz="4" w:space="0" w:color="808285" w:themeColor="accent3"/>
        <w:left w:val="single" w:sz="4" w:space="0" w:color="808285" w:themeColor="accent3"/>
        <w:bottom w:val="single" w:sz="4" w:space="0" w:color="808285" w:themeColor="accent3"/>
        <w:right w:val="single" w:sz="4" w:space="0" w:color="808285" w:themeColor="accent3"/>
        <w:insideH w:val="single" w:sz="4" w:space="0" w:color="808285" w:themeColor="accent3"/>
        <w:insideV w:val="single" w:sz="4" w:space="0" w:color="808285" w:themeColor="accent3"/>
      </w:tblBorders>
    </w:tblPr>
    <w:tblStylePr w:type="firstRow">
      <w:pPr>
        <w:spacing w:before="0" w:after="0" w:line="240" w:lineRule="auto"/>
        <w:jc w:val="left"/>
      </w:pPr>
      <w:rPr>
        <w:rFonts w:asciiTheme="minorHAnsi" w:hAnsiTheme="minorHAnsi"/>
        <w:b/>
        <w:bCs/>
        <w:color w:val="FFFFFF" w:themeColor="background1"/>
        <w:sz w:val="20"/>
      </w:rPr>
      <w:tblPr/>
      <w:tcPr>
        <w:tcBorders>
          <w:top w:val="single" w:sz="4" w:space="0" w:color="9DBE3B" w:themeColor="accent2"/>
          <w:left w:val="single" w:sz="4" w:space="0" w:color="9DBE3B" w:themeColor="accent2"/>
          <w:bottom w:val="single" w:sz="4" w:space="0" w:color="9DBE3B" w:themeColor="accent2"/>
          <w:right w:val="single" w:sz="4" w:space="0" w:color="9DBE3B" w:themeColor="accent2"/>
          <w:insideH w:val="nil"/>
          <w:insideV w:val="nil"/>
        </w:tcBorders>
        <w:shd w:val="clear" w:color="auto" w:fill="9DBE3B" w:themeFill="accent2"/>
        <w:vAlign w:val="center"/>
      </w:tcPr>
    </w:tblStylePr>
    <w:tblStylePr w:type="lastRow">
      <w:pPr>
        <w:spacing w:before="0" w:after="0" w:line="240" w:lineRule="auto"/>
      </w:pPr>
      <w:rPr>
        <w:b/>
        <w:bCs/>
      </w:rPr>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firstCol">
      <w:rPr>
        <w:b/>
        <w:bCs/>
      </w:rPr>
      <w:tblPr/>
      <w:tcPr>
        <w:tcBorders>
          <w:top w:val="single" w:sz="18" w:space="0" w:color="808285" w:themeColor="accent3"/>
          <w:left w:val="nil"/>
          <w:bottom w:val="single" w:sz="18" w:space="0" w:color="808285" w:themeColor="accent3"/>
          <w:right w:val="single" w:sz="18" w:space="0" w:color="808285" w:themeColor="accent3"/>
          <w:insideH w:val="single" w:sz="18" w:space="0" w:color="808285" w:themeColor="accent3"/>
          <w:insideV w:val="single" w:sz="18" w:space="0" w:color="808285" w:themeColor="accent3"/>
        </w:tcBorders>
      </w:tcPr>
    </w:tblStylePr>
    <w:tblStylePr w:type="lastCol">
      <w:rPr>
        <w:b/>
        <w:bCs/>
      </w:rPr>
      <w:tblPr/>
      <w:tcPr>
        <w:tcBorders>
          <w:top w:val="single" w:sz="18" w:space="0" w:color="808285" w:themeColor="accent3"/>
          <w:left w:val="single" w:sz="18" w:space="0" w:color="808285" w:themeColor="accent3"/>
          <w:bottom w:val="single" w:sz="18" w:space="0" w:color="808285" w:themeColor="accent3"/>
          <w:right w:val="nil"/>
          <w:insideH w:val="single" w:sz="18" w:space="0" w:color="808285" w:themeColor="accent3"/>
          <w:insideV w:val="single" w:sz="18" w:space="0" w:color="808285" w:themeColor="accent3"/>
        </w:tcBorders>
      </w:tcPr>
    </w:tblStylePr>
    <w:tblStylePr w:type="band1Vert">
      <w:tblPr/>
      <w:tcPr>
        <w:tcBorders>
          <w:top w:val="single" w:sz="4" w:space="0" w:color="808285" w:themeColor="accent3"/>
          <w:left w:val="single" w:sz="18" w:space="0" w:color="808285" w:themeColor="accent3"/>
          <w:bottom w:val="single" w:sz="4" w:space="0" w:color="808285" w:themeColor="accent3"/>
          <w:right w:val="single" w:sz="18" w:space="0" w:color="808285" w:themeColor="accent3"/>
          <w:insideH w:val="single" w:sz="18" w:space="0" w:color="808285" w:themeColor="accent3"/>
          <w:insideV w:val="single" w:sz="18" w:space="0" w:color="808285" w:themeColor="accent3"/>
        </w:tcBorders>
      </w:tcPr>
    </w:tblStylePr>
    <w:tblStylePr w:type="band2Vert">
      <w:tblPr/>
      <w:tcPr>
        <w:tcBorders>
          <w:top w:val="nil"/>
          <w:left w:val="nil"/>
          <w:bottom w:val="nil"/>
          <w:right w:val="nil"/>
          <w:insideH w:val="single" w:sz="18" w:space="0" w:color="808285" w:themeColor="accent3"/>
          <w:insideV w:val="single" w:sz="18" w:space="0" w:color="808285" w:themeColor="accent3"/>
          <w:tl2br w:val="nil"/>
          <w:tr2bl w:val="nil"/>
        </w:tcBorders>
      </w:tcPr>
    </w:tblStylePr>
    <w:tblStylePr w:type="band1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band2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swCell">
      <w:tblPr/>
      <w:tcPr>
        <w:tcBorders>
          <w:top w:val="single" w:sz="18" w:space="0" w:color="808285" w:themeColor="accent3"/>
          <w:left w:val="nil"/>
          <w:bottom w:val="single" w:sz="18" w:space="0" w:color="808285" w:themeColor="accent3"/>
          <w:right w:val="single" w:sz="18" w:space="0" w:color="808285" w:themeColor="accent3"/>
          <w:insideH w:val="single" w:sz="18" w:space="0" w:color="808285" w:themeColor="accent3"/>
          <w:insideV w:val="single" w:sz="18" w:space="0" w:color="808285" w:themeColor="accent3"/>
          <w:tl2br w:val="nil"/>
          <w:tr2bl w:val="nil"/>
        </w:tcBorders>
      </w:tcPr>
    </w:tblStylePr>
  </w:style>
  <w:style w:type="table" w:styleId="LightList-Accent3">
    <w:name w:val="Light List Accent 3"/>
    <w:basedOn w:val="TableNormal"/>
    <w:uiPriority w:val="61"/>
    <w:rsid w:val="00D83B0A"/>
    <w:pPr>
      <w:spacing w:before="0" w:after="0" w:line="240" w:lineRule="auto"/>
    </w:pPr>
    <w:tblPr>
      <w:tblStyleRowBandSize w:val="1"/>
      <w:tblStyleColBandSize w:val="1"/>
      <w:tblBorders>
        <w:top w:val="single" w:sz="8" w:space="0" w:color="808285" w:themeColor="accent3"/>
        <w:left w:val="single" w:sz="8" w:space="0" w:color="808285" w:themeColor="accent3"/>
        <w:bottom w:val="single" w:sz="8" w:space="0" w:color="808285" w:themeColor="accent3"/>
        <w:right w:val="single" w:sz="8" w:space="0" w:color="808285" w:themeColor="accent3"/>
      </w:tblBorders>
    </w:tblPr>
    <w:tblStylePr w:type="firstRow">
      <w:pPr>
        <w:spacing w:before="0" w:after="0" w:line="240" w:lineRule="auto"/>
      </w:pPr>
      <w:rPr>
        <w:b/>
        <w:bCs/>
        <w:color w:val="FFFFFF" w:themeColor="background1"/>
      </w:rPr>
      <w:tblPr/>
      <w:tcPr>
        <w:shd w:val="clear" w:color="auto" w:fill="808285" w:themeFill="accent3"/>
      </w:tcPr>
    </w:tblStylePr>
    <w:tblStylePr w:type="lastRow">
      <w:pPr>
        <w:spacing w:before="0" w:after="0" w:line="240" w:lineRule="auto"/>
      </w:pPr>
      <w:rPr>
        <w:b/>
        <w:bCs/>
      </w:rPr>
      <w:tblPr/>
      <w:tcPr>
        <w:tcBorders>
          <w:top w:val="double" w:sz="6" w:space="0" w:color="808285" w:themeColor="accent3"/>
          <w:left w:val="single" w:sz="8" w:space="0" w:color="808285" w:themeColor="accent3"/>
          <w:bottom w:val="single" w:sz="8" w:space="0" w:color="808285" w:themeColor="accent3"/>
          <w:right w:val="single" w:sz="8" w:space="0" w:color="808285" w:themeColor="accent3"/>
        </w:tcBorders>
      </w:tcPr>
    </w:tblStylePr>
    <w:tblStylePr w:type="firstCol">
      <w:rPr>
        <w:b/>
        <w:bCs/>
      </w:rPr>
    </w:tblStylePr>
    <w:tblStylePr w:type="lastCol">
      <w:rPr>
        <w:b/>
        <w:bCs/>
      </w:rPr>
    </w:tblStylePr>
    <w:tblStylePr w:type="band1Vert">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tblStylePr w:type="band1Horz">
      <w:tblPr/>
      <w:tcPr>
        <w:tcBorders>
          <w:top w:val="single" w:sz="8" w:space="0" w:color="808285" w:themeColor="accent3"/>
          <w:left w:val="single" w:sz="8" w:space="0" w:color="808285" w:themeColor="accent3"/>
          <w:bottom w:val="single" w:sz="8" w:space="0" w:color="808285" w:themeColor="accent3"/>
          <w:right w:val="single" w:sz="8" w:space="0" w:color="808285" w:themeColor="accent3"/>
        </w:tcBorders>
      </w:tcPr>
    </w:tblStylePr>
  </w:style>
  <w:style w:type="table" w:styleId="MediumList1-Accent2">
    <w:name w:val="Medium List 1 Accent 2"/>
    <w:basedOn w:val="TableNormal"/>
    <w:uiPriority w:val="65"/>
    <w:rsid w:val="00D83B0A"/>
    <w:pPr>
      <w:spacing w:before="0" w:after="0" w:line="240" w:lineRule="auto"/>
    </w:pPr>
    <w:rPr>
      <w:color w:val="3F4042" w:themeColor="text1"/>
    </w:rPr>
    <w:tblPr>
      <w:tblStyleRowBandSize w:val="1"/>
      <w:tblStyleColBandSize w:val="1"/>
      <w:tblBorders>
        <w:top w:val="single" w:sz="8" w:space="0" w:color="9DBE3B" w:themeColor="accent2"/>
        <w:bottom w:val="single" w:sz="8" w:space="0" w:color="9DBE3B" w:themeColor="accent2"/>
      </w:tblBorders>
    </w:tblPr>
    <w:tblStylePr w:type="firstRow">
      <w:rPr>
        <w:rFonts w:asciiTheme="majorHAnsi" w:eastAsiaTheme="majorEastAsia" w:hAnsiTheme="majorHAnsi" w:cstheme="majorBidi"/>
      </w:rPr>
      <w:tblPr/>
      <w:tcPr>
        <w:tcBorders>
          <w:top w:val="nil"/>
          <w:bottom w:val="single" w:sz="8" w:space="0" w:color="9DBE3B" w:themeColor="accent2"/>
        </w:tcBorders>
      </w:tcPr>
    </w:tblStylePr>
    <w:tblStylePr w:type="lastRow">
      <w:rPr>
        <w:b/>
        <w:bCs/>
        <w:color w:val="002941" w:themeColor="text2"/>
      </w:rPr>
      <w:tblPr/>
      <w:tcPr>
        <w:tcBorders>
          <w:top w:val="single" w:sz="8" w:space="0" w:color="9DBE3B" w:themeColor="accent2"/>
          <w:bottom w:val="single" w:sz="8" w:space="0" w:color="9DBE3B" w:themeColor="accent2"/>
        </w:tcBorders>
      </w:tcPr>
    </w:tblStylePr>
    <w:tblStylePr w:type="firstCol">
      <w:rPr>
        <w:b/>
        <w:bCs/>
      </w:rPr>
    </w:tblStylePr>
    <w:tblStylePr w:type="lastCol">
      <w:rPr>
        <w:b/>
        <w:bCs/>
      </w:rPr>
      <w:tblPr/>
      <w:tcPr>
        <w:tcBorders>
          <w:top w:val="single" w:sz="8" w:space="0" w:color="9DBE3B" w:themeColor="accent2"/>
          <w:bottom w:val="single" w:sz="8" w:space="0" w:color="9DBE3B" w:themeColor="accent2"/>
        </w:tcBorders>
      </w:tcPr>
    </w:tblStylePr>
    <w:tblStylePr w:type="band1Vert">
      <w:tblPr/>
      <w:tcPr>
        <w:shd w:val="clear" w:color="auto" w:fill="E7EFCD" w:themeFill="accent2" w:themeFillTint="3F"/>
      </w:tcPr>
    </w:tblStylePr>
    <w:tblStylePr w:type="band1Horz">
      <w:tblPr/>
      <w:tcPr>
        <w:shd w:val="clear" w:color="auto" w:fill="E7EFCD" w:themeFill="accent2" w:themeFillTint="3F"/>
      </w:tcPr>
    </w:tblStylePr>
  </w:style>
  <w:style w:type="table" w:styleId="LightShading">
    <w:name w:val="Light Shading"/>
    <w:basedOn w:val="TableNormal"/>
    <w:uiPriority w:val="60"/>
    <w:rsid w:val="00D83B0A"/>
    <w:pPr>
      <w:spacing w:before="0" w:after="0" w:line="240" w:lineRule="auto"/>
    </w:pPr>
    <w:rPr>
      <w:color w:val="2F2F31" w:themeColor="text1" w:themeShade="BF"/>
    </w:rPr>
    <w:tblPr>
      <w:tblStyleRowBandSize w:val="1"/>
      <w:tblStyleColBandSize w:val="1"/>
      <w:tblBorders>
        <w:top w:val="single" w:sz="8" w:space="0" w:color="3F4042" w:themeColor="text1"/>
        <w:bottom w:val="single" w:sz="8" w:space="0" w:color="3F4042" w:themeColor="text1"/>
      </w:tblBorders>
    </w:tblPr>
    <w:tblStylePr w:type="firstRow">
      <w:pPr>
        <w:spacing w:before="0" w:after="0" w:line="240" w:lineRule="auto"/>
      </w:pPr>
      <w:rPr>
        <w:b/>
        <w:bCs/>
      </w:rPr>
      <w:tblPr/>
      <w:tcPr>
        <w:tcBorders>
          <w:top w:val="single" w:sz="8" w:space="0" w:color="3F4042" w:themeColor="text1"/>
          <w:left w:val="nil"/>
          <w:bottom w:val="single" w:sz="8" w:space="0" w:color="3F4042" w:themeColor="text1"/>
          <w:right w:val="nil"/>
          <w:insideH w:val="nil"/>
          <w:insideV w:val="nil"/>
        </w:tcBorders>
      </w:tcPr>
    </w:tblStylePr>
    <w:tblStylePr w:type="lastRow">
      <w:pPr>
        <w:spacing w:before="0" w:after="0" w:line="240" w:lineRule="auto"/>
      </w:pPr>
      <w:rPr>
        <w:b/>
        <w:bCs/>
      </w:rPr>
      <w:tblPr/>
      <w:tcPr>
        <w:tcBorders>
          <w:top w:val="single" w:sz="8" w:space="0" w:color="3F4042" w:themeColor="text1"/>
          <w:left w:val="nil"/>
          <w:bottom w:val="single" w:sz="8" w:space="0" w:color="3F40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FD1" w:themeFill="text1" w:themeFillTint="3F"/>
      </w:tcPr>
    </w:tblStylePr>
    <w:tblStylePr w:type="band1Horz">
      <w:tblPr/>
      <w:tcPr>
        <w:tcBorders>
          <w:left w:val="nil"/>
          <w:right w:val="nil"/>
          <w:insideH w:val="nil"/>
          <w:insideV w:val="nil"/>
        </w:tcBorders>
        <w:shd w:val="clear" w:color="auto" w:fill="CECFD1" w:themeFill="text1" w:themeFillTint="3F"/>
      </w:tcPr>
    </w:tblStylePr>
  </w:style>
  <w:style w:type="table" w:styleId="LightShading-Accent1">
    <w:name w:val="Light Shading Accent 1"/>
    <w:basedOn w:val="TableNormal"/>
    <w:uiPriority w:val="60"/>
    <w:rsid w:val="003715CA"/>
    <w:pPr>
      <w:spacing w:before="0" w:after="0" w:line="240" w:lineRule="auto"/>
    </w:pPr>
    <w:rPr>
      <w:color w:val="002941" w:themeColor="accent1"/>
    </w:rPr>
    <w:tblPr>
      <w:tblStyleRowBandSize w:val="1"/>
      <w:tblStyleColBandSize w:val="1"/>
      <w:tblBorders>
        <w:top w:val="single" w:sz="8" w:space="0" w:color="002941" w:themeColor="accent1"/>
        <w:bottom w:val="single" w:sz="8" w:space="0" w:color="002941" w:themeColor="accent1"/>
      </w:tblBorders>
    </w:tblPr>
    <w:tblStylePr w:type="firstRow">
      <w:pPr>
        <w:spacing w:before="0" w:after="0" w:line="240" w:lineRule="auto"/>
      </w:pPr>
      <w:rPr>
        <w:b/>
        <w:bCs/>
      </w:rPr>
      <w:tblPr/>
      <w:tcPr>
        <w:tcBorders>
          <w:top w:val="single" w:sz="8" w:space="0" w:color="002941" w:themeColor="accent1"/>
          <w:left w:val="nil"/>
          <w:bottom w:val="single" w:sz="8" w:space="0" w:color="002941" w:themeColor="accent1"/>
          <w:right w:val="nil"/>
          <w:insideH w:val="nil"/>
          <w:insideV w:val="nil"/>
        </w:tcBorders>
      </w:tcPr>
    </w:tblStylePr>
    <w:tblStylePr w:type="lastRow">
      <w:pPr>
        <w:spacing w:before="0" w:after="0" w:line="240" w:lineRule="auto"/>
      </w:pPr>
      <w:rPr>
        <w:b/>
        <w:bCs/>
      </w:rPr>
      <w:tblPr/>
      <w:tcPr>
        <w:tcBorders>
          <w:top w:val="single" w:sz="8" w:space="0" w:color="002941" w:themeColor="accent1"/>
          <w:left w:val="nil"/>
          <w:bottom w:val="single" w:sz="8" w:space="0" w:color="0029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D6FF" w:themeFill="accent1" w:themeFillTint="3F"/>
      </w:tcPr>
    </w:tblStylePr>
    <w:tblStylePr w:type="band1Horz">
      <w:tblPr/>
      <w:tcPr>
        <w:tcBorders>
          <w:left w:val="nil"/>
          <w:right w:val="nil"/>
          <w:insideH w:val="nil"/>
          <w:insideV w:val="nil"/>
        </w:tcBorders>
        <w:shd w:val="clear" w:color="auto" w:fill="91D6FF" w:themeFill="accent1" w:themeFillTint="3F"/>
      </w:tcPr>
    </w:tblStylePr>
  </w:style>
  <w:style w:type="table" w:styleId="LightShading-Accent2">
    <w:name w:val="Light Shading Accent 2"/>
    <w:basedOn w:val="TableNormal"/>
    <w:uiPriority w:val="60"/>
    <w:rsid w:val="003715CA"/>
    <w:pPr>
      <w:spacing w:before="0" w:after="0" w:line="240" w:lineRule="auto"/>
    </w:pPr>
    <w:rPr>
      <w:color w:val="758E2C" w:themeColor="accent2" w:themeShade="BF"/>
    </w:rPr>
    <w:tblPr>
      <w:tblStyleRowBandSize w:val="1"/>
      <w:tblStyleColBandSize w:val="1"/>
      <w:tblBorders>
        <w:top w:val="single" w:sz="8" w:space="0" w:color="9DBE3B" w:themeColor="accent2"/>
        <w:bottom w:val="single" w:sz="8" w:space="0" w:color="9DBE3B" w:themeColor="accent2"/>
      </w:tblBorders>
    </w:tblPr>
    <w:tblStylePr w:type="firstRow">
      <w:pPr>
        <w:spacing w:before="0" w:after="0" w:line="240" w:lineRule="auto"/>
      </w:pPr>
      <w:rPr>
        <w:b/>
        <w:bCs/>
      </w:rPr>
      <w:tblPr/>
      <w:tcPr>
        <w:tcBorders>
          <w:top w:val="single" w:sz="8" w:space="0" w:color="9DBE3B" w:themeColor="accent2"/>
          <w:left w:val="nil"/>
          <w:bottom w:val="single" w:sz="8" w:space="0" w:color="9DBE3B" w:themeColor="accent2"/>
          <w:right w:val="nil"/>
          <w:insideH w:val="nil"/>
          <w:insideV w:val="nil"/>
        </w:tcBorders>
      </w:tcPr>
    </w:tblStylePr>
    <w:tblStylePr w:type="lastRow">
      <w:pPr>
        <w:spacing w:before="0" w:after="0" w:line="240" w:lineRule="auto"/>
      </w:pPr>
      <w:rPr>
        <w:b/>
        <w:bCs/>
      </w:rPr>
      <w:tblPr/>
      <w:tcPr>
        <w:tcBorders>
          <w:top w:val="single" w:sz="8" w:space="0" w:color="9DBE3B" w:themeColor="accent2"/>
          <w:left w:val="nil"/>
          <w:bottom w:val="single" w:sz="8" w:space="0" w:color="9DB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FCD" w:themeFill="accent2" w:themeFillTint="3F"/>
      </w:tcPr>
    </w:tblStylePr>
    <w:tblStylePr w:type="band1Horz">
      <w:tblPr/>
      <w:tcPr>
        <w:tcBorders>
          <w:left w:val="nil"/>
          <w:right w:val="nil"/>
          <w:insideH w:val="nil"/>
          <w:insideV w:val="nil"/>
        </w:tcBorders>
        <w:shd w:val="clear" w:color="auto" w:fill="E7EFCD" w:themeFill="accent2" w:themeFillTint="3F"/>
      </w:tcPr>
    </w:tblStylePr>
  </w:style>
  <w:style w:type="table" w:styleId="LightList-Accent4">
    <w:name w:val="Light List Accent 4"/>
    <w:basedOn w:val="TableNormal"/>
    <w:uiPriority w:val="61"/>
    <w:rsid w:val="003715CA"/>
    <w:pPr>
      <w:spacing w:before="0" w:after="0" w:line="240" w:lineRule="auto"/>
    </w:pPr>
    <w:tblPr>
      <w:tblStyleRowBandSize w:val="1"/>
      <w:tblStyleColBandSize w:val="1"/>
      <w:tblBorders>
        <w:top w:val="single" w:sz="8" w:space="0" w:color="D5E1AC" w:themeColor="accent4"/>
        <w:left w:val="single" w:sz="8" w:space="0" w:color="D5E1AC" w:themeColor="accent4"/>
        <w:bottom w:val="single" w:sz="8" w:space="0" w:color="D5E1AC" w:themeColor="accent4"/>
        <w:right w:val="single" w:sz="8" w:space="0" w:color="D5E1AC" w:themeColor="accent4"/>
      </w:tblBorders>
    </w:tblPr>
    <w:tblStylePr w:type="firstRow">
      <w:pPr>
        <w:spacing w:before="0" w:after="0" w:line="240" w:lineRule="auto"/>
      </w:pPr>
      <w:rPr>
        <w:b/>
        <w:bCs/>
        <w:color w:val="FFFFFF" w:themeColor="background1"/>
      </w:rPr>
      <w:tblPr/>
      <w:tcPr>
        <w:shd w:val="clear" w:color="auto" w:fill="D5E1AC" w:themeFill="accent4"/>
      </w:tcPr>
    </w:tblStylePr>
    <w:tblStylePr w:type="lastRow">
      <w:pPr>
        <w:spacing w:before="0" w:after="0" w:line="240" w:lineRule="auto"/>
      </w:pPr>
      <w:rPr>
        <w:b/>
        <w:bCs/>
      </w:rPr>
      <w:tblPr/>
      <w:tcPr>
        <w:tcBorders>
          <w:top w:val="double" w:sz="6" w:space="0" w:color="D5E1AC" w:themeColor="accent4"/>
          <w:left w:val="single" w:sz="8" w:space="0" w:color="D5E1AC" w:themeColor="accent4"/>
          <w:bottom w:val="single" w:sz="8" w:space="0" w:color="D5E1AC" w:themeColor="accent4"/>
          <w:right w:val="single" w:sz="8" w:space="0" w:color="D5E1AC" w:themeColor="accent4"/>
        </w:tcBorders>
      </w:tcPr>
    </w:tblStylePr>
    <w:tblStylePr w:type="firstCol">
      <w:rPr>
        <w:b/>
        <w:bCs/>
      </w:rPr>
    </w:tblStylePr>
    <w:tblStylePr w:type="lastCol">
      <w:rPr>
        <w:b/>
        <w:bCs/>
      </w:rPr>
    </w:tblStylePr>
    <w:tblStylePr w:type="band1Vert">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tcPr>
    </w:tblStylePr>
    <w:tblStylePr w:type="band1Horz">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tcPr>
    </w:tblStylePr>
  </w:style>
  <w:style w:type="table" w:styleId="ColorfulShading-Accent3">
    <w:name w:val="Colorful Shading Accent 3"/>
    <w:basedOn w:val="TableNormal"/>
    <w:uiPriority w:val="71"/>
    <w:rsid w:val="00FF6082"/>
    <w:pPr>
      <w:spacing w:before="0" w:after="0" w:line="240" w:lineRule="auto"/>
    </w:pPr>
    <w:rPr>
      <w:color w:val="3F4042" w:themeColor="text1"/>
    </w:rPr>
    <w:tblPr>
      <w:tblStyleRowBandSize w:val="1"/>
      <w:tblStyleColBandSize w:val="1"/>
      <w:tblBorders>
        <w:insideH w:val="single" w:sz="6" w:space="0" w:color="808285" w:themeColor="accent3"/>
        <w:insideV w:val="single" w:sz="6" w:space="0" w:color="808285" w:themeColor="accent3"/>
      </w:tblBorders>
    </w:tblPr>
    <w:tcPr>
      <w:shd w:val="clear" w:color="auto" w:fill="F2F2F3" w:themeFill="accent3" w:themeFillTint="19"/>
    </w:tcPr>
    <w:tblStylePr w:type="firstRow">
      <w:rPr>
        <w:rFonts w:asciiTheme="minorHAnsi" w:hAnsiTheme="minorHAnsi"/>
        <w:b/>
        <w:bCs/>
        <w:color w:val="404142" w:themeColor="accent3" w:themeShade="80"/>
        <w:sz w:val="20"/>
      </w:rPr>
      <w:tblPr/>
      <w:tcPr>
        <w:tcBorders>
          <w:top w:val="nil"/>
          <w:left w:val="nil"/>
          <w:bottom w:val="nil"/>
          <w:right w:val="nil"/>
          <w:insideH w:val="single" w:sz="6" w:space="0" w:color="808285" w:themeColor="accent3"/>
          <w:insideV w:val="single" w:sz="6" w:space="0" w:color="808285" w:themeColor="accent3"/>
        </w:tcBorders>
        <w:shd w:val="clear" w:color="auto" w:fill="9DBE3B" w:themeFill="accent2"/>
      </w:tcPr>
    </w:tblStylePr>
    <w:tblStylePr w:type="lastRow">
      <w:rPr>
        <w:b/>
        <w:bCs/>
        <w:color w:val="FFFFFF" w:themeColor="background1"/>
      </w:rPr>
      <w:tblPr/>
      <w:tcPr>
        <w:tcBorders>
          <w:top w:val="single" w:sz="6" w:space="0" w:color="FFFFFF" w:themeColor="background1"/>
        </w:tcBorders>
        <w:shd w:val="clear" w:color="auto" w:fill="4C4D4F" w:themeFill="accent3" w:themeFillShade="99"/>
      </w:tcPr>
    </w:tblStylePr>
    <w:tblStylePr w:type="firstCol">
      <w:rPr>
        <w:rFonts w:ascii="Calibri" w:hAnsi="Calibri"/>
        <w:b/>
        <w:color w:val="404142" w:themeColor="accent3" w:themeShade="80"/>
        <w:sz w:val="20"/>
      </w:rPr>
      <w:tblPr/>
      <w:tcPr>
        <w:shd w:val="clear" w:color="auto" w:fill="9DBE3B" w:themeFill="accent2"/>
      </w:tcPr>
    </w:tblStylePr>
    <w:tblStylePr w:type="lastCol">
      <w:rPr>
        <w:color w:val="FFFFFF" w:themeColor="background1"/>
      </w:rPr>
      <w:tblPr/>
      <w:tcPr>
        <w:shd w:val="clear" w:color="auto" w:fill="E5E5E6" w:themeFill="accent3" w:themeFillTint="33"/>
      </w:tcPr>
    </w:tblStylePr>
    <w:tblStylePr w:type="band1Vert">
      <w:tblPr/>
      <w:tcPr>
        <w:shd w:val="clear" w:color="auto" w:fill="CCCCCE" w:themeFill="accent3" w:themeFillTint="66"/>
      </w:tcPr>
    </w:tblStylePr>
    <w:tblStylePr w:type="band1Horz">
      <w:tblPr/>
      <w:tcPr>
        <w:shd w:val="clear" w:color="auto" w:fill="BFC0C2" w:themeFill="accent3" w:themeFillTint="7F"/>
      </w:tcPr>
    </w:tblStylePr>
  </w:style>
  <w:style w:type="table" w:styleId="DarkList-Accent5">
    <w:name w:val="Dark List Accent 5"/>
    <w:basedOn w:val="TableNormal"/>
    <w:uiPriority w:val="70"/>
    <w:rsid w:val="00BF65B5"/>
    <w:pPr>
      <w:spacing w:before="0" w:after="0" w:line="240" w:lineRule="auto"/>
    </w:pPr>
    <w:rPr>
      <w:color w:val="FFFFFF" w:themeColor="background1"/>
    </w:rPr>
    <w:tblPr>
      <w:tblStyleRowBandSize w:val="1"/>
      <w:tblStyleColBandSize w:val="1"/>
    </w:tblPr>
    <w:tcPr>
      <w:shd w:val="clear" w:color="auto" w:fill="EED45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F4042" w:themeFill="text1"/>
      </w:tcPr>
    </w:tblStylePr>
    <w:tblStylePr w:type="lastRow">
      <w:tblPr/>
      <w:tcPr>
        <w:tcBorders>
          <w:top w:val="single" w:sz="18" w:space="0" w:color="FFFFFF" w:themeColor="background1"/>
          <w:left w:val="nil"/>
          <w:bottom w:val="nil"/>
          <w:right w:val="nil"/>
          <w:insideH w:val="nil"/>
          <w:insideV w:val="nil"/>
        </w:tcBorders>
        <w:shd w:val="clear" w:color="auto" w:fill="917B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BB9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BB915" w:themeFill="accent5" w:themeFillShade="BF"/>
      </w:tcPr>
    </w:tblStylePr>
    <w:tblStylePr w:type="band1Vert">
      <w:tblPr/>
      <w:tcPr>
        <w:tcBorders>
          <w:top w:val="nil"/>
          <w:left w:val="nil"/>
          <w:bottom w:val="nil"/>
          <w:right w:val="nil"/>
          <w:insideH w:val="nil"/>
          <w:insideV w:val="nil"/>
        </w:tcBorders>
        <w:shd w:val="clear" w:color="auto" w:fill="DBB915" w:themeFill="accent5" w:themeFillShade="BF"/>
      </w:tcPr>
    </w:tblStylePr>
    <w:tblStylePr w:type="band1Horz">
      <w:tblPr/>
      <w:tcPr>
        <w:tcBorders>
          <w:top w:val="nil"/>
          <w:left w:val="nil"/>
          <w:bottom w:val="nil"/>
          <w:right w:val="nil"/>
          <w:insideH w:val="nil"/>
          <w:insideV w:val="nil"/>
        </w:tcBorders>
        <w:shd w:val="clear" w:color="auto" w:fill="DBB915" w:themeFill="accent5" w:themeFillShade="BF"/>
      </w:tcPr>
    </w:tblStylePr>
  </w:style>
  <w:style w:type="table" w:styleId="MediumList2-Accent4">
    <w:name w:val="Medium List 2 Accent 4"/>
    <w:basedOn w:val="TableNormal"/>
    <w:uiPriority w:val="66"/>
    <w:rsid w:val="00462553"/>
    <w:pPr>
      <w:spacing w:before="0" w:after="0" w:line="240" w:lineRule="auto"/>
    </w:pPr>
    <w:rPr>
      <w:rFonts w:asciiTheme="majorHAnsi" w:eastAsiaTheme="majorEastAsia" w:hAnsiTheme="majorHAnsi" w:cstheme="majorBidi"/>
      <w:color w:val="3F4042" w:themeColor="text1"/>
    </w:rPr>
    <w:tblPr>
      <w:tblStyleRowBandSize w:val="1"/>
      <w:tblStyleColBandSize w:val="1"/>
      <w:tblBorders>
        <w:top w:val="single" w:sz="8" w:space="0" w:color="D5E1AC" w:themeColor="accent4"/>
        <w:left w:val="single" w:sz="8" w:space="0" w:color="D5E1AC" w:themeColor="accent4"/>
        <w:bottom w:val="single" w:sz="8" w:space="0" w:color="D5E1AC" w:themeColor="accent4"/>
        <w:right w:val="single" w:sz="8" w:space="0" w:color="D5E1AC" w:themeColor="accent4"/>
      </w:tblBorders>
    </w:tblPr>
    <w:tblStylePr w:type="firstRow">
      <w:rPr>
        <w:sz w:val="24"/>
        <w:szCs w:val="24"/>
      </w:rPr>
      <w:tblPr/>
      <w:tcPr>
        <w:tcBorders>
          <w:top w:val="nil"/>
          <w:left w:val="nil"/>
          <w:bottom w:val="single" w:sz="24" w:space="0" w:color="D5E1AC" w:themeColor="accent4"/>
          <w:right w:val="nil"/>
          <w:insideH w:val="nil"/>
          <w:insideV w:val="nil"/>
        </w:tcBorders>
        <w:shd w:val="clear" w:color="auto" w:fill="FFFFFF" w:themeFill="background1"/>
      </w:tcPr>
    </w:tblStylePr>
    <w:tblStylePr w:type="lastRow">
      <w:tblPr/>
      <w:tcPr>
        <w:tcBorders>
          <w:top w:val="single" w:sz="8" w:space="0" w:color="D5E1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E1AC" w:themeColor="accent4"/>
          <w:insideH w:val="nil"/>
          <w:insideV w:val="nil"/>
        </w:tcBorders>
        <w:shd w:val="clear" w:color="auto" w:fill="FFFFFF" w:themeFill="background1"/>
      </w:tcPr>
    </w:tblStylePr>
    <w:tblStylePr w:type="lastCol">
      <w:tblPr/>
      <w:tcPr>
        <w:tcBorders>
          <w:top w:val="nil"/>
          <w:left w:val="single" w:sz="8" w:space="0" w:color="D5E1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EA" w:themeFill="accent4" w:themeFillTint="3F"/>
      </w:tcPr>
    </w:tblStylePr>
    <w:tblStylePr w:type="band1Horz">
      <w:tblPr/>
      <w:tcPr>
        <w:tcBorders>
          <w:top w:val="nil"/>
          <w:bottom w:val="nil"/>
          <w:insideH w:val="nil"/>
          <w:insideV w:val="nil"/>
        </w:tcBorders>
        <w:shd w:val="clear" w:color="auto" w:fill="F4F7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rsid w:val="00462553"/>
    <w:pPr>
      <w:spacing w:before="0" w:after="0" w:line="240" w:lineRule="auto"/>
    </w:pPr>
    <w:rPr>
      <w:rFonts w:asciiTheme="majorHAnsi" w:eastAsiaTheme="majorEastAsia" w:hAnsiTheme="majorHAnsi" w:cstheme="majorBidi"/>
      <w:color w:val="3F4042" w:themeColor="text1"/>
    </w:rPr>
    <w:tblPr>
      <w:tblStyleRowBandSize w:val="1"/>
      <w:tblStyleColBandSize w:val="1"/>
      <w:tblBorders>
        <w:top w:val="single" w:sz="8" w:space="0" w:color="3F4042" w:themeColor="text1"/>
        <w:left w:val="single" w:sz="8" w:space="0" w:color="3F4042" w:themeColor="text1"/>
        <w:bottom w:val="single" w:sz="8" w:space="0" w:color="3F4042" w:themeColor="text1"/>
        <w:right w:val="single" w:sz="8" w:space="0" w:color="3F4042" w:themeColor="text1"/>
      </w:tblBorders>
    </w:tblPr>
    <w:tblStylePr w:type="firstRow">
      <w:rPr>
        <w:sz w:val="24"/>
        <w:szCs w:val="24"/>
      </w:rPr>
      <w:tblPr/>
      <w:tcPr>
        <w:tcBorders>
          <w:top w:val="nil"/>
          <w:left w:val="nil"/>
          <w:bottom w:val="single" w:sz="24" w:space="0" w:color="3F4042" w:themeColor="text1"/>
          <w:right w:val="nil"/>
          <w:insideH w:val="nil"/>
          <w:insideV w:val="nil"/>
        </w:tcBorders>
        <w:shd w:val="clear" w:color="auto" w:fill="FFFFFF" w:themeFill="background1"/>
      </w:tcPr>
    </w:tblStylePr>
    <w:tblStylePr w:type="lastRow">
      <w:tblPr/>
      <w:tcPr>
        <w:tcBorders>
          <w:top w:val="single" w:sz="8" w:space="0" w:color="3F404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4042" w:themeColor="text1"/>
          <w:insideH w:val="nil"/>
          <w:insideV w:val="nil"/>
        </w:tcBorders>
        <w:shd w:val="clear" w:color="auto" w:fill="FFFFFF" w:themeFill="background1"/>
      </w:tcPr>
    </w:tblStylePr>
    <w:tblStylePr w:type="lastCol">
      <w:tblPr/>
      <w:tcPr>
        <w:tcBorders>
          <w:top w:val="nil"/>
          <w:left w:val="single" w:sz="8" w:space="0" w:color="3F404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FD1" w:themeFill="text1" w:themeFillTint="3F"/>
      </w:tcPr>
    </w:tblStylePr>
    <w:tblStylePr w:type="band1Horz">
      <w:tblPr/>
      <w:tcPr>
        <w:tcBorders>
          <w:top w:val="nil"/>
          <w:bottom w:val="nil"/>
          <w:insideH w:val="nil"/>
          <w:insideV w:val="nil"/>
        </w:tcBorders>
        <w:shd w:val="clear" w:color="auto" w:fill="CECFD1"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L2">
    <w:name w:val="ML 2"/>
    <w:basedOn w:val="LightList-Accent2"/>
    <w:uiPriority w:val="99"/>
    <w:rsid w:val="002410FD"/>
    <w:tblPr>
      <w:tblStyleRowBandSize w:val="0"/>
      <w:tblStyleColBandSize w:val="0"/>
      <w:tblBorders>
        <w:top w:val="single" w:sz="12" w:space="0" w:color="808285" w:themeColor="accent3"/>
        <w:left w:val="none" w:sz="0" w:space="0" w:color="auto"/>
        <w:bottom w:val="single" w:sz="12" w:space="0" w:color="808285" w:themeColor="accent3"/>
        <w:right w:val="none" w:sz="0" w:space="0" w:color="auto"/>
        <w:insideH w:val="single" w:sz="12" w:space="0" w:color="808285" w:themeColor="accent3"/>
        <w:insideV w:val="single" w:sz="12" w:space="0" w:color="808285" w:themeColor="accent3"/>
      </w:tblBorders>
    </w:tblPr>
    <w:tblStylePr w:type="firstRow">
      <w:pPr>
        <w:spacing w:before="0" w:after="0" w:line="240" w:lineRule="auto"/>
        <w:jc w:val="left"/>
      </w:pPr>
      <w:rPr>
        <w:rFonts w:asciiTheme="minorHAnsi" w:hAnsiTheme="minorHAnsi"/>
        <w:b/>
        <w:bCs/>
        <w:color w:val="FFFFFF" w:themeColor="background1"/>
        <w:sz w:val="20"/>
      </w:rPr>
      <w:tblPr/>
      <w:tcPr>
        <w:tcBorders>
          <w:top w:val="single" w:sz="4" w:space="0" w:color="9DBE3B" w:themeColor="accent2"/>
          <w:left w:val="single" w:sz="4" w:space="0" w:color="9DBE3B" w:themeColor="accent2"/>
          <w:bottom w:val="single" w:sz="4" w:space="0" w:color="9DBE3B" w:themeColor="accent2"/>
          <w:right w:val="single" w:sz="4" w:space="0" w:color="9DBE3B" w:themeColor="accent2"/>
          <w:insideH w:val="nil"/>
          <w:insideV w:val="nil"/>
        </w:tcBorders>
        <w:shd w:val="clear" w:color="auto" w:fill="9DBE3B" w:themeFill="accent2"/>
        <w:vAlign w:val="center"/>
      </w:tcPr>
    </w:tblStylePr>
    <w:tblStylePr w:type="lastRow">
      <w:pPr>
        <w:spacing w:before="0" w:after="0" w:line="240" w:lineRule="auto"/>
      </w:pPr>
      <w:rPr>
        <w:b/>
        <w:bCs/>
      </w:rPr>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firstCol">
      <w:rPr>
        <w:b/>
        <w:bCs/>
      </w:rPr>
      <w:tblPr/>
      <w:tcPr>
        <w:tcBorders>
          <w:top w:val="nil"/>
          <w:left w:val="nil"/>
          <w:bottom w:val="nil"/>
          <w:right w:val="nil"/>
          <w:insideH w:val="single" w:sz="12" w:space="0" w:color="808285" w:themeColor="accent3"/>
          <w:insideV w:val="single" w:sz="12" w:space="0" w:color="808285" w:themeColor="accent3"/>
        </w:tcBorders>
      </w:tcPr>
    </w:tblStylePr>
    <w:tblStylePr w:type="lastCol">
      <w:rPr>
        <w:b/>
        <w:bCs/>
      </w:rPr>
      <w:tblPr/>
      <w:tcPr>
        <w:tcBorders>
          <w:top w:val="nil"/>
          <w:left w:val="nil"/>
          <w:bottom w:val="nil"/>
          <w:right w:val="nil"/>
          <w:insideH w:val="single" w:sz="12" w:space="0" w:color="808285" w:themeColor="accent3"/>
          <w:insideV w:val="single" w:sz="12" w:space="0" w:color="808285" w:themeColor="accent3"/>
          <w:tl2br w:val="nil"/>
          <w:tr2bl w:val="nil"/>
        </w:tcBorders>
      </w:tcPr>
    </w:tblStylePr>
    <w:tblStylePr w:type="band1Vert">
      <w:tblPr/>
      <w:tcPr>
        <w:tcBorders>
          <w:top w:val="single" w:sz="4" w:space="0" w:color="808285" w:themeColor="accent3"/>
          <w:left w:val="single" w:sz="18" w:space="0" w:color="808285" w:themeColor="accent3"/>
          <w:bottom w:val="single" w:sz="4" w:space="0" w:color="808285" w:themeColor="accent3"/>
          <w:right w:val="single" w:sz="18" w:space="0" w:color="808285" w:themeColor="accent3"/>
          <w:insideH w:val="single" w:sz="18" w:space="0" w:color="808285" w:themeColor="accent3"/>
          <w:insideV w:val="single" w:sz="18" w:space="0" w:color="808285" w:themeColor="accent3"/>
        </w:tcBorders>
      </w:tcPr>
    </w:tblStylePr>
    <w:tblStylePr w:type="band2Vert">
      <w:tblPr/>
      <w:tcPr>
        <w:tcBorders>
          <w:top w:val="nil"/>
          <w:left w:val="nil"/>
          <w:bottom w:val="nil"/>
          <w:right w:val="nil"/>
          <w:insideH w:val="single" w:sz="18" w:space="0" w:color="808285" w:themeColor="accent3"/>
          <w:insideV w:val="single" w:sz="18" w:space="0" w:color="808285" w:themeColor="accent3"/>
          <w:tl2br w:val="nil"/>
          <w:tr2bl w:val="nil"/>
        </w:tcBorders>
      </w:tcPr>
    </w:tblStylePr>
    <w:tblStylePr w:type="band1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band2Horz">
      <w:tblPr/>
      <w:tcPr>
        <w:tcBorders>
          <w:top w:val="single" w:sz="18" w:space="0" w:color="808285" w:themeColor="accent3"/>
          <w:left w:val="nil"/>
          <w:bottom w:val="single" w:sz="18" w:space="0" w:color="808285" w:themeColor="accent3"/>
          <w:right w:val="nil"/>
          <w:insideH w:val="single" w:sz="18" w:space="0" w:color="808285" w:themeColor="accent3"/>
          <w:insideV w:val="single" w:sz="18" w:space="0" w:color="808285" w:themeColor="accent3"/>
        </w:tcBorders>
      </w:tcPr>
    </w:tblStylePr>
    <w:tblStylePr w:type="seCell">
      <w:tblPr/>
      <w:tcPr>
        <w:tcBorders>
          <w:top w:val="single" w:sz="12" w:space="0" w:color="808285" w:themeColor="accent3"/>
          <w:left w:val="single" w:sz="12" w:space="0" w:color="808285" w:themeColor="accent3"/>
          <w:bottom w:val="single" w:sz="12" w:space="0" w:color="808285" w:themeColor="accent3"/>
          <w:right w:val="nil"/>
          <w:insideH w:val="nil"/>
          <w:insideV w:val="nil"/>
          <w:tl2br w:val="nil"/>
          <w:tr2bl w:val="nil"/>
        </w:tcBorders>
      </w:tcPr>
    </w:tblStylePr>
    <w:tblStylePr w:type="swCell">
      <w:tblPr/>
      <w:tcPr>
        <w:tcBorders>
          <w:top w:val="single" w:sz="18" w:space="0" w:color="808285" w:themeColor="accent3"/>
          <w:left w:val="nil"/>
          <w:bottom w:val="single" w:sz="18" w:space="0" w:color="808285" w:themeColor="accent3"/>
          <w:right w:val="single" w:sz="18" w:space="0" w:color="808285" w:themeColor="accent3"/>
          <w:insideH w:val="nil"/>
          <w:insideV w:val="nil"/>
          <w:tl2br w:val="nil"/>
          <w:tr2bl w:val="nil"/>
        </w:tcBorders>
      </w:tcPr>
    </w:tblStylePr>
  </w:style>
  <w:style w:type="table" w:styleId="LightGrid-Accent2">
    <w:name w:val="Light Grid Accent 2"/>
    <w:basedOn w:val="TableNormal"/>
    <w:uiPriority w:val="62"/>
    <w:rsid w:val="00462553"/>
    <w:pPr>
      <w:spacing w:before="0" w:after="0" w:line="240" w:lineRule="auto"/>
    </w:pPr>
    <w:tblPr>
      <w:tblStyleRowBandSize w:val="1"/>
      <w:tblStyleColBandSize w:val="1"/>
      <w:tblBorders>
        <w:top w:val="single" w:sz="8" w:space="0" w:color="9DBE3B" w:themeColor="accent2"/>
        <w:left w:val="single" w:sz="8" w:space="0" w:color="9DBE3B" w:themeColor="accent2"/>
        <w:bottom w:val="single" w:sz="8" w:space="0" w:color="9DBE3B" w:themeColor="accent2"/>
        <w:right w:val="single" w:sz="8" w:space="0" w:color="9DBE3B" w:themeColor="accent2"/>
        <w:insideH w:val="single" w:sz="8" w:space="0" w:color="9DBE3B" w:themeColor="accent2"/>
        <w:insideV w:val="single" w:sz="8" w:space="0" w:color="9DB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BE3B" w:themeColor="accent2"/>
          <w:left w:val="single" w:sz="8" w:space="0" w:color="9DBE3B" w:themeColor="accent2"/>
          <w:bottom w:val="single" w:sz="18" w:space="0" w:color="9DBE3B" w:themeColor="accent2"/>
          <w:right w:val="single" w:sz="8" w:space="0" w:color="9DBE3B" w:themeColor="accent2"/>
          <w:insideH w:val="nil"/>
          <w:insideV w:val="single" w:sz="8" w:space="0" w:color="9DB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BE3B" w:themeColor="accent2"/>
          <w:left w:val="single" w:sz="8" w:space="0" w:color="9DBE3B" w:themeColor="accent2"/>
          <w:bottom w:val="single" w:sz="8" w:space="0" w:color="9DBE3B" w:themeColor="accent2"/>
          <w:right w:val="single" w:sz="8" w:space="0" w:color="9DBE3B" w:themeColor="accent2"/>
          <w:insideH w:val="nil"/>
          <w:insideV w:val="single" w:sz="8" w:space="0" w:color="9DB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BE3B" w:themeColor="accent2"/>
          <w:left w:val="single" w:sz="8" w:space="0" w:color="9DBE3B" w:themeColor="accent2"/>
          <w:bottom w:val="single" w:sz="8" w:space="0" w:color="9DBE3B" w:themeColor="accent2"/>
          <w:right w:val="single" w:sz="8" w:space="0" w:color="9DBE3B" w:themeColor="accent2"/>
        </w:tcBorders>
      </w:tcPr>
    </w:tblStylePr>
    <w:tblStylePr w:type="band1Vert">
      <w:tblPr/>
      <w:tcPr>
        <w:tcBorders>
          <w:top w:val="single" w:sz="8" w:space="0" w:color="9DBE3B" w:themeColor="accent2"/>
          <w:left w:val="single" w:sz="8" w:space="0" w:color="9DBE3B" w:themeColor="accent2"/>
          <w:bottom w:val="single" w:sz="8" w:space="0" w:color="9DBE3B" w:themeColor="accent2"/>
          <w:right w:val="single" w:sz="8" w:space="0" w:color="9DBE3B" w:themeColor="accent2"/>
        </w:tcBorders>
        <w:shd w:val="clear" w:color="auto" w:fill="E7EFCD" w:themeFill="accent2" w:themeFillTint="3F"/>
      </w:tcPr>
    </w:tblStylePr>
    <w:tblStylePr w:type="band1Horz">
      <w:tblPr/>
      <w:tcPr>
        <w:tcBorders>
          <w:top w:val="single" w:sz="8" w:space="0" w:color="9DBE3B" w:themeColor="accent2"/>
          <w:left w:val="single" w:sz="8" w:space="0" w:color="9DBE3B" w:themeColor="accent2"/>
          <w:bottom w:val="single" w:sz="8" w:space="0" w:color="9DBE3B" w:themeColor="accent2"/>
          <w:right w:val="single" w:sz="8" w:space="0" w:color="9DBE3B" w:themeColor="accent2"/>
          <w:insideV w:val="single" w:sz="8" w:space="0" w:color="9DBE3B" w:themeColor="accent2"/>
        </w:tcBorders>
        <w:shd w:val="clear" w:color="auto" w:fill="E7EFCD" w:themeFill="accent2" w:themeFillTint="3F"/>
      </w:tcPr>
    </w:tblStylePr>
    <w:tblStylePr w:type="band2Horz">
      <w:tblPr/>
      <w:tcPr>
        <w:tcBorders>
          <w:top w:val="single" w:sz="8" w:space="0" w:color="9DBE3B" w:themeColor="accent2"/>
          <w:left w:val="single" w:sz="8" w:space="0" w:color="9DBE3B" w:themeColor="accent2"/>
          <w:bottom w:val="single" w:sz="8" w:space="0" w:color="9DBE3B" w:themeColor="accent2"/>
          <w:right w:val="single" w:sz="8" w:space="0" w:color="9DBE3B" w:themeColor="accent2"/>
          <w:insideV w:val="single" w:sz="8" w:space="0" w:color="9DBE3B" w:themeColor="accent2"/>
        </w:tcBorders>
      </w:tcPr>
    </w:tblStylePr>
  </w:style>
  <w:style w:type="table" w:styleId="LightGrid-Accent4">
    <w:name w:val="Light Grid Accent 4"/>
    <w:basedOn w:val="TableNormal"/>
    <w:uiPriority w:val="62"/>
    <w:rsid w:val="00462553"/>
    <w:pPr>
      <w:spacing w:before="0" w:after="0" w:line="240" w:lineRule="auto"/>
    </w:pPr>
    <w:tblPr>
      <w:tblStyleRowBandSize w:val="1"/>
      <w:tblStyleColBandSize w:val="1"/>
      <w:tblBorders>
        <w:top w:val="single" w:sz="8" w:space="0" w:color="D5E1AC" w:themeColor="accent4"/>
        <w:left w:val="single" w:sz="8" w:space="0" w:color="D5E1AC" w:themeColor="accent4"/>
        <w:bottom w:val="single" w:sz="8" w:space="0" w:color="D5E1AC" w:themeColor="accent4"/>
        <w:right w:val="single" w:sz="8" w:space="0" w:color="D5E1AC" w:themeColor="accent4"/>
        <w:insideH w:val="single" w:sz="8" w:space="0" w:color="D5E1AC" w:themeColor="accent4"/>
        <w:insideV w:val="single" w:sz="8" w:space="0" w:color="D5E1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E1AC" w:themeColor="accent4"/>
          <w:left w:val="single" w:sz="8" w:space="0" w:color="D5E1AC" w:themeColor="accent4"/>
          <w:bottom w:val="single" w:sz="18" w:space="0" w:color="D5E1AC" w:themeColor="accent4"/>
          <w:right w:val="single" w:sz="8" w:space="0" w:color="D5E1AC" w:themeColor="accent4"/>
          <w:insideH w:val="nil"/>
          <w:insideV w:val="single" w:sz="8" w:space="0" w:color="D5E1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E1AC" w:themeColor="accent4"/>
          <w:left w:val="single" w:sz="8" w:space="0" w:color="D5E1AC" w:themeColor="accent4"/>
          <w:bottom w:val="single" w:sz="8" w:space="0" w:color="D5E1AC" w:themeColor="accent4"/>
          <w:right w:val="single" w:sz="8" w:space="0" w:color="D5E1AC" w:themeColor="accent4"/>
          <w:insideH w:val="nil"/>
          <w:insideV w:val="single" w:sz="8" w:space="0" w:color="D5E1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tcPr>
    </w:tblStylePr>
    <w:tblStylePr w:type="band1Vert">
      <w:tblPr/>
      <w:tcPr>
        <w:tcBorders>
          <w:top w:val="single" w:sz="8" w:space="0" w:color="D5E1AC" w:themeColor="accent4"/>
          <w:left w:val="single" w:sz="8" w:space="0" w:color="D5E1AC" w:themeColor="accent4"/>
          <w:bottom w:val="single" w:sz="8" w:space="0" w:color="D5E1AC" w:themeColor="accent4"/>
          <w:right w:val="single" w:sz="8" w:space="0" w:color="D5E1AC" w:themeColor="accent4"/>
        </w:tcBorders>
        <w:shd w:val="clear" w:color="auto" w:fill="F4F7EA" w:themeFill="accent4" w:themeFillTint="3F"/>
      </w:tcPr>
    </w:tblStylePr>
    <w:tblStylePr w:type="band1Horz">
      <w:tblPr/>
      <w:tcPr>
        <w:tcBorders>
          <w:top w:val="single" w:sz="8" w:space="0" w:color="D5E1AC" w:themeColor="accent4"/>
          <w:left w:val="single" w:sz="8" w:space="0" w:color="D5E1AC" w:themeColor="accent4"/>
          <w:bottom w:val="single" w:sz="8" w:space="0" w:color="D5E1AC" w:themeColor="accent4"/>
          <w:right w:val="single" w:sz="8" w:space="0" w:color="D5E1AC" w:themeColor="accent4"/>
          <w:insideV w:val="single" w:sz="8" w:space="0" w:color="D5E1AC" w:themeColor="accent4"/>
        </w:tcBorders>
        <w:shd w:val="clear" w:color="auto" w:fill="F4F7EA" w:themeFill="accent4" w:themeFillTint="3F"/>
      </w:tcPr>
    </w:tblStylePr>
    <w:tblStylePr w:type="band2Horz">
      <w:tblPr/>
      <w:tcPr>
        <w:tcBorders>
          <w:top w:val="single" w:sz="8" w:space="0" w:color="D5E1AC" w:themeColor="accent4"/>
          <w:left w:val="single" w:sz="8" w:space="0" w:color="D5E1AC" w:themeColor="accent4"/>
          <w:bottom w:val="single" w:sz="8" w:space="0" w:color="D5E1AC" w:themeColor="accent4"/>
          <w:right w:val="single" w:sz="8" w:space="0" w:color="D5E1AC" w:themeColor="accent4"/>
          <w:insideV w:val="single" w:sz="8" w:space="0" w:color="D5E1AC" w:themeColor="accent4"/>
        </w:tcBorders>
      </w:tcPr>
    </w:tblStylePr>
  </w:style>
  <w:style w:type="table" w:styleId="MediumShading1-Accent2">
    <w:name w:val="Medium Shading 1 Accent 2"/>
    <w:basedOn w:val="TableNormal"/>
    <w:uiPriority w:val="63"/>
    <w:rsid w:val="00462553"/>
    <w:pPr>
      <w:spacing w:before="0" w:after="0" w:line="240" w:lineRule="auto"/>
    </w:pPr>
    <w:tblPr>
      <w:tblStyleRowBandSize w:val="1"/>
      <w:tblStyleColBandSize w:val="1"/>
      <w:tblBorders>
        <w:top w:val="single" w:sz="8" w:space="0" w:color="B6D069" w:themeColor="accent2" w:themeTint="BF"/>
        <w:left w:val="single" w:sz="8" w:space="0" w:color="B6D069" w:themeColor="accent2" w:themeTint="BF"/>
        <w:bottom w:val="single" w:sz="8" w:space="0" w:color="B6D069" w:themeColor="accent2" w:themeTint="BF"/>
        <w:right w:val="single" w:sz="8" w:space="0" w:color="B6D069" w:themeColor="accent2" w:themeTint="BF"/>
        <w:insideH w:val="single" w:sz="8" w:space="0" w:color="B6D069" w:themeColor="accent2" w:themeTint="BF"/>
      </w:tblBorders>
    </w:tblPr>
    <w:tblStylePr w:type="firstRow">
      <w:pPr>
        <w:spacing w:before="0" w:after="0" w:line="240" w:lineRule="auto"/>
      </w:pPr>
      <w:rPr>
        <w:b/>
        <w:bCs/>
        <w:color w:val="FFFFFF" w:themeColor="background1"/>
      </w:rPr>
      <w:tblPr/>
      <w:tcPr>
        <w:tcBorders>
          <w:top w:val="single" w:sz="8" w:space="0" w:color="B6D069" w:themeColor="accent2" w:themeTint="BF"/>
          <w:left w:val="single" w:sz="8" w:space="0" w:color="B6D069" w:themeColor="accent2" w:themeTint="BF"/>
          <w:bottom w:val="single" w:sz="8" w:space="0" w:color="B6D069" w:themeColor="accent2" w:themeTint="BF"/>
          <w:right w:val="single" w:sz="8" w:space="0" w:color="B6D069" w:themeColor="accent2" w:themeTint="BF"/>
          <w:insideH w:val="nil"/>
          <w:insideV w:val="nil"/>
        </w:tcBorders>
        <w:shd w:val="clear" w:color="auto" w:fill="9DBE3B" w:themeFill="accent2"/>
      </w:tcPr>
    </w:tblStylePr>
    <w:tblStylePr w:type="lastRow">
      <w:pPr>
        <w:spacing w:before="0" w:after="0" w:line="240" w:lineRule="auto"/>
      </w:pPr>
      <w:rPr>
        <w:b/>
        <w:bCs/>
      </w:rPr>
      <w:tblPr/>
      <w:tcPr>
        <w:tcBorders>
          <w:top w:val="double" w:sz="6" w:space="0" w:color="B6D069" w:themeColor="accent2" w:themeTint="BF"/>
          <w:left w:val="single" w:sz="8" w:space="0" w:color="B6D069" w:themeColor="accent2" w:themeTint="BF"/>
          <w:bottom w:val="single" w:sz="8" w:space="0" w:color="B6D069" w:themeColor="accent2" w:themeTint="BF"/>
          <w:right w:val="single" w:sz="8" w:space="0" w:color="B6D06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7EFCD" w:themeFill="accent2" w:themeFillTint="3F"/>
      </w:tcPr>
    </w:tblStylePr>
    <w:tblStylePr w:type="band1Horz">
      <w:tblPr/>
      <w:tcPr>
        <w:tcBorders>
          <w:insideH w:val="nil"/>
          <w:insideV w:val="nil"/>
        </w:tcBorders>
        <w:shd w:val="clear" w:color="auto" w:fill="E7EFCD" w:themeFill="accent2" w:themeFillTint="3F"/>
      </w:tcPr>
    </w:tblStylePr>
    <w:tblStylePr w:type="band2Horz">
      <w:tblPr/>
      <w:tcPr>
        <w:tcBorders>
          <w:insideH w:val="nil"/>
          <w:insideV w:val="nil"/>
        </w:tcBorders>
      </w:tcPr>
    </w:tblStylePr>
  </w:style>
  <w:style w:type="table" w:styleId="LightList">
    <w:name w:val="Light List"/>
    <w:basedOn w:val="TableNormal"/>
    <w:uiPriority w:val="61"/>
    <w:rsid w:val="00FF6082"/>
    <w:pPr>
      <w:spacing w:before="0" w:after="0" w:line="240" w:lineRule="auto"/>
    </w:pPr>
    <w:tblPr>
      <w:tblStyleRowBandSize w:val="1"/>
      <w:tblStyleColBandSize w:val="1"/>
      <w:tblBorders>
        <w:top w:val="single" w:sz="8" w:space="0" w:color="3F4042" w:themeColor="text1"/>
        <w:left w:val="single" w:sz="8" w:space="0" w:color="3F4042" w:themeColor="text1"/>
        <w:bottom w:val="single" w:sz="8" w:space="0" w:color="3F4042" w:themeColor="text1"/>
        <w:right w:val="single" w:sz="8" w:space="0" w:color="3F4042" w:themeColor="text1"/>
      </w:tblBorders>
    </w:tblPr>
    <w:tblStylePr w:type="firstRow">
      <w:pPr>
        <w:spacing w:before="0" w:after="0" w:line="240" w:lineRule="auto"/>
      </w:pPr>
      <w:rPr>
        <w:b/>
        <w:bCs/>
        <w:color w:val="FFFFFF" w:themeColor="background1"/>
      </w:rPr>
      <w:tblPr/>
      <w:tcPr>
        <w:shd w:val="clear" w:color="auto" w:fill="3F4042" w:themeFill="text1"/>
      </w:tcPr>
    </w:tblStylePr>
    <w:tblStylePr w:type="lastRow">
      <w:pPr>
        <w:spacing w:before="0" w:after="0" w:line="240" w:lineRule="auto"/>
      </w:pPr>
      <w:rPr>
        <w:b/>
        <w:bCs/>
      </w:rPr>
      <w:tblPr/>
      <w:tcPr>
        <w:tcBorders>
          <w:top w:val="double" w:sz="6" w:space="0" w:color="3F4042" w:themeColor="text1"/>
          <w:left w:val="single" w:sz="8" w:space="0" w:color="3F4042" w:themeColor="text1"/>
          <w:bottom w:val="single" w:sz="8" w:space="0" w:color="3F4042" w:themeColor="text1"/>
          <w:right w:val="single" w:sz="8" w:space="0" w:color="3F4042" w:themeColor="text1"/>
        </w:tcBorders>
      </w:tcPr>
    </w:tblStylePr>
    <w:tblStylePr w:type="firstCol">
      <w:rPr>
        <w:b/>
        <w:bCs/>
      </w:rPr>
    </w:tblStylePr>
    <w:tblStylePr w:type="lastCol">
      <w:rPr>
        <w:b/>
        <w:bCs/>
      </w:rPr>
    </w:tblStylePr>
    <w:tblStylePr w:type="band1Vert">
      <w:tblPr/>
      <w:tcPr>
        <w:tcBorders>
          <w:top w:val="single" w:sz="8" w:space="0" w:color="3F4042" w:themeColor="text1"/>
          <w:left w:val="single" w:sz="8" w:space="0" w:color="3F4042" w:themeColor="text1"/>
          <w:bottom w:val="single" w:sz="8" w:space="0" w:color="3F4042" w:themeColor="text1"/>
          <w:right w:val="single" w:sz="8" w:space="0" w:color="3F4042" w:themeColor="text1"/>
        </w:tcBorders>
      </w:tcPr>
    </w:tblStylePr>
    <w:tblStylePr w:type="band1Horz">
      <w:tblPr/>
      <w:tcPr>
        <w:tcBorders>
          <w:top w:val="single" w:sz="8" w:space="0" w:color="3F4042" w:themeColor="text1"/>
          <w:left w:val="single" w:sz="8" w:space="0" w:color="3F4042" w:themeColor="text1"/>
          <w:bottom w:val="single" w:sz="8" w:space="0" w:color="3F4042" w:themeColor="text1"/>
          <w:right w:val="single" w:sz="8" w:space="0" w:color="3F4042" w:themeColor="text1"/>
        </w:tcBorders>
      </w:tcPr>
    </w:tblStylePr>
  </w:style>
  <w:style w:type="paragraph" w:customStyle="1" w:styleId="TableBody0">
    <w:name w:val="Table Body"/>
    <w:basedOn w:val="Body"/>
    <w:rsid w:val="007C52CC"/>
    <w:pPr>
      <w:spacing w:before="80" w:after="80" w:line="22" w:lineRule="exact"/>
    </w:pPr>
    <w:rPr>
      <w:bCs/>
      <w:sz w:val="20"/>
    </w:rPr>
  </w:style>
  <w:style w:type="table" w:customStyle="1" w:styleId="ListTable2-Accent11">
    <w:name w:val="List Table 2 - Accent 11"/>
    <w:basedOn w:val="TableNormal"/>
    <w:uiPriority w:val="47"/>
    <w:rsid w:val="007A56A9"/>
    <w:pPr>
      <w:spacing w:after="0" w:line="240" w:lineRule="auto"/>
    </w:pPr>
    <w:tblPr>
      <w:tblStyleRowBandSize w:val="1"/>
      <w:tblStyleColBandSize w:val="1"/>
      <w:tblBorders>
        <w:top w:val="single" w:sz="4" w:space="0" w:color="0098F3" w:themeColor="accent1" w:themeTint="99"/>
        <w:bottom w:val="single" w:sz="4" w:space="0" w:color="0098F3" w:themeColor="accent1" w:themeTint="99"/>
        <w:insideH w:val="single" w:sz="4" w:space="0" w:color="0098F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DDFF" w:themeFill="accent1" w:themeFillTint="33"/>
      </w:tcPr>
    </w:tblStylePr>
    <w:tblStylePr w:type="band1Horz">
      <w:tblPr/>
      <w:tcPr>
        <w:shd w:val="clear" w:color="auto" w:fill="A6DDFF" w:themeFill="accent1" w:themeFillTint="33"/>
      </w:tcPr>
    </w:tblStylePr>
  </w:style>
  <w:style w:type="table" w:customStyle="1" w:styleId="TableGridLight1">
    <w:name w:val="Table Grid Light1"/>
    <w:basedOn w:val="TableNormal"/>
    <w:uiPriority w:val="40"/>
    <w:rsid w:val="002410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LTable3">
    <w:name w:val="ML Table 3"/>
    <w:basedOn w:val="TableNormal"/>
    <w:uiPriority w:val="99"/>
    <w:rsid w:val="002410FD"/>
    <w:pPr>
      <w:spacing w:before="0" w:after="0" w:line="240" w:lineRule="auto"/>
    </w:pPr>
    <w:rPr>
      <w:color w:val="404142" w:themeColor="accent3" w:themeShade="80"/>
      <w:sz w:val="20"/>
    </w:rPr>
    <w:tblPr>
      <w:tblStyleRowBandSize w:val="1"/>
    </w:tblPr>
    <w:tblStylePr w:type="firstRow">
      <w:pPr>
        <w:wordWrap/>
        <w:spacing w:beforeLines="0" w:before="60" w:beforeAutospacing="0" w:afterLines="0" w:after="60" w:afterAutospacing="0" w:line="240" w:lineRule="auto"/>
      </w:pPr>
      <w:rPr>
        <w:rFonts w:ascii="Calibri" w:hAnsi="Calibri"/>
        <w:b/>
        <w:color w:val="FFFFFF" w:themeColor="background1"/>
        <w:sz w:val="20"/>
      </w:rPr>
      <w:tblPr/>
      <w:tcPr>
        <w:tcBorders>
          <w:top w:val="nil"/>
          <w:left w:val="nil"/>
          <w:bottom w:val="nil"/>
          <w:right w:val="nil"/>
          <w:insideH w:val="nil"/>
          <w:insideV w:val="single" w:sz="4" w:space="0" w:color="808285" w:themeColor="accent3"/>
          <w:tl2br w:val="nil"/>
          <w:tr2bl w:val="nil"/>
        </w:tcBorders>
        <w:shd w:val="clear" w:color="auto" w:fill="9DBE3B" w:themeFill="accent2"/>
      </w:tcPr>
    </w:tblStylePr>
    <w:tblStylePr w:type="firstCol">
      <w:rPr>
        <w:b/>
      </w:rPr>
    </w:tblStylePr>
    <w:tblStylePr w:type="band1Horz">
      <w:rPr>
        <w:rFonts w:asciiTheme="minorHAnsi" w:hAnsiTheme="minorHAnsi"/>
        <w:sz w:val="20"/>
      </w:rPr>
      <w:tblPr/>
      <w:tcPr>
        <w:tcBorders>
          <w:insideV w:val="single" w:sz="4" w:space="0" w:color="808285" w:themeColor="accent3"/>
        </w:tcBorders>
        <w:shd w:val="clear" w:color="auto" w:fill="E5E5E6" w:themeFill="accent3" w:themeFillTint="33"/>
      </w:tcPr>
    </w:tblStylePr>
    <w:tblStylePr w:type="band2Horz">
      <w:rPr>
        <w:rFonts w:asciiTheme="minorHAnsi" w:hAnsiTheme="minorHAnsi"/>
        <w:sz w:val="20"/>
      </w:rPr>
      <w:tblPr/>
      <w:trPr>
        <w:cantSplit/>
      </w:trPr>
      <w:tcPr>
        <w:tcBorders>
          <w:insideV w:val="single" w:sz="4" w:space="0" w:color="808285" w:themeColor="accent3"/>
        </w:tcBorders>
        <w:shd w:val="clear" w:color="auto" w:fill="F2F2F2" w:themeFill="background1" w:themeFillShade="F2"/>
      </w:tcPr>
    </w:tblStylePr>
  </w:style>
  <w:style w:type="table" w:customStyle="1" w:styleId="MLTable4">
    <w:name w:val="ML Table 4"/>
    <w:basedOn w:val="TableNormal"/>
    <w:uiPriority w:val="99"/>
    <w:rsid w:val="00647CDD"/>
    <w:pPr>
      <w:spacing w:before="0" w:after="0" w:line="240" w:lineRule="auto"/>
    </w:pPr>
    <w:rPr>
      <w:color w:val="404142" w:themeColor="accent3" w:themeShade="80"/>
      <w:sz w:val="20"/>
    </w:rPr>
    <w:tblPr>
      <w:tblStyleRowBandSize w:val="1"/>
      <w:tblBorders>
        <w:bottom w:val="single" w:sz="4" w:space="0" w:color="9DBE3B" w:themeColor="accent2"/>
      </w:tblBorders>
    </w:tblPr>
    <w:tblStylePr w:type="firstRow">
      <w:rPr>
        <w:rFonts w:asciiTheme="minorHAnsi" w:hAnsiTheme="minorHAnsi"/>
        <w:b/>
        <w:color w:val="FFFFFF" w:themeColor="background1"/>
        <w:sz w:val="20"/>
      </w:rPr>
      <w:tblPr/>
      <w:tcPr>
        <w:shd w:val="clear" w:color="auto" w:fill="9DBE3B" w:themeFill="accent2"/>
      </w:tcPr>
    </w:tblStylePr>
    <w:tblStylePr w:type="firstCol">
      <w:rPr>
        <w:rFonts w:asciiTheme="minorHAnsi" w:hAnsiTheme="minorHAnsi"/>
        <w:b/>
        <w:sz w:val="20"/>
      </w:rPr>
    </w:tblStylePr>
    <w:tblStylePr w:type="band1Horz">
      <w:pPr>
        <w:jc w:val="left"/>
      </w:pPr>
      <w:rPr>
        <w:rFonts w:asciiTheme="minorHAnsi" w:hAnsiTheme="minorHAnsi"/>
        <w:sz w:val="20"/>
      </w:rPr>
      <w:tblPr/>
      <w:tcPr>
        <w:shd w:val="clear" w:color="auto" w:fill="EBF2D7" w:themeFill="accent2" w:themeFillTint="33"/>
        <w:vAlign w:val="center"/>
      </w:tcPr>
    </w:tblStylePr>
    <w:tblStylePr w:type="band2Horz">
      <w:rPr>
        <w:rFonts w:asciiTheme="minorHAnsi" w:hAnsiTheme="minorHAnsi"/>
        <w:sz w:val="20"/>
      </w:rPr>
    </w:tblStylePr>
  </w:style>
  <w:style w:type="table" w:customStyle="1" w:styleId="MLTable5">
    <w:name w:val="ML Table 5"/>
    <w:basedOn w:val="TableNormal"/>
    <w:uiPriority w:val="99"/>
    <w:rsid w:val="00647CDD"/>
    <w:pPr>
      <w:spacing w:before="0" w:after="0" w:line="240" w:lineRule="auto"/>
    </w:pPr>
    <w:rPr>
      <w:color w:val="404142" w:themeColor="accent3" w:themeShade="80"/>
      <w:sz w:val="20"/>
    </w:rPr>
    <w:tblPr>
      <w:tblBorders>
        <w:top w:val="single" w:sz="4" w:space="0" w:color="808285" w:themeColor="accent3"/>
        <w:bottom w:val="single" w:sz="4" w:space="0" w:color="808285" w:themeColor="accent3"/>
        <w:insideH w:val="single" w:sz="4" w:space="0" w:color="808285" w:themeColor="accent3"/>
        <w:insideV w:val="single" w:sz="4" w:space="0" w:color="808285" w:themeColor="accent3"/>
      </w:tblBorders>
    </w:tblPr>
    <w:tblStylePr w:type="firstRow">
      <w:rPr>
        <w:rFonts w:asciiTheme="minorHAnsi" w:hAnsiTheme="minorHAnsi"/>
        <w:b/>
        <w:color w:val="FFFFFF" w:themeColor="background1"/>
        <w:sz w:val="20"/>
      </w:rPr>
      <w:tblPr/>
      <w:tcPr>
        <w:shd w:val="clear" w:color="auto" w:fill="002941" w:themeFill="accent1"/>
      </w:tcPr>
    </w:tblStylePr>
    <w:tblStylePr w:type="firstCol">
      <w:rPr>
        <w:rFonts w:asciiTheme="minorHAnsi" w:hAnsiTheme="minorHAnsi"/>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941831">
      <w:bodyDiv w:val="1"/>
      <w:marLeft w:val="0"/>
      <w:marRight w:val="0"/>
      <w:marTop w:val="0"/>
      <w:marBottom w:val="0"/>
      <w:divBdr>
        <w:top w:val="none" w:sz="0" w:space="0" w:color="auto"/>
        <w:left w:val="none" w:sz="0" w:space="0" w:color="auto"/>
        <w:bottom w:val="none" w:sz="0" w:space="0" w:color="auto"/>
        <w:right w:val="none" w:sz="0" w:space="0" w:color="auto"/>
      </w:divBdr>
    </w:div>
    <w:div w:id="576744089">
      <w:bodyDiv w:val="1"/>
      <w:marLeft w:val="0"/>
      <w:marRight w:val="0"/>
      <w:marTop w:val="0"/>
      <w:marBottom w:val="0"/>
      <w:divBdr>
        <w:top w:val="none" w:sz="0" w:space="0" w:color="auto"/>
        <w:left w:val="none" w:sz="0" w:space="0" w:color="auto"/>
        <w:bottom w:val="none" w:sz="0" w:space="0" w:color="auto"/>
        <w:right w:val="none" w:sz="0" w:space="0" w:color="auto"/>
      </w:divBdr>
    </w:div>
    <w:div w:id="579294087">
      <w:bodyDiv w:val="1"/>
      <w:marLeft w:val="0"/>
      <w:marRight w:val="0"/>
      <w:marTop w:val="0"/>
      <w:marBottom w:val="0"/>
      <w:divBdr>
        <w:top w:val="none" w:sz="0" w:space="0" w:color="auto"/>
        <w:left w:val="none" w:sz="0" w:space="0" w:color="auto"/>
        <w:bottom w:val="none" w:sz="0" w:space="0" w:color="auto"/>
        <w:right w:val="none" w:sz="0" w:space="0" w:color="auto"/>
      </w:divBdr>
    </w:div>
    <w:div w:id="1976250184">
      <w:bodyDiv w:val="1"/>
      <w:marLeft w:val="0"/>
      <w:marRight w:val="0"/>
      <w:marTop w:val="0"/>
      <w:marBottom w:val="0"/>
      <w:divBdr>
        <w:top w:val="none" w:sz="0" w:space="0" w:color="auto"/>
        <w:left w:val="none" w:sz="0" w:space="0" w:color="auto"/>
        <w:bottom w:val="none" w:sz="0" w:space="0" w:color="auto"/>
        <w:right w:val="none" w:sz="0" w:space="0" w:color="auto"/>
      </w:divBdr>
    </w:div>
    <w:div w:id="1993370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chart" Target="charts/chart8.xml"/><Relationship Id="rId21" Type="http://schemas.openxmlformats.org/officeDocument/2006/relationships/image" Target="media/image4.png"/><Relationship Id="rId34" Type="http://schemas.openxmlformats.org/officeDocument/2006/relationships/chart" Target="charts/chart5.xml"/><Relationship Id="rId42" Type="http://schemas.openxmlformats.org/officeDocument/2006/relationships/chart" Target="charts/chart11.xml"/><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chart" Target="charts/chart10.xml"/><Relationship Id="rId54" Type="http://schemas.openxmlformats.org/officeDocument/2006/relationships/chart" Target="charts/chart2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chart" Target="charts/chart3.xml"/><Relationship Id="rId37" Type="http://schemas.openxmlformats.org/officeDocument/2006/relationships/image" Target="media/image13.png"/><Relationship Id="rId40" Type="http://schemas.openxmlformats.org/officeDocument/2006/relationships/chart" Target="charts/chart9.xml"/><Relationship Id="rId45" Type="http://schemas.openxmlformats.org/officeDocument/2006/relationships/chart" Target="charts/chart14.xml"/><Relationship Id="rId53" Type="http://schemas.openxmlformats.org/officeDocument/2006/relationships/chart" Target="charts/chart21.xml"/><Relationship Id="rId58"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chart" Target="charts/chart7.xml"/><Relationship Id="rId49" Type="http://schemas.openxmlformats.org/officeDocument/2006/relationships/chart" Target="charts/chart17.xml"/><Relationship Id="rId57" Type="http://schemas.openxmlformats.org/officeDocument/2006/relationships/chart" Target="charts/chart24.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chart" Target="charts/chart2.xml"/><Relationship Id="rId44" Type="http://schemas.openxmlformats.org/officeDocument/2006/relationships/chart" Target="charts/chart13.xml"/><Relationship Id="rId52" Type="http://schemas.openxmlformats.org/officeDocument/2006/relationships/chart" Target="charts/chart20.xml"/><Relationship Id="rId60" Type="http://schemas.openxmlformats.org/officeDocument/2006/relationships/chart" Target="charts/chart2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2.xml"/><Relationship Id="rId48" Type="http://schemas.openxmlformats.org/officeDocument/2006/relationships/chart" Target="charts/chart16.xml"/><Relationship Id="rId56" Type="http://schemas.openxmlformats.org/officeDocument/2006/relationships/image" Target="media/image15.emf"/><Relationship Id="rId8" Type="http://schemas.openxmlformats.org/officeDocument/2006/relationships/settings" Target="settings.xml"/><Relationship Id="rId51" Type="http://schemas.openxmlformats.org/officeDocument/2006/relationships/chart" Target="charts/chart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chart" Target="charts/chart4.xml"/><Relationship Id="rId38" Type="http://schemas.microsoft.com/office/2007/relationships/hdphoto" Target="media/hdphoto1.wdp"/><Relationship Id="rId46" Type="http://schemas.openxmlformats.org/officeDocument/2006/relationships/image" Target="media/image14.gif"/><Relationship Id="rId59"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cfarland\Desktop\New%20styles\ML%20template%20for%20word%20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erver\data\Projects\Projects%20-%20MLA\2366%20-%20DIA%20-%20Cost%20Modelling%20Analysis\File%20Notes%20&amp;%20General\All%20councils%20rati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File%20Notes%20&amp;%20General\All%20councils%20ratio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File%20Notes%20&amp;%20General\All%20councils%20ratio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File%20Notes%20&amp;%20General\outside%20model%20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File%20Notes%20&amp;%20General\outside%20model%20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data\Projects\Projects%20-%20MLA\2366%20-%20DIA%20-%20Cost%20Modelling%20Analysis\Reports\24%20July%20updates\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0957452880659E-2"/>
          <c:y val="8.2955071792496532E-2"/>
          <c:w val="0.90976549890696867"/>
          <c:h val="0.75277768091034336"/>
        </c:manualLayout>
      </c:layout>
      <c:lineChart>
        <c:grouping val="standard"/>
        <c:varyColors val="0"/>
        <c:ser>
          <c:idx val="0"/>
          <c:order val="0"/>
          <c:tx>
            <c:strRef>
              <c:f>'Revenue sources'!$A$3</c:f>
              <c:strCache>
                <c:ptCount val="1"/>
                <c:pt idx="0">
                  <c:v>Grants and subsidies as % of total revenue</c:v>
                </c:pt>
              </c:strCache>
            </c:strRef>
          </c:tx>
          <c:marker>
            <c:symbol val="none"/>
          </c:marker>
          <c:cat>
            <c:numRef>
              <c:f>'Revenue sources'!$B$2:$L$2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'Revenue sources'!$B$3:$L$3</c:f>
              <c:numCache>
                <c:formatCode>General</c:formatCode>
                <c:ptCount val="11"/>
                <c:pt idx="0">
                  <c:v>0.13066246515768895</c:v>
                </c:pt>
                <c:pt idx="1">
                  <c:v>0.13071005133837707</c:v>
                </c:pt>
                <c:pt idx="2">
                  <c:v>0.13379461779636234</c:v>
                </c:pt>
                <c:pt idx="3">
                  <c:v>0.17744459645803926</c:v>
                </c:pt>
                <c:pt idx="4">
                  <c:v>0.16274754839770322</c:v>
                </c:pt>
                <c:pt idx="5">
                  <c:v>0.14188748617619465</c:v>
                </c:pt>
                <c:pt idx="6">
                  <c:v>0.12305329006963277</c:v>
                </c:pt>
                <c:pt idx="7">
                  <c:v>0.11733712677806916</c:v>
                </c:pt>
                <c:pt idx="8">
                  <c:v>0.12141451241376126</c:v>
                </c:pt>
                <c:pt idx="9">
                  <c:v>0.11265486606905629</c:v>
                </c:pt>
                <c:pt idx="10">
                  <c:v>0.11341619311350391</c:v>
                </c:pt>
              </c:numCache>
            </c:numRef>
          </c:val>
          <c:smooth val="0"/>
          <c:extLst xmlns:c16r2="http://schemas.microsoft.com/office/drawing/2015/06/chart">
            <c:ext xmlns:c16="http://schemas.microsoft.com/office/drawing/2014/chart" uri="{C3380CC4-5D6E-409C-BE32-E72D297353CC}">
              <c16:uniqueId val="{00000000-1E58-4931-88FD-BBA98FD8578D}"/>
            </c:ext>
          </c:extLst>
        </c:ser>
        <c:ser>
          <c:idx val="1"/>
          <c:order val="1"/>
          <c:tx>
            <c:strRef>
              <c:f>'Revenue sources'!$A$4</c:f>
              <c:strCache>
                <c:ptCount val="1"/>
                <c:pt idx="0">
                  <c:v>Other income as % of total revenue</c:v>
                </c:pt>
              </c:strCache>
            </c:strRef>
          </c:tx>
          <c:marker>
            <c:symbol val="none"/>
          </c:marker>
          <c:cat>
            <c:numRef>
              <c:f>'Revenue sources'!$B$2:$L$2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'Revenue sources'!$B$4:$L$4</c:f>
              <c:numCache>
                <c:formatCode>General</c:formatCode>
                <c:ptCount val="11"/>
                <c:pt idx="0">
                  <c:v>0.27657811338704696</c:v>
                </c:pt>
                <c:pt idx="1">
                  <c:v>0.23852846670991973</c:v>
                </c:pt>
                <c:pt idx="2">
                  <c:v>0.25691874109100882</c:v>
                </c:pt>
                <c:pt idx="3">
                  <c:v>0.24124827367532328</c:v>
                </c:pt>
                <c:pt idx="4">
                  <c:v>0.23557130147447464</c:v>
                </c:pt>
                <c:pt idx="5">
                  <c:v>0.23787926036475499</c:v>
                </c:pt>
                <c:pt idx="6">
                  <c:v>0.23785149909812636</c:v>
                </c:pt>
                <c:pt idx="7">
                  <c:v>0.234926313331038</c:v>
                </c:pt>
                <c:pt idx="8">
                  <c:v>0.23260332004914241</c:v>
                </c:pt>
                <c:pt idx="9">
                  <c:v>0.2348176587431352</c:v>
                </c:pt>
                <c:pt idx="10">
                  <c:v>0.23335157235954559</c:v>
                </c:pt>
              </c:numCache>
            </c:numRef>
          </c:val>
          <c:smooth val="0"/>
          <c:extLst xmlns:c16r2="http://schemas.microsoft.com/office/drawing/2015/06/chart">
            <c:ext xmlns:c16="http://schemas.microsoft.com/office/drawing/2014/chart" uri="{C3380CC4-5D6E-409C-BE32-E72D297353CC}">
              <c16:uniqueId val="{00000001-1E58-4931-88FD-BBA98FD8578D}"/>
            </c:ext>
          </c:extLst>
        </c:ser>
        <c:ser>
          <c:idx val="2"/>
          <c:order val="2"/>
          <c:tx>
            <c:strRef>
              <c:f>'Revenue sources'!$A$5</c:f>
              <c:strCache>
                <c:ptCount val="1"/>
                <c:pt idx="0">
                  <c:v>Rates as % of total revenue</c:v>
                </c:pt>
              </c:strCache>
            </c:strRef>
          </c:tx>
          <c:marker>
            <c:symbol val="none"/>
          </c:marker>
          <c:cat>
            <c:numRef>
              <c:f>'Revenue sources'!$B$2:$L$2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'Revenue sources'!$B$5:$L$5</c:f>
              <c:numCache>
                <c:formatCode>General</c:formatCode>
                <c:ptCount val="11"/>
                <c:pt idx="0">
                  <c:v>0.56085188354656101</c:v>
                </c:pt>
                <c:pt idx="1">
                  <c:v>0.60704150409142443</c:v>
                </c:pt>
                <c:pt idx="2">
                  <c:v>0.59030996721376605</c:v>
                </c:pt>
                <c:pt idx="3">
                  <c:v>0.58130712986663746</c:v>
                </c:pt>
                <c:pt idx="4">
                  <c:v>0.6016811501278222</c:v>
                </c:pt>
                <c:pt idx="5">
                  <c:v>0.62023325345905034</c:v>
                </c:pt>
                <c:pt idx="6">
                  <c:v>0.63909521083224086</c:v>
                </c:pt>
                <c:pt idx="7">
                  <c:v>0.64773655989089274</c:v>
                </c:pt>
                <c:pt idx="8">
                  <c:v>0.64598216753709647</c:v>
                </c:pt>
                <c:pt idx="9">
                  <c:v>0.65252747518780851</c:v>
                </c:pt>
                <c:pt idx="10">
                  <c:v>0.65323223452695034</c:v>
                </c:pt>
              </c:numCache>
            </c:numRef>
          </c:val>
          <c:smooth val="0"/>
          <c:extLst xmlns:c16r2="http://schemas.microsoft.com/office/drawing/2015/06/chart">
            <c:ext xmlns:c16="http://schemas.microsoft.com/office/drawing/2014/chart" uri="{C3380CC4-5D6E-409C-BE32-E72D297353CC}">
              <c16:uniqueId val="{00000002-1E58-4931-88FD-BBA98FD8578D}"/>
            </c:ext>
          </c:extLst>
        </c:ser>
        <c:dLbls>
          <c:showLegendKey val="0"/>
          <c:showVal val="0"/>
          <c:showCatName val="0"/>
          <c:showSerName val="0"/>
          <c:showPercent val="0"/>
          <c:showBubbleSize val="0"/>
        </c:dLbls>
        <c:marker val="1"/>
        <c:smooth val="0"/>
        <c:axId val="109305216"/>
        <c:axId val="34043008"/>
      </c:lineChart>
      <c:catAx>
        <c:axId val="109305216"/>
        <c:scaling>
          <c:orientation val="minMax"/>
        </c:scaling>
        <c:delete val="0"/>
        <c:axPos val="b"/>
        <c:numFmt formatCode="General" sourceLinked="1"/>
        <c:majorTickMark val="out"/>
        <c:minorTickMark val="none"/>
        <c:tickLblPos val="nextTo"/>
        <c:crossAx val="34043008"/>
        <c:crosses val="autoZero"/>
        <c:auto val="1"/>
        <c:lblAlgn val="ctr"/>
        <c:lblOffset val="100"/>
        <c:noMultiLvlLbl val="0"/>
      </c:catAx>
      <c:valAx>
        <c:axId val="34043008"/>
        <c:scaling>
          <c:orientation val="minMax"/>
        </c:scaling>
        <c:delete val="0"/>
        <c:axPos val="l"/>
        <c:majorGridlines/>
        <c:numFmt formatCode="0%" sourceLinked="0"/>
        <c:majorTickMark val="out"/>
        <c:minorTickMark val="none"/>
        <c:tickLblPos val="nextTo"/>
        <c:crossAx val="109305216"/>
        <c:crosses val="autoZero"/>
        <c:crossBetween val="between"/>
      </c:valAx>
    </c:plotArea>
    <c:legend>
      <c:legendPos val="b"/>
      <c:layout>
        <c:manualLayout>
          <c:xMode val="edge"/>
          <c:yMode val="edge"/>
          <c:x val="1.7089121860674388E-2"/>
          <c:y val="0.90836061222684228"/>
          <c:w val="0.96636436272991477"/>
          <c:h val="8.4827072545264989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0957452880659E-2"/>
          <c:y val="8.9255527564241363E-2"/>
          <c:w val="0.90976549890696867"/>
          <c:h val="0.828249473920321"/>
        </c:manualLayout>
      </c:layout>
      <c:lineChart>
        <c:grouping val="standard"/>
        <c:varyColors val="0"/>
        <c:ser>
          <c:idx val="0"/>
          <c:order val="0"/>
          <c:tx>
            <c:strRef>
              <c:f>'Depreciation % opex'!$A$5</c:f>
              <c:strCache>
                <c:ptCount val="1"/>
                <c:pt idx="0">
                  <c:v>Auckland</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opex'!$B$5:$L$5</c:f>
              <c:numCache>
                <c:formatCode>General</c:formatCode>
                <c:ptCount val="11"/>
                <c:pt idx="0">
                  <c:v>0.22369177688326625</c:v>
                </c:pt>
                <c:pt idx="1">
                  <c:v>0.23965267727930537</c:v>
                </c:pt>
                <c:pt idx="2">
                  <c:v>0.23066772235418317</c:v>
                </c:pt>
                <c:pt idx="3">
                  <c:v>0.24122072082543941</c:v>
                </c:pt>
                <c:pt idx="4">
                  <c:v>0.24434040561282255</c:v>
                </c:pt>
                <c:pt idx="5">
                  <c:v>0.24404090236708259</c:v>
                </c:pt>
                <c:pt idx="6">
                  <c:v>0.24171515882373015</c:v>
                </c:pt>
                <c:pt idx="7">
                  <c:v>0.24334096857876869</c:v>
                </c:pt>
                <c:pt idx="8">
                  <c:v>0.24640484727201978</c:v>
                </c:pt>
                <c:pt idx="9">
                  <c:v>0.24899860910472529</c:v>
                </c:pt>
                <c:pt idx="10">
                  <c:v>0.24848331215308911</c:v>
                </c:pt>
              </c:numCache>
            </c:numRef>
          </c:val>
          <c:smooth val="0"/>
          <c:extLst xmlns:c16r2="http://schemas.microsoft.com/office/drawing/2015/06/chart">
            <c:ext xmlns:c16="http://schemas.microsoft.com/office/drawing/2014/chart" uri="{C3380CC4-5D6E-409C-BE32-E72D297353CC}">
              <c16:uniqueId val="{00000000-6B7F-4F6F-9608-92BC1E283676}"/>
            </c:ext>
          </c:extLst>
        </c:ser>
        <c:ser>
          <c:idx val="1"/>
          <c:order val="1"/>
          <c:tx>
            <c:strRef>
              <c:f>'Depreciation % opex'!$A$6</c:f>
              <c:strCache>
                <c:ptCount val="1"/>
                <c:pt idx="0">
                  <c:v>CHBDC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opex'!$B$6:$L$6</c:f>
              <c:numCache>
                <c:formatCode>General</c:formatCode>
                <c:ptCount val="11"/>
                <c:pt idx="0">
                  <c:v>0.42384514816966878</c:v>
                </c:pt>
                <c:pt idx="1">
                  <c:v>0.42219000276166807</c:v>
                </c:pt>
                <c:pt idx="2">
                  <c:v>0.40497639060982554</c:v>
                </c:pt>
                <c:pt idx="3">
                  <c:v>0.44121325828642904</c:v>
                </c:pt>
                <c:pt idx="4">
                  <c:v>0.43885013882305141</c:v>
                </c:pt>
                <c:pt idx="5">
                  <c:v>0.43753289473684209</c:v>
                </c:pt>
                <c:pt idx="6">
                  <c:v>0.44085098263690137</c:v>
                </c:pt>
                <c:pt idx="7">
                  <c:v>0.44163321196277971</c:v>
                </c:pt>
                <c:pt idx="8">
                  <c:v>0.44037308461025981</c:v>
                </c:pt>
                <c:pt idx="9">
                  <c:v>0.4407522046370379</c:v>
                </c:pt>
                <c:pt idx="10">
                  <c:v>0.4384496743973495</c:v>
                </c:pt>
              </c:numCache>
            </c:numRef>
          </c:val>
          <c:smooth val="0"/>
          <c:extLst xmlns:c16r2="http://schemas.microsoft.com/office/drawing/2015/06/chart">
            <c:ext xmlns:c16="http://schemas.microsoft.com/office/drawing/2014/chart" uri="{C3380CC4-5D6E-409C-BE32-E72D297353CC}">
              <c16:uniqueId val="{00000001-6B7F-4F6F-9608-92BC1E283676}"/>
            </c:ext>
          </c:extLst>
        </c:ser>
        <c:ser>
          <c:idx val="2"/>
          <c:order val="2"/>
          <c:tx>
            <c:strRef>
              <c:f>'Depreciation % opex'!$A$7</c:f>
              <c:strCache>
                <c:ptCount val="1"/>
                <c:pt idx="0">
                  <c:v>DunedinCC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opex'!$B$7:$L$7</c:f>
              <c:numCache>
                <c:formatCode>General</c:formatCode>
                <c:ptCount val="11"/>
                <c:pt idx="0">
                  <c:v>0.23302160508684483</c:v>
                </c:pt>
                <c:pt idx="1">
                  <c:v>0.25580056918085087</c:v>
                </c:pt>
                <c:pt idx="2">
                  <c:v>0.25791596398336269</c:v>
                </c:pt>
                <c:pt idx="3">
                  <c:v>0.25201187437232614</c:v>
                </c:pt>
                <c:pt idx="4">
                  <c:v>0.25174236440803005</c:v>
                </c:pt>
                <c:pt idx="5">
                  <c:v>0.25354108244236939</c:v>
                </c:pt>
                <c:pt idx="6">
                  <c:v>0.25723955448895452</c:v>
                </c:pt>
                <c:pt idx="7">
                  <c:v>0.25936002176470119</c:v>
                </c:pt>
                <c:pt idx="8">
                  <c:v>0.25610348121584164</c:v>
                </c:pt>
                <c:pt idx="9">
                  <c:v>0.25516625803608756</c:v>
                </c:pt>
                <c:pt idx="10">
                  <c:v>0.25507374468320165</c:v>
                </c:pt>
              </c:numCache>
            </c:numRef>
          </c:val>
          <c:smooth val="0"/>
          <c:extLst xmlns:c16r2="http://schemas.microsoft.com/office/drawing/2015/06/chart">
            <c:ext xmlns:c16="http://schemas.microsoft.com/office/drawing/2014/chart" uri="{C3380CC4-5D6E-409C-BE32-E72D297353CC}">
              <c16:uniqueId val="{00000002-6B7F-4F6F-9608-92BC1E283676}"/>
            </c:ext>
          </c:extLst>
        </c:ser>
        <c:ser>
          <c:idx val="3"/>
          <c:order val="3"/>
          <c:tx>
            <c:strRef>
              <c:f>'Depreciation % opex'!$A$8</c:f>
              <c:strCache>
                <c:ptCount val="1"/>
                <c:pt idx="0">
                  <c:v>GisborneDC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opex'!$B$8:$L$8</c:f>
              <c:numCache>
                <c:formatCode>General</c:formatCode>
                <c:ptCount val="11"/>
                <c:pt idx="0">
                  <c:v>0.2335011485223932</c:v>
                </c:pt>
                <c:pt idx="1">
                  <c:v>0.23414617055567236</c:v>
                </c:pt>
                <c:pt idx="2">
                  <c:v>0.20896684945164506</c:v>
                </c:pt>
                <c:pt idx="3">
                  <c:v>0.24710724902812714</c:v>
                </c:pt>
                <c:pt idx="4">
                  <c:v>0.25087766981495324</c:v>
                </c:pt>
                <c:pt idx="5">
                  <c:v>0.25290972695870279</c:v>
                </c:pt>
                <c:pt idx="6">
                  <c:v>0.25401657002604472</c:v>
                </c:pt>
                <c:pt idx="7">
                  <c:v>0.2540595645525377</c:v>
                </c:pt>
                <c:pt idx="8">
                  <c:v>0.25142983728048979</c:v>
                </c:pt>
                <c:pt idx="9">
                  <c:v>0.2485089463220676</c:v>
                </c:pt>
                <c:pt idx="10">
                  <c:v>0.24572081725960851</c:v>
                </c:pt>
              </c:numCache>
            </c:numRef>
          </c:val>
          <c:smooth val="0"/>
          <c:extLst xmlns:c16r2="http://schemas.microsoft.com/office/drawing/2015/06/chart">
            <c:ext xmlns:c16="http://schemas.microsoft.com/office/drawing/2014/chart" uri="{C3380CC4-5D6E-409C-BE32-E72D297353CC}">
              <c16:uniqueId val="{00000003-6B7F-4F6F-9608-92BC1E283676}"/>
            </c:ext>
          </c:extLst>
        </c:ser>
        <c:ser>
          <c:idx val="4"/>
          <c:order val="4"/>
          <c:tx>
            <c:strRef>
              <c:f>'Depreciation % opex'!$A$9</c:f>
              <c:strCache>
                <c:ptCount val="1"/>
                <c:pt idx="0">
                  <c:v>HamiltonCC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opex'!$B$9:$L$9</c:f>
              <c:numCache>
                <c:formatCode>General</c:formatCode>
                <c:ptCount val="11"/>
                <c:pt idx="0">
                  <c:v>0.27022640743903414</c:v>
                </c:pt>
                <c:pt idx="1">
                  <c:v>0.2531838658983761</c:v>
                </c:pt>
                <c:pt idx="2">
                  <c:v>0.27317529631940113</c:v>
                </c:pt>
                <c:pt idx="3">
                  <c:v>0.26457016045229581</c:v>
                </c:pt>
                <c:pt idx="4">
                  <c:v>0.26527623428871716</c:v>
                </c:pt>
                <c:pt idx="5">
                  <c:v>0.26698256910541662</c:v>
                </c:pt>
                <c:pt idx="6">
                  <c:v>0.26247575019606223</c:v>
                </c:pt>
                <c:pt idx="7">
                  <c:v>0.25758449374837095</c:v>
                </c:pt>
                <c:pt idx="8">
                  <c:v>0.26213836672877067</c:v>
                </c:pt>
                <c:pt idx="9">
                  <c:v>0.26266955380282953</c:v>
                </c:pt>
                <c:pt idx="10">
                  <c:v>0.26575346429721158</c:v>
                </c:pt>
              </c:numCache>
            </c:numRef>
          </c:val>
          <c:smooth val="0"/>
          <c:extLst xmlns:c16r2="http://schemas.microsoft.com/office/drawing/2015/06/chart">
            <c:ext xmlns:c16="http://schemas.microsoft.com/office/drawing/2014/chart" uri="{C3380CC4-5D6E-409C-BE32-E72D297353CC}">
              <c16:uniqueId val="{00000004-6B7F-4F6F-9608-92BC1E283676}"/>
            </c:ext>
          </c:extLst>
        </c:ser>
        <c:ser>
          <c:idx val="5"/>
          <c:order val="5"/>
          <c:tx>
            <c:strRef>
              <c:f>'Depreciation % opex'!$A$10</c:f>
              <c:strCache>
                <c:ptCount val="1"/>
                <c:pt idx="0">
                  <c:v>Kapiti CoastDC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opex'!$B$10:$L$10</c:f>
              <c:numCache>
                <c:formatCode>General</c:formatCode>
                <c:ptCount val="11"/>
                <c:pt idx="0">
                  <c:v>0.23181792090006315</c:v>
                </c:pt>
                <c:pt idx="1">
                  <c:v>0.23458687521251276</c:v>
                </c:pt>
                <c:pt idx="2">
                  <c:v>0.2401202123575126</c:v>
                </c:pt>
                <c:pt idx="3">
                  <c:v>0.23823629198528068</c:v>
                </c:pt>
                <c:pt idx="4">
                  <c:v>0.24611205861916494</c:v>
                </c:pt>
                <c:pt idx="5">
                  <c:v>0.25293255131964809</c:v>
                </c:pt>
                <c:pt idx="6">
                  <c:v>0.25449236298292904</c:v>
                </c:pt>
                <c:pt idx="7">
                  <c:v>0.25610625574977003</c:v>
                </c:pt>
                <c:pt idx="8">
                  <c:v>0.26932778687436387</c:v>
                </c:pt>
                <c:pt idx="9">
                  <c:v>0.27176084015205204</c:v>
                </c:pt>
                <c:pt idx="10">
                  <c:v>0.27825186672523061</c:v>
                </c:pt>
              </c:numCache>
            </c:numRef>
          </c:val>
          <c:smooth val="0"/>
          <c:extLst xmlns:c16r2="http://schemas.microsoft.com/office/drawing/2015/06/chart">
            <c:ext xmlns:c16="http://schemas.microsoft.com/office/drawing/2014/chart" uri="{C3380CC4-5D6E-409C-BE32-E72D297353CC}">
              <c16:uniqueId val="{00000005-6B7F-4F6F-9608-92BC1E283676}"/>
            </c:ext>
          </c:extLst>
        </c:ser>
        <c:ser>
          <c:idx val="6"/>
          <c:order val="6"/>
          <c:tx>
            <c:strRef>
              <c:f>'Depreciation % opex'!$A$11</c:f>
              <c:strCache>
                <c:ptCount val="1"/>
                <c:pt idx="0">
                  <c:v>NelsonCC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opex'!$B$11:$L$11</c:f>
              <c:numCache>
                <c:formatCode>General</c:formatCode>
                <c:ptCount val="11"/>
                <c:pt idx="0">
                  <c:v>0.22951834040751637</c:v>
                </c:pt>
                <c:pt idx="1">
                  <c:v>0.24915537658260245</c:v>
                </c:pt>
                <c:pt idx="2">
                  <c:v>0.22761671337480105</c:v>
                </c:pt>
                <c:pt idx="3">
                  <c:v>0.23757202997641297</c:v>
                </c:pt>
                <c:pt idx="4">
                  <c:v>0.2398276500750619</c:v>
                </c:pt>
                <c:pt idx="5">
                  <c:v>0.23861454500742479</c:v>
                </c:pt>
                <c:pt idx="6">
                  <c:v>0.24037202957063583</c:v>
                </c:pt>
                <c:pt idx="7">
                  <c:v>0.24260582934737823</c:v>
                </c:pt>
                <c:pt idx="8">
                  <c:v>0.24307224229432814</c:v>
                </c:pt>
                <c:pt idx="9">
                  <c:v>0.245454164396194</c:v>
                </c:pt>
                <c:pt idx="10">
                  <c:v>0.24548550450443196</c:v>
                </c:pt>
              </c:numCache>
            </c:numRef>
          </c:val>
          <c:smooth val="0"/>
          <c:extLst xmlns:c16r2="http://schemas.microsoft.com/office/drawing/2015/06/chart">
            <c:ext xmlns:c16="http://schemas.microsoft.com/office/drawing/2014/chart" uri="{C3380CC4-5D6E-409C-BE32-E72D297353CC}">
              <c16:uniqueId val="{00000006-6B7F-4F6F-9608-92BC1E283676}"/>
            </c:ext>
          </c:extLst>
        </c:ser>
        <c:ser>
          <c:idx val="7"/>
          <c:order val="7"/>
          <c:tx>
            <c:strRef>
              <c:f>'Depreciation % opex'!$A$12</c:f>
              <c:strCache>
                <c:ptCount val="1"/>
                <c:pt idx="0">
                  <c:v>NewPlymouthDC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opex'!$B$12:$L$12</c:f>
              <c:numCache>
                <c:formatCode>General</c:formatCode>
                <c:ptCount val="11"/>
                <c:pt idx="0">
                  <c:v>0.23907064665824804</c:v>
                </c:pt>
                <c:pt idx="1">
                  <c:v>0.22583407723515281</c:v>
                </c:pt>
                <c:pt idx="2">
                  <c:v>0.25337067873997621</c:v>
                </c:pt>
                <c:pt idx="3">
                  <c:v>0.25595776772247358</c:v>
                </c:pt>
                <c:pt idx="4">
                  <c:v>0.25865490628445426</c:v>
                </c:pt>
                <c:pt idx="5">
                  <c:v>0.26274736385959846</c:v>
                </c:pt>
                <c:pt idx="6">
                  <c:v>0.26308078694014231</c:v>
                </c:pt>
                <c:pt idx="7">
                  <c:v>0.27023471577927022</c:v>
                </c:pt>
                <c:pt idx="8">
                  <c:v>0.27328688358249342</c:v>
                </c:pt>
                <c:pt idx="9">
                  <c:v>0.27406487052053363</c:v>
                </c:pt>
                <c:pt idx="10">
                  <c:v>0.27935326575131531</c:v>
                </c:pt>
              </c:numCache>
            </c:numRef>
          </c:val>
          <c:smooth val="0"/>
          <c:extLst xmlns:c16r2="http://schemas.microsoft.com/office/drawing/2015/06/chart">
            <c:ext xmlns:c16="http://schemas.microsoft.com/office/drawing/2014/chart" uri="{C3380CC4-5D6E-409C-BE32-E72D297353CC}">
              <c16:uniqueId val="{00000007-6B7F-4F6F-9608-92BC1E283676}"/>
            </c:ext>
          </c:extLst>
        </c:ser>
        <c:ser>
          <c:idx val="8"/>
          <c:order val="8"/>
          <c:tx>
            <c:strRef>
              <c:f>'Depreciation % opex'!$A$13</c:f>
              <c:strCache>
                <c:ptCount val="1"/>
                <c:pt idx="0">
                  <c:v>OpotikiDC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opex'!$B$13:$L$13</c:f>
              <c:numCache>
                <c:formatCode>General</c:formatCode>
                <c:ptCount val="11"/>
                <c:pt idx="0">
                  <c:v>0.18767289073305671</c:v>
                </c:pt>
                <c:pt idx="1">
                  <c:v>0.19599167100468506</c:v>
                </c:pt>
                <c:pt idx="2">
                  <c:v>0.18332184700206755</c:v>
                </c:pt>
                <c:pt idx="3">
                  <c:v>0.20048934945308003</c:v>
                </c:pt>
                <c:pt idx="4">
                  <c:v>0.20850160859743994</c:v>
                </c:pt>
                <c:pt idx="5">
                  <c:v>0.20850767085076707</c:v>
                </c:pt>
                <c:pt idx="6">
                  <c:v>0.22270244312383697</c:v>
                </c:pt>
                <c:pt idx="7">
                  <c:v>0.21644198640396359</c:v>
                </c:pt>
                <c:pt idx="8">
                  <c:v>0.20656997510553091</c:v>
                </c:pt>
                <c:pt idx="9">
                  <c:v>0.21893248642557114</c:v>
                </c:pt>
                <c:pt idx="10">
                  <c:v>0.21384388807069218</c:v>
                </c:pt>
              </c:numCache>
            </c:numRef>
          </c:val>
          <c:smooth val="0"/>
          <c:extLst xmlns:c16r2="http://schemas.microsoft.com/office/drawing/2015/06/chart">
            <c:ext xmlns:c16="http://schemas.microsoft.com/office/drawing/2014/chart" uri="{C3380CC4-5D6E-409C-BE32-E72D297353CC}">
              <c16:uniqueId val="{00000008-6B7F-4F6F-9608-92BC1E283676}"/>
            </c:ext>
          </c:extLst>
        </c:ser>
        <c:ser>
          <c:idx val="9"/>
          <c:order val="9"/>
          <c:tx>
            <c:strRef>
              <c:f>'Depreciation % opex'!$A$14</c:f>
              <c:strCache>
                <c:ptCount val="1"/>
                <c:pt idx="0">
                  <c:v>QLDC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opex'!$B$14:$L$14</c:f>
              <c:numCache>
                <c:formatCode>General</c:formatCode>
                <c:ptCount val="11"/>
                <c:pt idx="0">
                  <c:v>0.22959827250764331</c:v>
                </c:pt>
                <c:pt idx="1">
                  <c:v>0.21226455911621334</c:v>
                </c:pt>
                <c:pt idx="2">
                  <c:v>0.20564979015327536</c:v>
                </c:pt>
                <c:pt idx="3">
                  <c:v>0.2300103943987919</c:v>
                </c:pt>
                <c:pt idx="4">
                  <c:v>0.22437770968909768</c:v>
                </c:pt>
                <c:pt idx="5">
                  <c:v>0.22186574741674275</c:v>
                </c:pt>
                <c:pt idx="6">
                  <c:v>0.22132965354097875</c:v>
                </c:pt>
                <c:pt idx="7">
                  <c:v>0.22173096579429033</c:v>
                </c:pt>
                <c:pt idx="8">
                  <c:v>0.22108601236298459</c:v>
                </c:pt>
                <c:pt idx="9">
                  <c:v>0.22018594671911318</c:v>
                </c:pt>
                <c:pt idx="10">
                  <c:v>0.2197586650296765</c:v>
                </c:pt>
              </c:numCache>
            </c:numRef>
          </c:val>
          <c:smooth val="0"/>
          <c:extLst xmlns:c16r2="http://schemas.microsoft.com/office/drawing/2015/06/chart">
            <c:ext xmlns:c16="http://schemas.microsoft.com/office/drawing/2014/chart" uri="{C3380CC4-5D6E-409C-BE32-E72D297353CC}">
              <c16:uniqueId val="{00000009-6B7F-4F6F-9608-92BC1E283676}"/>
            </c:ext>
          </c:extLst>
        </c:ser>
        <c:ser>
          <c:idx val="10"/>
          <c:order val="10"/>
          <c:tx>
            <c:strRef>
              <c:f>'Depreciation % opex'!$A$15</c:f>
              <c:strCache>
                <c:ptCount val="1"/>
                <c:pt idx="0">
                  <c:v>RuapehuDC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opex'!$B$15:$L$15</c:f>
              <c:numCache>
                <c:formatCode>General</c:formatCode>
                <c:ptCount val="11"/>
                <c:pt idx="0">
                  <c:v>0.27705931495405178</c:v>
                </c:pt>
                <c:pt idx="1">
                  <c:v>0.24884968201400898</c:v>
                </c:pt>
                <c:pt idx="2">
                  <c:v>0.25157439188180869</c:v>
                </c:pt>
                <c:pt idx="3">
                  <c:v>0.2654572055596196</c:v>
                </c:pt>
                <c:pt idx="4">
                  <c:v>0.26464429226328601</c:v>
                </c:pt>
                <c:pt idx="5">
                  <c:v>0.26469211924357949</c:v>
                </c:pt>
                <c:pt idx="6">
                  <c:v>0.26349504154382203</c:v>
                </c:pt>
                <c:pt idx="7">
                  <c:v>0.26317022994192857</c:v>
                </c:pt>
                <c:pt idx="8">
                  <c:v>0.2625953812724241</c:v>
                </c:pt>
                <c:pt idx="9">
                  <c:v>0.26219676384911017</c:v>
                </c:pt>
                <c:pt idx="10">
                  <c:v>0.26188277087033746</c:v>
                </c:pt>
              </c:numCache>
            </c:numRef>
          </c:val>
          <c:smooth val="0"/>
          <c:extLst xmlns:c16r2="http://schemas.microsoft.com/office/drawing/2015/06/chart">
            <c:ext xmlns:c16="http://schemas.microsoft.com/office/drawing/2014/chart" uri="{C3380CC4-5D6E-409C-BE32-E72D297353CC}">
              <c16:uniqueId val="{0000000A-6B7F-4F6F-9608-92BC1E283676}"/>
            </c:ext>
          </c:extLst>
        </c:ser>
        <c:ser>
          <c:idx val="11"/>
          <c:order val="11"/>
          <c:tx>
            <c:strRef>
              <c:f>'Depreciation % opex'!$A$16</c:f>
              <c:strCache>
                <c:ptCount val="1"/>
                <c:pt idx="0">
                  <c:v>SelwynDC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opex'!$B$16:$L$16</c:f>
              <c:numCache>
                <c:formatCode>General</c:formatCode>
                <c:ptCount val="11"/>
                <c:pt idx="0">
                  <c:v>0.25097219121914544</c:v>
                </c:pt>
                <c:pt idx="1">
                  <c:v>0.260690893603306</c:v>
                </c:pt>
                <c:pt idx="2">
                  <c:v>0.23623881562057261</c:v>
                </c:pt>
                <c:pt idx="3">
                  <c:v>0.27599771519717203</c:v>
                </c:pt>
                <c:pt idx="4">
                  <c:v>0.27427977119084762</c:v>
                </c:pt>
                <c:pt idx="5">
                  <c:v>0.27383541147132168</c:v>
                </c:pt>
                <c:pt idx="6">
                  <c:v>0.27569649231724352</c:v>
                </c:pt>
                <c:pt idx="7">
                  <c:v>0.27310940245215648</c:v>
                </c:pt>
                <c:pt idx="8">
                  <c:v>0.27197292577209509</c:v>
                </c:pt>
                <c:pt idx="9">
                  <c:v>0.27204486551613544</c:v>
                </c:pt>
                <c:pt idx="10">
                  <c:v>0.26784799065695392</c:v>
                </c:pt>
              </c:numCache>
            </c:numRef>
          </c:val>
          <c:smooth val="0"/>
          <c:extLst xmlns:c16r2="http://schemas.microsoft.com/office/drawing/2015/06/chart">
            <c:ext xmlns:c16="http://schemas.microsoft.com/office/drawing/2014/chart" uri="{C3380CC4-5D6E-409C-BE32-E72D297353CC}">
              <c16:uniqueId val="{0000000B-6B7F-4F6F-9608-92BC1E283676}"/>
            </c:ext>
          </c:extLst>
        </c:ser>
        <c:ser>
          <c:idx val="12"/>
          <c:order val="12"/>
          <c:tx>
            <c:strRef>
              <c:f>'Depreciation % opex'!$A$17</c:f>
              <c:strCache>
                <c:ptCount val="1"/>
                <c:pt idx="0">
                  <c:v>TimaruDC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opex'!$B$17:$L$17</c:f>
              <c:numCache>
                <c:formatCode>General</c:formatCode>
                <c:ptCount val="11"/>
                <c:pt idx="0">
                  <c:v>0.21610529928815533</c:v>
                </c:pt>
                <c:pt idx="1">
                  <c:v>0.21943662391443594</c:v>
                </c:pt>
                <c:pt idx="2">
                  <c:v>0.22496642292195196</c:v>
                </c:pt>
                <c:pt idx="3">
                  <c:v>0.22365089562667845</c:v>
                </c:pt>
                <c:pt idx="4">
                  <c:v>0.2245551893427013</c:v>
                </c:pt>
                <c:pt idx="5">
                  <c:v>0.22407608531919379</c:v>
                </c:pt>
                <c:pt idx="6">
                  <c:v>0.22322106338100806</c:v>
                </c:pt>
                <c:pt idx="7">
                  <c:v>0.22409228888560304</c:v>
                </c:pt>
                <c:pt idx="8">
                  <c:v>0.22337917517519379</c:v>
                </c:pt>
                <c:pt idx="9">
                  <c:v>0.22220997665187786</c:v>
                </c:pt>
                <c:pt idx="10">
                  <c:v>0.22199227231970534</c:v>
                </c:pt>
              </c:numCache>
            </c:numRef>
          </c:val>
          <c:smooth val="0"/>
          <c:extLst xmlns:c16r2="http://schemas.microsoft.com/office/drawing/2015/06/chart">
            <c:ext xmlns:c16="http://schemas.microsoft.com/office/drawing/2014/chart" uri="{C3380CC4-5D6E-409C-BE32-E72D297353CC}">
              <c16:uniqueId val="{0000000C-6B7F-4F6F-9608-92BC1E283676}"/>
            </c:ext>
          </c:extLst>
        </c:ser>
        <c:ser>
          <c:idx val="13"/>
          <c:order val="13"/>
          <c:tx>
            <c:strRef>
              <c:f>'Depreciation % opex'!$A$18</c:f>
              <c:strCache>
                <c:ptCount val="1"/>
                <c:pt idx="0">
                  <c:v>WestlandDC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opex'!$B$18:$L$18</c:f>
              <c:numCache>
                <c:formatCode>General</c:formatCode>
                <c:ptCount val="11"/>
                <c:pt idx="0">
                  <c:v>0.28507425119557012</c:v>
                </c:pt>
                <c:pt idx="1">
                  <c:v>0.25144853819275509</c:v>
                </c:pt>
                <c:pt idx="2">
                  <c:v>0.24537800905360241</c:v>
                </c:pt>
                <c:pt idx="3">
                  <c:v>0.26928562988213472</c:v>
                </c:pt>
                <c:pt idx="4">
                  <c:v>0.26126959335819488</c:v>
                </c:pt>
                <c:pt idx="5">
                  <c:v>0.25846303774733276</c:v>
                </c:pt>
                <c:pt idx="6">
                  <c:v>0.2548807219585375</c:v>
                </c:pt>
                <c:pt idx="7">
                  <c:v>0.25983753130848841</c:v>
                </c:pt>
                <c:pt idx="8">
                  <c:v>0.2578086926202432</c:v>
                </c:pt>
                <c:pt idx="9">
                  <c:v>0.25412892890256372</c:v>
                </c:pt>
                <c:pt idx="10">
                  <c:v>0.25398584655043721</c:v>
                </c:pt>
              </c:numCache>
            </c:numRef>
          </c:val>
          <c:smooth val="0"/>
          <c:extLst xmlns:c16r2="http://schemas.microsoft.com/office/drawing/2015/06/chart">
            <c:ext xmlns:c16="http://schemas.microsoft.com/office/drawing/2014/chart" uri="{C3380CC4-5D6E-409C-BE32-E72D297353CC}">
              <c16:uniqueId val="{0000000D-6B7F-4F6F-9608-92BC1E283676}"/>
            </c:ext>
          </c:extLst>
        </c:ser>
        <c:ser>
          <c:idx val="14"/>
          <c:order val="14"/>
          <c:tx>
            <c:strRef>
              <c:f>'Depreciation % opex'!$A$19</c:f>
              <c:strCache>
                <c:ptCount val="1"/>
                <c:pt idx="0">
                  <c:v>WhangareiDC</c:v>
                </c:pt>
              </c:strCache>
            </c:strRef>
          </c:tx>
          <c:spPr>
            <a:ln>
              <a:solidFill>
                <a:schemeClr val="bg1">
                  <a:lumMod val="85000"/>
                </a:schemeClr>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opex'!$B$19:$L$19</c:f>
              <c:numCache>
                <c:formatCode>General</c:formatCode>
                <c:ptCount val="11"/>
                <c:pt idx="0">
                  <c:v>0.27658332959289017</c:v>
                </c:pt>
                <c:pt idx="1">
                  <c:v>0.27368451884070705</c:v>
                </c:pt>
                <c:pt idx="2">
                  <c:v>0.20617816491804192</c:v>
                </c:pt>
                <c:pt idx="3">
                  <c:v>0.31288941099495904</c:v>
                </c:pt>
                <c:pt idx="4">
                  <c:v>0.31597524806854382</c:v>
                </c:pt>
                <c:pt idx="5">
                  <c:v>0.32661239207290449</c:v>
                </c:pt>
                <c:pt idx="6">
                  <c:v>0.32537576139757601</c:v>
                </c:pt>
                <c:pt idx="7">
                  <c:v>0.31399645285249778</c:v>
                </c:pt>
                <c:pt idx="8">
                  <c:v>0.3281173845009363</c:v>
                </c:pt>
                <c:pt idx="9">
                  <c:v>0.32660126226332564</c:v>
                </c:pt>
                <c:pt idx="10">
                  <c:v>0.32228849531615927</c:v>
                </c:pt>
              </c:numCache>
            </c:numRef>
          </c:val>
          <c:smooth val="0"/>
          <c:extLst xmlns:c16r2="http://schemas.microsoft.com/office/drawing/2015/06/chart">
            <c:ext xmlns:c16="http://schemas.microsoft.com/office/drawing/2014/chart" uri="{C3380CC4-5D6E-409C-BE32-E72D297353CC}">
              <c16:uniqueId val="{0000000E-6B7F-4F6F-9608-92BC1E283676}"/>
            </c:ext>
          </c:extLst>
        </c:ser>
        <c:ser>
          <c:idx val="15"/>
          <c:order val="15"/>
          <c:tx>
            <c:strRef>
              <c:f>'Depreciation % opex'!$A$20</c:f>
              <c:strCache>
                <c:ptCount val="1"/>
                <c:pt idx="0">
                  <c:v>Average</c:v>
                </c:pt>
              </c:strCache>
            </c:strRef>
          </c:tx>
          <c:spPr>
            <a:ln>
              <a:solidFill>
                <a:schemeClr val="accent2"/>
              </a:solidFill>
            </a:ln>
          </c:spPr>
          <c:marker>
            <c:symbol val="none"/>
          </c:marker>
          <c:cat>
            <c:numRef>
              <c:f>'Depreciation % opex'!$B$4:$L$4</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 opex'!$B$20:$L$20</c:f>
              <c:numCache>
                <c:formatCode>General</c:formatCode>
                <c:ptCount val="11"/>
                <c:pt idx="0">
                  <c:v>0.25385056957050317</c:v>
                </c:pt>
                <c:pt idx="1">
                  <c:v>0.2517944067594835</c:v>
                </c:pt>
                <c:pt idx="2">
                  <c:v>0.24334115124946851</c:v>
                </c:pt>
                <c:pt idx="3">
                  <c:v>0.26371133025074806</c:v>
                </c:pt>
                <c:pt idx="4">
                  <c:v>0.26461898936242445</c:v>
                </c:pt>
                <c:pt idx="5">
                  <c:v>0.26582360666126176</c:v>
                </c:pt>
                <c:pt idx="6">
                  <c:v>0.2667296248618935</c:v>
                </c:pt>
                <c:pt idx="7">
                  <c:v>0.26648692794150031</c:v>
                </c:pt>
                <c:pt idx="8">
                  <c:v>0.26757773844453164</c:v>
                </c:pt>
                <c:pt idx="9">
                  <c:v>0.26824504515328162</c:v>
                </c:pt>
                <c:pt idx="10">
                  <c:v>0.26787810523902666</c:v>
                </c:pt>
              </c:numCache>
            </c:numRef>
          </c:val>
          <c:smooth val="0"/>
          <c:extLst xmlns:c16r2="http://schemas.microsoft.com/office/drawing/2015/06/chart">
            <c:ext xmlns:c16="http://schemas.microsoft.com/office/drawing/2014/chart" uri="{C3380CC4-5D6E-409C-BE32-E72D297353CC}">
              <c16:uniqueId val="{0000000F-6B7F-4F6F-9608-92BC1E283676}"/>
            </c:ext>
          </c:extLst>
        </c:ser>
        <c:dLbls>
          <c:showLegendKey val="0"/>
          <c:showVal val="0"/>
          <c:showCatName val="0"/>
          <c:showSerName val="0"/>
          <c:showPercent val="0"/>
          <c:showBubbleSize val="0"/>
        </c:dLbls>
        <c:marker val="1"/>
        <c:smooth val="0"/>
        <c:axId val="121191808"/>
        <c:axId val="121201792"/>
      </c:lineChart>
      <c:catAx>
        <c:axId val="121191808"/>
        <c:scaling>
          <c:orientation val="minMax"/>
        </c:scaling>
        <c:delete val="0"/>
        <c:axPos val="b"/>
        <c:numFmt formatCode="General" sourceLinked="1"/>
        <c:majorTickMark val="out"/>
        <c:minorTickMark val="none"/>
        <c:tickLblPos val="nextTo"/>
        <c:crossAx val="121201792"/>
        <c:crosses val="autoZero"/>
        <c:auto val="1"/>
        <c:lblAlgn val="ctr"/>
        <c:lblOffset val="100"/>
        <c:noMultiLvlLbl val="0"/>
      </c:catAx>
      <c:valAx>
        <c:axId val="121201792"/>
        <c:scaling>
          <c:orientation val="minMax"/>
        </c:scaling>
        <c:delete val="0"/>
        <c:axPos val="l"/>
        <c:majorGridlines/>
        <c:numFmt formatCode="0%" sourceLinked="0"/>
        <c:majorTickMark val="out"/>
        <c:minorTickMark val="none"/>
        <c:tickLblPos val="nextTo"/>
        <c:crossAx val="12119180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96067981283404E-2"/>
          <c:y val="7.0918238494747349E-2"/>
          <c:w val="0.8951258321952813"/>
          <c:h val="0.84378560992218554"/>
        </c:manualLayout>
      </c:layout>
      <c:lineChart>
        <c:grouping val="standard"/>
        <c:varyColors val="0"/>
        <c:ser>
          <c:idx val="0"/>
          <c:order val="0"/>
          <c:tx>
            <c:strRef>
              <c:f>Ratios!$A$4</c:f>
              <c:strCache>
                <c:ptCount val="1"/>
                <c:pt idx="0">
                  <c:v>Ashburton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Ratios!$B$4:$K$4</c:f>
              <c:numCache>
                <c:formatCode>0%</c:formatCode>
                <c:ptCount val="10"/>
                <c:pt idx="0">
                  <c:v>0.86012873363708686</c:v>
                </c:pt>
                <c:pt idx="1">
                  <c:v>0.80852550663871414</c:v>
                </c:pt>
                <c:pt idx="2">
                  <c:v>0.82890376682220868</c:v>
                </c:pt>
                <c:pt idx="3">
                  <c:v>0.85477941176470584</c:v>
                </c:pt>
                <c:pt idx="4">
                  <c:v>0.82064048189808836</c:v>
                </c:pt>
                <c:pt idx="5">
                  <c:v>0.82385451952219646</c:v>
                </c:pt>
                <c:pt idx="6">
                  <c:v>0.80408280621046579</c:v>
                </c:pt>
                <c:pt idx="7">
                  <c:v>0.81187239944521494</c:v>
                </c:pt>
                <c:pt idx="8">
                  <c:v>0.78852222281649464</c:v>
                </c:pt>
                <c:pt idx="9">
                  <c:v>0.81476330294132793</c:v>
                </c:pt>
              </c:numCache>
            </c:numRef>
          </c:val>
          <c:smooth val="0"/>
          <c:extLst xmlns:c16r2="http://schemas.microsoft.com/office/drawing/2015/06/chart">
            <c:ext xmlns:c16="http://schemas.microsoft.com/office/drawing/2014/chart" uri="{C3380CC4-5D6E-409C-BE32-E72D297353CC}">
              <c16:uniqueId val="{00000000-8391-4C9B-B5D3-E980E56150BF}"/>
            </c:ext>
          </c:extLst>
        </c:ser>
        <c:ser>
          <c:idx val="1"/>
          <c:order val="1"/>
          <c:tx>
            <c:strRef>
              <c:f>Ratios!$A$5</c:f>
              <c:strCache>
                <c:ptCount val="1"/>
                <c:pt idx="0">
                  <c:v>Bay of Plenty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Ratios!$B$5:$K$5</c:f>
              <c:numCache>
                <c:formatCode>0%</c:formatCode>
                <c:ptCount val="10"/>
                <c:pt idx="0">
                  <c:v>0.76008854077983989</c:v>
                </c:pt>
                <c:pt idx="1">
                  <c:v>1.1408450704225352</c:v>
                </c:pt>
                <c:pt idx="2">
                  <c:v>1.0794524224936251</c:v>
                </c:pt>
                <c:pt idx="3">
                  <c:v>0.52454949072864976</c:v>
                </c:pt>
                <c:pt idx="4">
                  <c:v>0.48143997758789747</c:v>
                </c:pt>
                <c:pt idx="5">
                  <c:v>0.48444130127298446</c:v>
                </c:pt>
                <c:pt idx="6">
                  <c:v>0.62333825701624812</c:v>
                </c:pt>
                <c:pt idx="7">
                  <c:v>1.1446158200084902</c:v>
                </c:pt>
                <c:pt idx="8">
                  <c:v>1.0458946809921741</c:v>
                </c:pt>
                <c:pt idx="9">
                  <c:v>0.45770700636942674</c:v>
                </c:pt>
              </c:numCache>
            </c:numRef>
          </c:val>
          <c:smooth val="0"/>
          <c:extLst xmlns:c16r2="http://schemas.microsoft.com/office/drawing/2015/06/chart">
            <c:ext xmlns:c16="http://schemas.microsoft.com/office/drawing/2014/chart" uri="{C3380CC4-5D6E-409C-BE32-E72D297353CC}">
              <c16:uniqueId val="{00000001-8391-4C9B-B5D3-E980E56150BF}"/>
            </c:ext>
          </c:extLst>
        </c:ser>
        <c:ser>
          <c:idx val="2"/>
          <c:order val="2"/>
          <c:tx>
            <c:strRef>
              <c:f>Ratios!$A$6</c:f>
              <c:strCache>
                <c:ptCount val="1"/>
                <c:pt idx="0">
                  <c:v>Buller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Ratios!$B$6:$K$6</c:f>
              <c:numCache>
                <c:formatCode>0%</c:formatCode>
                <c:ptCount val="10"/>
                <c:pt idx="0">
                  <c:v>0.75198843094721624</c:v>
                </c:pt>
                <c:pt idx="1">
                  <c:v>0.58969498535240394</c:v>
                </c:pt>
                <c:pt idx="2">
                  <c:v>0.5840768702814001</c:v>
                </c:pt>
                <c:pt idx="3">
                  <c:v>1.2027271233776902</c:v>
                </c:pt>
                <c:pt idx="4">
                  <c:v>1.0654251812788398</c:v>
                </c:pt>
                <c:pt idx="5">
                  <c:v>0.65318291700241737</c:v>
                </c:pt>
                <c:pt idx="6">
                  <c:v>0.61642949547218628</c:v>
                </c:pt>
                <c:pt idx="7">
                  <c:v>0.59698275862068961</c:v>
                </c:pt>
                <c:pt idx="8">
                  <c:v>0.61287327866315955</c:v>
                </c:pt>
                <c:pt idx="9">
                  <c:v>0.57805596465390274</c:v>
                </c:pt>
              </c:numCache>
            </c:numRef>
          </c:val>
          <c:smooth val="0"/>
          <c:extLst xmlns:c16r2="http://schemas.microsoft.com/office/drawing/2015/06/chart">
            <c:ext xmlns:c16="http://schemas.microsoft.com/office/drawing/2014/chart" uri="{C3380CC4-5D6E-409C-BE32-E72D297353CC}">
              <c16:uniqueId val="{00000002-8391-4C9B-B5D3-E980E56150BF}"/>
            </c:ext>
          </c:extLst>
        </c:ser>
        <c:ser>
          <c:idx val="3"/>
          <c:order val="3"/>
          <c:tx>
            <c:strRef>
              <c:f>Ratios!$A$7</c:f>
              <c:strCache>
                <c:ptCount val="1"/>
                <c:pt idx="0">
                  <c:v>Canterbury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Ratios!$B$7:$K$7</c:f>
              <c:numCache>
                <c:formatCode>0%</c:formatCode>
                <c:ptCount val="10"/>
                <c:pt idx="0">
                  <c:v>9.6247037914691944</c:v>
                </c:pt>
                <c:pt idx="1">
                  <c:v>1.1260504201680672</c:v>
                </c:pt>
                <c:pt idx="2">
                  <c:v>0.44900369003690038</c:v>
                </c:pt>
                <c:pt idx="3">
                  <c:v>0.48490764379035889</c:v>
                </c:pt>
                <c:pt idx="4">
                  <c:v>0.54708661417322835</c:v>
                </c:pt>
                <c:pt idx="5">
                  <c:v>1.4602686066032458</c:v>
                </c:pt>
                <c:pt idx="6">
                  <c:v>0.49106753812636167</c:v>
                </c:pt>
                <c:pt idx="7">
                  <c:v>0.51988885639075755</c:v>
                </c:pt>
                <c:pt idx="8">
                  <c:v>0.38752556237218816</c:v>
                </c:pt>
                <c:pt idx="9">
                  <c:v>0.483641975308642</c:v>
                </c:pt>
              </c:numCache>
            </c:numRef>
          </c:val>
          <c:smooth val="0"/>
          <c:extLst xmlns:c16r2="http://schemas.microsoft.com/office/drawing/2015/06/chart">
            <c:ext xmlns:c16="http://schemas.microsoft.com/office/drawing/2014/chart" uri="{C3380CC4-5D6E-409C-BE32-E72D297353CC}">
              <c16:uniqueId val="{00000003-8391-4C9B-B5D3-E980E56150BF}"/>
            </c:ext>
          </c:extLst>
        </c:ser>
        <c:ser>
          <c:idx val="4"/>
          <c:order val="4"/>
          <c:tx>
            <c:strRef>
              <c:f>Ratios!$A$8</c:f>
              <c:strCache>
                <c:ptCount val="1"/>
                <c:pt idx="0">
                  <c:v>Carterton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Ratios!$B$8:$K$8</c:f>
              <c:numCache>
                <c:formatCode>0%</c:formatCode>
                <c:ptCount val="10"/>
                <c:pt idx="0">
                  <c:v>0.84901603482818189</c:v>
                </c:pt>
                <c:pt idx="1">
                  <c:v>0.76532934643884198</c:v>
                </c:pt>
                <c:pt idx="2">
                  <c:v>0.83276328940133282</c:v>
                </c:pt>
                <c:pt idx="3">
                  <c:v>0.69347750099284045</c:v>
                </c:pt>
                <c:pt idx="4">
                  <c:v>0.67202967449302764</c:v>
                </c:pt>
                <c:pt idx="5">
                  <c:v>0.6428156370691871</c:v>
                </c:pt>
                <c:pt idx="6">
                  <c:v>0.74306260287220405</c:v>
                </c:pt>
                <c:pt idx="7">
                  <c:v>0.77526213022118984</c:v>
                </c:pt>
                <c:pt idx="8">
                  <c:v>0.7708778864553959</c:v>
                </c:pt>
                <c:pt idx="9">
                  <c:v>0.75805155745302955</c:v>
                </c:pt>
              </c:numCache>
            </c:numRef>
          </c:val>
          <c:smooth val="0"/>
          <c:extLst xmlns:c16r2="http://schemas.microsoft.com/office/drawing/2015/06/chart">
            <c:ext xmlns:c16="http://schemas.microsoft.com/office/drawing/2014/chart" uri="{C3380CC4-5D6E-409C-BE32-E72D297353CC}">
              <c16:uniqueId val="{00000004-8391-4C9B-B5D3-E980E56150BF}"/>
            </c:ext>
          </c:extLst>
        </c:ser>
        <c:ser>
          <c:idx val="5"/>
          <c:order val="5"/>
          <c:tx>
            <c:strRef>
              <c:f>Ratios!$A$9</c:f>
              <c:strCache>
                <c:ptCount val="1"/>
                <c:pt idx="0">
                  <c:v>Central Otago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Ratios!$B$9:$K$9</c:f>
              <c:numCache>
                <c:formatCode>0%</c:formatCode>
                <c:ptCount val="10"/>
                <c:pt idx="0">
                  <c:v>1.2503366031929217</c:v>
                </c:pt>
                <c:pt idx="1">
                  <c:v>1.0360801377934912</c:v>
                </c:pt>
                <c:pt idx="2">
                  <c:v>0.81773146566450294</c:v>
                </c:pt>
                <c:pt idx="3">
                  <c:v>0.74991885751379417</c:v>
                </c:pt>
                <c:pt idx="4">
                  <c:v>0.64276739437725772</c:v>
                </c:pt>
                <c:pt idx="5">
                  <c:v>0.6617312072892938</c:v>
                </c:pt>
                <c:pt idx="6">
                  <c:v>0.63036352800953521</c:v>
                </c:pt>
                <c:pt idx="7">
                  <c:v>0.6096178991718727</c:v>
                </c:pt>
                <c:pt idx="8">
                  <c:v>0.62234305486900643</c:v>
                </c:pt>
                <c:pt idx="9">
                  <c:v>0.63599588618443603</c:v>
                </c:pt>
              </c:numCache>
            </c:numRef>
          </c:val>
          <c:smooth val="0"/>
          <c:extLst xmlns:c16r2="http://schemas.microsoft.com/office/drawing/2015/06/chart">
            <c:ext xmlns:c16="http://schemas.microsoft.com/office/drawing/2014/chart" uri="{C3380CC4-5D6E-409C-BE32-E72D297353CC}">
              <c16:uniqueId val="{00000005-8391-4C9B-B5D3-E980E56150BF}"/>
            </c:ext>
          </c:extLst>
        </c:ser>
        <c:ser>
          <c:idx val="6"/>
          <c:order val="6"/>
          <c:tx>
            <c:strRef>
              <c:f>Ratios!$A$10</c:f>
              <c:strCache>
                <c:ptCount val="1"/>
                <c:pt idx="0">
                  <c:v>Chatham Islands</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Ratios!$B$10:$K$10</c:f>
              <c:numCache>
                <c:formatCode>0%</c:formatCode>
                <c:ptCount val="10"/>
                <c:pt idx="0">
                  <c:v>2.8307905686546464</c:v>
                </c:pt>
                <c:pt idx="1">
                  <c:v>1.5739307535641547</c:v>
                </c:pt>
                <c:pt idx="2">
                  <c:v>1.4078516902944385</c:v>
                </c:pt>
                <c:pt idx="3">
                  <c:v>1.0317647058823529</c:v>
                </c:pt>
                <c:pt idx="4">
                  <c:v>0.97213290460878887</c:v>
                </c:pt>
                <c:pt idx="5">
                  <c:v>0.95599999999999996</c:v>
                </c:pt>
                <c:pt idx="6">
                  <c:v>0.93506088042460189</c:v>
                </c:pt>
                <c:pt idx="7">
                  <c:v>0.89487252936121453</c:v>
                </c:pt>
                <c:pt idx="8">
                  <c:v>1.0639038279025625</c:v>
                </c:pt>
                <c:pt idx="9">
                  <c:v>1.0067488262910798</c:v>
                </c:pt>
              </c:numCache>
            </c:numRef>
          </c:val>
          <c:smooth val="0"/>
          <c:extLst xmlns:c16r2="http://schemas.microsoft.com/office/drawing/2015/06/chart">
            <c:ext xmlns:c16="http://schemas.microsoft.com/office/drawing/2014/chart" uri="{C3380CC4-5D6E-409C-BE32-E72D297353CC}">
              <c16:uniqueId val="{00000006-8391-4C9B-B5D3-E980E56150BF}"/>
            </c:ext>
          </c:extLst>
        </c:ser>
        <c:ser>
          <c:idx val="7"/>
          <c:order val="7"/>
          <c:tx>
            <c:strRef>
              <c:f>Ratios!$A$11</c:f>
              <c:strCache>
                <c:ptCount val="1"/>
                <c:pt idx="0">
                  <c:v>Christchurch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Ratios!$B$11:$K$11</c:f>
              <c:numCache>
                <c:formatCode>0%</c:formatCode>
                <c:ptCount val="10"/>
                <c:pt idx="0">
                  <c:v>4.968560366330367</c:v>
                </c:pt>
                <c:pt idx="1">
                  <c:v>3.5474863769735925</c:v>
                </c:pt>
                <c:pt idx="2">
                  <c:v>1.7771083709983129</c:v>
                </c:pt>
                <c:pt idx="3">
                  <c:v>1.1527224631481645</c:v>
                </c:pt>
                <c:pt idx="4">
                  <c:v>0.94459231154024026</c:v>
                </c:pt>
                <c:pt idx="5">
                  <c:v>0.7387030729091173</c:v>
                </c:pt>
                <c:pt idx="6">
                  <c:v>0.79012837788070345</c:v>
                </c:pt>
                <c:pt idx="7">
                  <c:v>0.99934886382959309</c:v>
                </c:pt>
                <c:pt idx="8">
                  <c:v>1.2610184397278623</c:v>
                </c:pt>
                <c:pt idx="9">
                  <c:v>1.1344568952403984</c:v>
                </c:pt>
              </c:numCache>
            </c:numRef>
          </c:val>
          <c:smooth val="0"/>
          <c:extLst xmlns:c16r2="http://schemas.microsoft.com/office/drawing/2015/06/chart">
            <c:ext xmlns:c16="http://schemas.microsoft.com/office/drawing/2014/chart" uri="{C3380CC4-5D6E-409C-BE32-E72D297353CC}">
              <c16:uniqueId val="{00000007-8391-4C9B-B5D3-E980E56150BF}"/>
            </c:ext>
          </c:extLst>
        </c:ser>
        <c:ser>
          <c:idx val="8"/>
          <c:order val="8"/>
          <c:tx>
            <c:strRef>
              <c:f>Ratios!$A$12</c:f>
              <c:strCache>
                <c:ptCount val="1"/>
                <c:pt idx="0">
                  <c:v>Clutha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Ratios!$B$12:$K$12</c:f>
              <c:numCache>
                <c:formatCode>0%</c:formatCode>
                <c:ptCount val="10"/>
                <c:pt idx="0">
                  <c:v>0.99784035218872003</c:v>
                </c:pt>
                <c:pt idx="1">
                  <c:v>0.82382875605815831</c:v>
                </c:pt>
                <c:pt idx="2">
                  <c:v>0.71862698787592505</c:v>
                </c:pt>
                <c:pt idx="3">
                  <c:v>0.84559950935295924</c:v>
                </c:pt>
                <c:pt idx="4">
                  <c:v>0.7854691928987021</c:v>
                </c:pt>
                <c:pt idx="5">
                  <c:v>0.71760435571687842</c:v>
                </c:pt>
                <c:pt idx="6">
                  <c:v>0.76387124099957648</c:v>
                </c:pt>
                <c:pt idx="7">
                  <c:v>0.72261120263591438</c:v>
                </c:pt>
                <c:pt idx="8">
                  <c:v>0.73591197065688563</c:v>
                </c:pt>
                <c:pt idx="9">
                  <c:v>0.7819383259911894</c:v>
                </c:pt>
              </c:numCache>
            </c:numRef>
          </c:val>
          <c:smooth val="0"/>
          <c:extLst xmlns:c16r2="http://schemas.microsoft.com/office/drawing/2015/06/chart">
            <c:ext xmlns:c16="http://schemas.microsoft.com/office/drawing/2014/chart" uri="{C3380CC4-5D6E-409C-BE32-E72D297353CC}">
              <c16:uniqueId val="{00000008-8391-4C9B-B5D3-E980E56150BF}"/>
            </c:ext>
          </c:extLst>
        </c:ser>
        <c:ser>
          <c:idx val="9"/>
          <c:order val="9"/>
          <c:tx>
            <c:strRef>
              <c:f>Ratios!$A$13</c:f>
              <c:strCache>
                <c:ptCount val="1"/>
                <c:pt idx="0">
                  <c:v>Far North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Ratios!$B$13:$K$13</c:f>
              <c:numCache>
                <c:formatCode>0%</c:formatCode>
                <c:ptCount val="10"/>
                <c:pt idx="0">
                  <c:v>0.82575222226354739</c:v>
                </c:pt>
                <c:pt idx="1">
                  <c:v>1.2186952561137971</c:v>
                </c:pt>
                <c:pt idx="2">
                  <c:v>0.93775699694919745</c:v>
                </c:pt>
                <c:pt idx="3">
                  <c:v>0.84576501437462481</c:v>
                </c:pt>
                <c:pt idx="4">
                  <c:v>0.87524283632831468</c:v>
                </c:pt>
                <c:pt idx="5">
                  <c:v>0.70737233486318485</c:v>
                </c:pt>
                <c:pt idx="6">
                  <c:v>0.75244681147700976</c:v>
                </c:pt>
                <c:pt idx="7">
                  <c:v>0.67636150172105558</c:v>
                </c:pt>
                <c:pt idx="8">
                  <c:v>0.61904033840430139</c:v>
                </c:pt>
                <c:pt idx="9">
                  <c:v>0.77381880175353146</c:v>
                </c:pt>
              </c:numCache>
            </c:numRef>
          </c:val>
          <c:smooth val="0"/>
          <c:extLst xmlns:c16r2="http://schemas.microsoft.com/office/drawing/2015/06/chart">
            <c:ext xmlns:c16="http://schemas.microsoft.com/office/drawing/2014/chart" uri="{C3380CC4-5D6E-409C-BE32-E72D297353CC}">
              <c16:uniqueId val="{00000009-8391-4C9B-B5D3-E980E56150BF}"/>
            </c:ext>
          </c:extLst>
        </c:ser>
        <c:ser>
          <c:idx val="10"/>
          <c:order val="10"/>
          <c:tx>
            <c:strRef>
              <c:f>Ratios!$A$14</c:f>
              <c:strCache>
                <c:ptCount val="1"/>
                <c:pt idx="0">
                  <c:v>Gore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Ratios!$B$14:$K$14</c:f>
              <c:numCache>
                <c:formatCode>0%</c:formatCode>
                <c:ptCount val="10"/>
                <c:pt idx="0">
                  <c:v>0.72835279903342731</c:v>
                </c:pt>
                <c:pt idx="1">
                  <c:v>1.4870898854591341</c:v>
                </c:pt>
                <c:pt idx="2">
                  <c:v>1.1441254250094446</c:v>
                </c:pt>
                <c:pt idx="3">
                  <c:v>0.91917361362812611</c:v>
                </c:pt>
                <c:pt idx="4">
                  <c:v>0.78176842825380533</c:v>
                </c:pt>
                <c:pt idx="5">
                  <c:v>0.80186635560739872</c:v>
                </c:pt>
                <c:pt idx="6">
                  <c:v>0.73008130081300815</c:v>
                </c:pt>
                <c:pt idx="7">
                  <c:v>0.72996357012750457</c:v>
                </c:pt>
                <c:pt idx="8">
                  <c:v>0.71768202080237742</c:v>
                </c:pt>
                <c:pt idx="9">
                  <c:v>0.78886784205158089</c:v>
                </c:pt>
              </c:numCache>
            </c:numRef>
          </c:val>
          <c:smooth val="0"/>
          <c:extLst xmlns:c16r2="http://schemas.microsoft.com/office/drawing/2015/06/chart">
            <c:ext xmlns:c16="http://schemas.microsoft.com/office/drawing/2014/chart" uri="{C3380CC4-5D6E-409C-BE32-E72D297353CC}">
              <c16:uniqueId val="{0000000A-8391-4C9B-B5D3-E980E56150BF}"/>
            </c:ext>
          </c:extLst>
        </c:ser>
        <c:ser>
          <c:idx val="11"/>
          <c:order val="11"/>
          <c:tx>
            <c:strRef>
              <c:f>Ratios!$A$15</c:f>
              <c:strCache>
                <c:ptCount val="1"/>
                <c:pt idx="0">
                  <c:v>Grey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Ratios!$B$15:$K$15</c:f>
              <c:numCache>
                <c:formatCode>0%</c:formatCode>
                <c:ptCount val="10"/>
                <c:pt idx="0">
                  <c:v>0.58960872354073124</c:v>
                </c:pt>
                <c:pt idx="1">
                  <c:v>0.6126636455186304</c:v>
                </c:pt>
                <c:pt idx="2">
                  <c:v>0.66721854304635764</c:v>
                </c:pt>
                <c:pt idx="3">
                  <c:v>0.67941176470588238</c:v>
                </c:pt>
                <c:pt idx="4">
                  <c:v>0.65691801738313371</c:v>
                </c:pt>
                <c:pt idx="5">
                  <c:v>0.64395286794130724</c:v>
                </c:pt>
                <c:pt idx="6">
                  <c:v>0.72877045555064135</c:v>
                </c:pt>
                <c:pt idx="7">
                  <c:v>0.74629487320232735</c:v>
                </c:pt>
                <c:pt idx="8">
                  <c:v>0.70507420778178898</c:v>
                </c:pt>
                <c:pt idx="9">
                  <c:v>0.68541562966650071</c:v>
                </c:pt>
              </c:numCache>
            </c:numRef>
          </c:val>
          <c:smooth val="0"/>
          <c:extLst xmlns:c16r2="http://schemas.microsoft.com/office/drawing/2015/06/chart">
            <c:ext xmlns:c16="http://schemas.microsoft.com/office/drawing/2014/chart" uri="{C3380CC4-5D6E-409C-BE32-E72D297353CC}">
              <c16:uniqueId val="{0000000B-8391-4C9B-B5D3-E980E56150BF}"/>
            </c:ext>
          </c:extLst>
        </c:ser>
        <c:ser>
          <c:idx val="12"/>
          <c:order val="12"/>
          <c:tx>
            <c:strRef>
              <c:f>Ratios!$A$16</c:f>
              <c:strCache>
                <c:ptCount val="1"/>
                <c:pt idx="0">
                  <c:v>Hastings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Ratios!$B$16:$K$16</c:f>
              <c:numCache>
                <c:formatCode>0%</c:formatCode>
                <c:ptCount val="10"/>
                <c:pt idx="0">
                  <c:v>0.97566667810687446</c:v>
                </c:pt>
                <c:pt idx="1">
                  <c:v>0.65457043291783945</c:v>
                </c:pt>
                <c:pt idx="2">
                  <c:v>0.65710167714884693</c:v>
                </c:pt>
                <c:pt idx="3">
                  <c:v>0.72752175314212053</c:v>
                </c:pt>
                <c:pt idx="4">
                  <c:v>0.71495978212679712</c:v>
                </c:pt>
                <c:pt idx="5">
                  <c:v>0.67773589607800377</c:v>
                </c:pt>
                <c:pt idx="6">
                  <c:v>0.66782576866764276</c:v>
                </c:pt>
                <c:pt idx="7">
                  <c:v>0.68163460675501841</c:v>
                </c:pt>
                <c:pt idx="8">
                  <c:v>0.66187576839763484</c:v>
                </c:pt>
                <c:pt idx="9">
                  <c:v>0.65138246863246141</c:v>
                </c:pt>
              </c:numCache>
            </c:numRef>
          </c:val>
          <c:smooth val="0"/>
          <c:extLst xmlns:c16r2="http://schemas.microsoft.com/office/drawing/2015/06/chart">
            <c:ext xmlns:c16="http://schemas.microsoft.com/office/drawing/2014/chart" uri="{C3380CC4-5D6E-409C-BE32-E72D297353CC}">
              <c16:uniqueId val="{0000000C-8391-4C9B-B5D3-E980E56150BF}"/>
            </c:ext>
          </c:extLst>
        </c:ser>
        <c:ser>
          <c:idx val="13"/>
          <c:order val="13"/>
          <c:tx>
            <c:strRef>
              <c:f>Ratios!$A$17</c:f>
              <c:strCache>
                <c:ptCount val="1"/>
                <c:pt idx="0">
                  <c:v>Hauraki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Ratios!$B$17:$K$17</c:f>
              <c:numCache>
                <c:formatCode>0%</c:formatCode>
                <c:ptCount val="10"/>
                <c:pt idx="0">
                  <c:v>0.65637165844796264</c:v>
                </c:pt>
                <c:pt idx="1">
                  <c:v>0.80216802168021684</c:v>
                </c:pt>
                <c:pt idx="2">
                  <c:v>0.57218526730721853</c:v>
                </c:pt>
                <c:pt idx="3">
                  <c:v>0.48907170923379173</c:v>
                </c:pt>
                <c:pt idx="4">
                  <c:v>0.45435633871757219</c:v>
                </c:pt>
                <c:pt idx="5">
                  <c:v>0.40865000570580851</c:v>
                </c:pt>
                <c:pt idx="6">
                  <c:v>0.51330841544908823</c:v>
                </c:pt>
                <c:pt idx="7">
                  <c:v>0.57626353790613716</c:v>
                </c:pt>
                <c:pt idx="8">
                  <c:v>0.43809920800333474</c:v>
                </c:pt>
                <c:pt idx="9">
                  <c:v>0.46544209215442089</c:v>
                </c:pt>
              </c:numCache>
            </c:numRef>
          </c:val>
          <c:smooth val="0"/>
          <c:extLst xmlns:c16r2="http://schemas.microsoft.com/office/drawing/2015/06/chart">
            <c:ext xmlns:c16="http://schemas.microsoft.com/office/drawing/2014/chart" uri="{C3380CC4-5D6E-409C-BE32-E72D297353CC}">
              <c16:uniqueId val="{0000000D-8391-4C9B-B5D3-E980E56150BF}"/>
            </c:ext>
          </c:extLst>
        </c:ser>
        <c:ser>
          <c:idx val="14"/>
          <c:order val="14"/>
          <c:tx>
            <c:strRef>
              <c:f>Ratios!$A$18</c:f>
              <c:strCache>
                <c:ptCount val="1"/>
                <c:pt idx="0">
                  <c:v>Hawke's Bay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Ratios!$B$18:$K$18</c:f>
              <c:numCache>
                <c:formatCode>0%</c:formatCode>
                <c:ptCount val="10"/>
                <c:pt idx="0">
                  <c:v>1.0417198808003405</c:v>
                </c:pt>
                <c:pt idx="1">
                  <c:v>0.94288012872083671</c:v>
                </c:pt>
                <c:pt idx="2">
                  <c:v>1.0466281310211947</c:v>
                </c:pt>
                <c:pt idx="3">
                  <c:v>0.93409090909090908</c:v>
                </c:pt>
                <c:pt idx="4">
                  <c:v>0.68552774755168666</c:v>
                </c:pt>
                <c:pt idx="5">
                  <c:v>1.2018252018252018</c:v>
                </c:pt>
                <c:pt idx="6">
                  <c:v>0.57758925415341111</c:v>
                </c:pt>
                <c:pt idx="7">
                  <c:v>0.70687186828919113</c:v>
                </c:pt>
                <c:pt idx="8">
                  <c:v>0.71031455742501826</c:v>
                </c:pt>
                <c:pt idx="9">
                  <c:v>0.51038575667655783</c:v>
                </c:pt>
              </c:numCache>
            </c:numRef>
          </c:val>
          <c:smooth val="0"/>
          <c:extLst xmlns:c16r2="http://schemas.microsoft.com/office/drawing/2015/06/chart">
            <c:ext xmlns:c16="http://schemas.microsoft.com/office/drawing/2014/chart" uri="{C3380CC4-5D6E-409C-BE32-E72D297353CC}">
              <c16:uniqueId val="{0000000E-8391-4C9B-B5D3-E980E56150BF}"/>
            </c:ext>
          </c:extLst>
        </c:ser>
        <c:ser>
          <c:idx val="15"/>
          <c:order val="15"/>
          <c:tx>
            <c:strRef>
              <c:f>Ratios!$A$19</c:f>
              <c:strCache>
                <c:ptCount val="1"/>
                <c:pt idx="0">
                  <c:v>Horowhenua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Ratios!$B$19:$K$19</c:f>
              <c:numCache>
                <c:formatCode>0%</c:formatCode>
                <c:ptCount val="10"/>
                <c:pt idx="0">
                  <c:v>1.1039676392116362</c:v>
                </c:pt>
                <c:pt idx="1">
                  <c:v>0.86172146043284326</c:v>
                </c:pt>
                <c:pt idx="2">
                  <c:v>0.76729655592807067</c:v>
                </c:pt>
                <c:pt idx="3">
                  <c:v>0.76318147871545927</c:v>
                </c:pt>
                <c:pt idx="4">
                  <c:v>0.81539813933045202</c:v>
                </c:pt>
                <c:pt idx="5">
                  <c:v>0.66842703389263991</c:v>
                </c:pt>
                <c:pt idx="6">
                  <c:v>0.77458659704090516</c:v>
                </c:pt>
                <c:pt idx="7">
                  <c:v>0.66635594913110063</c:v>
                </c:pt>
                <c:pt idx="8">
                  <c:v>0.70509612450411963</c:v>
                </c:pt>
                <c:pt idx="9">
                  <c:v>0.78874092009685226</c:v>
                </c:pt>
              </c:numCache>
            </c:numRef>
          </c:val>
          <c:smooth val="0"/>
          <c:extLst xmlns:c16r2="http://schemas.microsoft.com/office/drawing/2015/06/chart">
            <c:ext xmlns:c16="http://schemas.microsoft.com/office/drawing/2014/chart" uri="{C3380CC4-5D6E-409C-BE32-E72D297353CC}">
              <c16:uniqueId val="{0000000F-8391-4C9B-B5D3-E980E56150BF}"/>
            </c:ext>
          </c:extLst>
        </c:ser>
        <c:ser>
          <c:idx val="16"/>
          <c:order val="16"/>
          <c:tx>
            <c:strRef>
              <c:f>Ratios!$A$20</c:f>
              <c:strCache>
                <c:ptCount val="1"/>
                <c:pt idx="0">
                  <c:v>Hurunui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Ratios!$B$20:$K$20</c:f>
              <c:numCache>
                <c:formatCode>0%</c:formatCode>
                <c:ptCount val="10"/>
                <c:pt idx="0">
                  <c:v>0.84869380718737564</c:v>
                </c:pt>
                <c:pt idx="1">
                  <c:v>0.61428571428571432</c:v>
                </c:pt>
                <c:pt idx="2">
                  <c:v>0.73198992443324939</c:v>
                </c:pt>
                <c:pt idx="3">
                  <c:v>0.60026770503772209</c:v>
                </c:pt>
                <c:pt idx="4">
                  <c:v>0.59747693026515591</c:v>
                </c:pt>
                <c:pt idx="5">
                  <c:v>0.80823199251637046</c:v>
                </c:pt>
                <c:pt idx="6">
                  <c:v>0.73529746331475376</c:v>
                </c:pt>
                <c:pt idx="7">
                  <c:v>0.74929240148051379</c:v>
                </c:pt>
                <c:pt idx="8">
                  <c:v>0.73873581847649916</c:v>
                </c:pt>
                <c:pt idx="9">
                  <c:v>0.58923512747875351</c:v>
                </c:pt>
              </c:numCache>
            </c:numRef>
          </c:val>
          <c:smooth val="0"/>
          <c:extLst xmlns:c16r2="http://schemas.microsoft.com/office/drawing/2015/06/chart">
            <c:ext xmlns:c16="http://schemas.microsoft.com/office/drawing/2014/chart" uri="{C3380CC4-5D6E-409C-BE32-E72D297353CC}">
              <c16:uniqueId val="{00000010-8391-4C9B-B5D3-E980E56150BF}"/>
            </c:ext>
          </c:extLst>
        </c:ser>
        <c:ser>
          <c:idx val="17"/>
          <c:order val="17"/>
          <c:tx>
            <c:strRef>
              <c:f>Ratios!$A$21</c:f>
              <c:strCache>
                <c:ptCount val="1"/>
                <c:pt idx="0">
                  <c:v>Hutt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Ratios!$B$21:$K$21</c:f>
              <c:numCache>
                <c:formatCode>0%</c:formatCode>
                <c:ptCount val="10"/>
                <c:pt idx="0">
                  <c:v>0.55151353434729755</c:v>
                </c:pt>
                <c:pt idx="1">
                  <c:v>0.54582368333985021</c:v>
                </c:pt>
                <c:pt idx="2">
                  <c:v>0.54162324881324531</c:v>
                </c:pt>
                <c:pt idx="3">
                  <c:v>0.5791636383966009</c:v>
                </c:pt>
                <c:pt idx="4">
                  <c:v>0.58220578760119901</c:v>
                </c:pt>
                <c:pt idx="5">
                  <c:v>0.58496127770185169</c:v>
                </c:pt>
                <c:pt idx="6">
                  <c:v>0.57433051624070863</c:v>
                </c:pt>
                <c:pt idx="7">
                  <c:v>0.61171985457483335</c:v>
                </c:pt>
                <c:pt idx="8">
                  <c:v>0.59370522378997981</c:v>
                </c:pt>
                <c:pt idx="9">
                  <c:v>0.60137344669718773</c:v>
                </c:pt>
              </c:numCache>
            </c:numRef>
          </c:val>
          <c:smooth val="0"/>
          <c:extLst xmlns:c16r2="http://schemas.microsoft.com/office/drawing/2015/06/chart">
            <c:ext xmlns:c16="http://schemas.microsoft.com/office/drawing/2014/chart" uri="{C3380CC4-5D6E-409C-BE32-E72D297353CC}">
              <c16:uniqueId val="{00000011-8391-4C9B-B5D3-E980E56150BF}"/>
            </c:ext>
          </c:extLst>
        </c:ser>
        <c:ser>
          <c:idx val="18"/>
          <c:order val="18"/>
          <c:tx>
            <c:strRef>
              <c:f>Ratios!$A$22</c:f>
              <c:strCache>
                <c:ptCount val="1"/>
                <c:pt idx="0">
                  <c:v>Invercargill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Ratios!$B$22:$K$22</c:f>
              <c:numCache>
                <c:formatCode>0%</c:formatCode>
                <c:ptCount val="10"/>
                <c:pt idx="0">
                  <c:v>1.2295303221162497</c:v>
                </c:pt>
                <c:pt idx="1">
                  <c:v>0.95436755766508452</c:v>
                </c:pt>
                <c:pt idx="2">
                  <c:v>0.80567704688593422</c:v>
                </c:pt>
                <c:pt idx="3">
                  <c:v>0.74760292137582107</c:v>
                </c:pt>
                <c:pt idx="4">
                  <c:v>0.91912878787878793</c:v>
                </c:pt>
                <c:pt idx="5">
                  <c:v>1.02803738317757</c:v>
                </c:pt>
                <c:pt idx="6">
                  <c:v>0.93934975944015164</c:v>
                </c:pt>
                <c:pt idx="7">
                  <c:v>0.97924502955400328</c:v>
                </c:pt>
                <c:pt idx="8">
                  <c:v>0.88556116015132413</c:v>
                </c:pt>
                <c:pt idx="9">
                  <c:v>0.92255368768827128</c:v>
                </c:pt>
              </c:numCache>
            </c:numRef>
          </c:val>
          <c:smooth val="0"/>
          <c:extLst xmlns:c16r2="http://schemas.microsoft.com/office/drawing/2015/06/chart">
            <c:ext xmlns:c16="http://schemas.microsoft.com/office/drawing/2014/chart" uri="{C3380CC4-5D6E-409C-BE32-E72D297353CC}">
              <c16:uniqueId val="{00000012-8391-4C9B-B5D3-E980E56150BF}"/>
            </c:ext>
          </c:extLst>
        </c:ser>
        <c:ser>
          <c:idx val="19"/>
          <c:order val="19"/>
          <c:tx>
            <c:strRef>
              <c:f>Ratios!$A$23</c:f>
              <c:strCache>
                <c:ptCount val="1"/>
                <c:pt idx="0">
                  <c:v>Kaikoura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Ratios!$B$23:$K$23</c:f>
              <c:numCache>
                <c:formatCode>0%</c:formatCode>
                <c:ptCount val="10"/>
                <c:pt idx="0">
                  <c:v>0.60471551124384637</c:v>
                </c:pt>
                <c:pt idx="1">
                  <c:v>0.45227752571300522</c:v>
                </c:pt>
                <c:pt idx="2">
                  <c:v>0.45179818680329015</c:v>
                </c:pt>
                <c:pt idx="3">
                  <c:v>0.48785926672123026</c:v>
                </c:pt>
                <c:pt idx="4">
                  <c:v>0.46187945888734183</c:v>
                </c:pt>
                <c:pt idx="5">
                  <c:v>0.45055058556699451</c:v>
                </c:pt>
                <c:pt idx="6">
                  <c:v>0.45320747671202777</c:v>
                </c:pt>
                <c:pt idx="7">
                  <c:v>0.44413289315005527</c:v>
                </c:pt>
                <c:pt idx="8">
                  <c:v>0.45416362451619996</c:v>
                </c:pt>
                <c:pt idx="9">
                  <c:v>0.46406798905418306</c:v>
                </c:pt>
              </c:numCache>
            </c:numRef>
          </c:val>
          <c:smooth val="0"/>
          <c:extLst xmlns:c16r2="http://schemas.microsoft.com/office/drawing/2015/06/chart">
            <c:ext xmlns:c16="http://schemas.microsoft.com/office/drawing/2014/chart" uri="{C3380CC4-5D6E-409C-BE32-E72D297353CC}">
              <c16:uniqueId val="{00000013-8391-4C9B-B5D3-E980E56150BF}"/>
            </c:ext>
          </c:extLst>
        </c:ser>
        <c:ser>
          <c:idx val="20"/>
          <c:order val="20"/>
          <c:tx>
            <c:strRef>
              <c:f>Ratios!$A$24</c:f>
              <c:strCache>
                <c:ptCount val="1"/>
                <c:pt idx="0">
                  <c:v>Kaipara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Ratios!$B$24:$K$24</c:f>
              <c:numCache>
                <c:formatCode>0%</c:formatCode>
                <c:ptCount val="10"/>
                <c:pt idx="0">
                  <c:v>1.1360752801860858</c:v>
                </c:pt>
                <c:pt idx="1">
                  <c:v>0.93962611094085202</c:v>
                </c:pt>
                <c:pt idx="2">
                  <c:v>1.0822728617934301</c:v>
                </c:pt>
                <c:pt idx="3">
                  <c:v>1.2131381310010456</c:v>
                </c:pt>
                <c:pt idx="4">
                  <c:v>1.286563614744352</c:v>
                </c:pt>
                <c:pt idx="5">
                  <c:v>1.3073269416835254</c:v>
                </c:pt>
                <c:pt idx="6">
                  <c:v>1.2530294042877723</c:v>
                </c:pt>
                <c:pt idx="7">
                  <c:v>1.3670565142716937</c:v>
                </c:pt>
                <c:pt idx="8">
                  <c:v>1.395497126662993</c:v>
                </c:pt>
                <c:pt idx="9">
                  <c:v>1.4542434309876171</c:v>
                </c:pt>
              </c:numCache>
            </c:numRef>
          </c:val>
          <c:smooth val="0"/>
          <c:extLst xmlns:c16r2="http://schemas.microsoft.com/office/drawing/2015/06/chart">
            <c:ext xmlns:c16="http://schemas.microsoft.com/office/drawing/2014/chart" uri="{C3380CC4-5D6E-409C-BE32-E72D297353CC}">
              <c16:uniqueId val="{00000014-8391-4C9B-B5D3-E980E56150BF}"/>
            </c:ext>
          </c:extLst>
        </c:ser>
        <c:ser>
          <c:idx val="21"/>
          <c:order val="21"/>
          <c:tx>
            <c:strRef>
              <c:f>Ratios!$A$25</c:f>
              <c:strCache>
                <c:ptCount val="1"/>
                <c:pt idx="0">
                  <c:v>Kawerau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Ratios!$B$25:$K$25</c:f>
              <c:numCache>
                <c:formatCode>0%</c:formatCode>
                <c:ptCount val="10"/>
                <c:pt idx="0">
                  <c:v>0.83506039364142393</c:v>
                </c:pt>
                <c:pt idx="1">
                  <c:v>0.56148838391661993</c:v>
                </c:pt>
                <c:pt idx="2">
                  <c:v>0.55789019988147193</c:v>
                </c:pt>
                <c:pt idx="3">
                  <c:v>1.5133205692259066</c:v>
                </c:pt>
                <c:pt idx="4">
                  <c:v>0.60186897728008759</c:v>
                </c:pt>
                <c:pt idx="5">
                  <c:v>0.61688246941013913</c:v>
                </c:pt>
                <c:pt idx="6">
                  <c:v>0.72273054418958016</c:v>
                </c:pt>
                <c:pt idx="7">
                  <c:v>0.95357817086791352</c:v>
                </c:pt>
                <c:pt idx="8">
                  <c:v>1.1147438506242981</c:v>
                </c:pt>
                <c:pt idx="9">
                  <c:v>1.0173612158582865</c:v>
                </c:pt>
              </c:numCache>
            </c:numRef>
          </c:val>
          <c:smooth val="0"/>
          <c:extLst xmlns:c16r2="http://schemas.microsoft.com/office/drawing/2015/06/chart">
            <c:ext xmlns:c16="http://schemas.microsoft.com/office/drawing/2014/chart" uri="{C3380CC4-5D6E-409C-BE32-E72D297353CC}">
              <c16:uniqueId val="{00000015-8391-4C9B-B5D3-E980E56150BF}"/>
            </c:ext>
          </c:extLst>
        </c:ser>
        <c:ser>
          <c:idx val="22"/>
          <c:order val="22"/>
          <c:tx>
            <c:strRef>
              <c:f>Ratios!$A$26</c:f>
              <c:strCache>
                <c:ptCount val="1"/>
                <c:pt idx="0">
                  <c:v>Mackenzie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Ratios!$B$26:$K$26</c:f>
              <c:numCache>
                <c:formatCode>0%</c:formatCode>
                <c:ptCount val="10"/>
                <c:pt idx="0">
                  <c:v>0.81126578180640985</c:v>
                </c:pt>
                <c:pt idx="1">
                  <c:v>0.67618761274804573</c:v>
                </c:pt>
                <c:pt idx="2">
                  <c:v>0.86951399116347572</c:v>
                </c:pt>
                <c:pt idx="3">
                  <c:v>0.65372800893605143</c:v>
                </c:pt>
                <c:pt idx="4">
                  <c:v>0.65499351491569391</c:v>
                </c:pt>
                <c:pt idx="5">
                  <c:v>0.48661378284581058</c:v>
                </c:pt>
                <c:pt idx="6">
                  <c:v>0.48588899341486358</c:v>
                </c:pt>
                <c:pt idx="7">
                  <c:v>0.48407079646017698</c:v>
                </c:pt>
                <c:pt idx="8">
                  <c:v>0.46768383132019498</c:v>
                </c:pt>
                <c:pt idx="9">
                  <c:v>0.43904896232117668</c:v>
                </c:pt>
              </c:numCache>
            </c:numRef>
          </c:val>
          <c:smooth val="0"/>
          <c:extLst xmlns:c16r2="http://schemas.microsoft.com/office/drawing/2015/06/chart">
            <c:ext xmlns:c16="http://schemas.microsoft.com/office/drawing/2014/chart" uri="{C3380CC4-5D6E-409C-BE32-E72D297353CC}">
              <c16:uniqueId val="{00000016-8391-4C9B-B5D3-E980E56150BF}"/>
            </c:ext>
          </c:extLst>
        </c:ser>
        <c:ser>
          <c:idx val="23"/>
          <c:order val="23"/>
          <c:tx>
            <c:strRef>
              <c:f>Ratios!$A$27</c:f>
              <c:strCache>
                <c:ptCount val="1"/>
                <c:pt idx="0">
                  <c:v>Manawatu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Ratios!$B$27:$K$27</c:f>
              <c:numCache>
                <c:formatCode>0%</c:formatCode>
                <c:ptCount val="10"/>
                <c:pt idx="0">
                  <c:v>1.2841303988085389</c:v>
                </c:pt>
                <c:pt idx="1">
                  <c:v>1.1205547377392113</c:v>
                </c:pt>
                <c:pt idx="2">
                  <c:v>1.0963452681622345</c:v>
                </c:pt>
                <c:pt idx="3">
                  <c:v>1.0285875626455847</c:v>
                </c:pt>
                <c:pt idx="4">
                  <c:v>0.88230027548209367</c:v>
                </c:pt>
                <c:pt idx="5">
                  <c:v>0.7777258462976564</c:v>
                </c:pt>
                <c:pt idx="6">
                  <c:v>0.73754003843689941</c:v>
                </c:pt>
                <c:pt idx="7">
                  <c:v>0.71696589426601232</c:v>
                </c:pt>
                <c:pt idx="8">
                  <c:v>0.99100503717917965</c:v>
                </c:pt>
                <c:pt idx="9">
                  <c:v>0.77195434428138832</c:v>
                </c:pt>
              </c:numCache>
            </c:numRef>
          </c:val>
          <c:smooth val="0"/>
          <c:extLst xmlns:c16r2="http://schemas.microsoft.com/office/drawing/2015/06/chart">
            <c:ext xmlns:c16="http://schemas.microsoft.com/office/drawing/2014/chart" uri="{C3380CC4-5D6E-409C-BE32-E72D297353CC}">
              <c16:uniqueId val="{00000017-8391-4C9B-B5D3-E980E56150BF}"/>
            </c:ext>
          </c:extLst>
        </c:ser>
        <c:ser>
          <c:idx val="24"/>
          <c:order val="24"/>
          <c:tx>
            <c:strRef>
              <c:f>Ratios!$A$28</c:f>
              <c:strCache>
                <c:ptCount val="1"/>
                <c:pt idx="0">
                  <c:v>Manawatu-Wanganui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Ratios!$B$28:$K$28</c:f>
              <c:numCache>
                <c:formatCode>0%</c:formatCode>
                <c:ptCount val="10"/>
                <c:pt idx="0">
                  <c:v>1.3078602620087336</c:v>
                </c:pt>
                <c:pt idx="1">
                  <c:v>0.81832849306227817</c:v>
                </c:pt>
                <c:pt idx="2">
                  <c:v>0.78960790564233341</c:v>
                </c:pt>
                <c:pt idx="3">
                  <c:v>0.75117665516159393</c:v>
                </c:pt>
                <c:pt idx="4">
                  <c:v>0.76844389336639807</c:v>
                </c:pt>
                <c:pt idx="5">
                  <c:v>0.82670906200317962</c:v>
                </c:pt>
                <c:pt idx="6">
                  <c:v>0.96687236115621955</c:v>
                </c:pt>
                <c:pt idx="7">
                  <c:v>0.77265072414954528</c:v>
                </c:pt>
                <c:pt idx="8">
                  <c:v>0.81543624161073824</c:v>
                </c:pt>
                <c:pt idx="9">
                  <c:v>0.79181908879281671</c:v>
                </c:pt>
              </c:numCache>
            </c:numRef>
          </c:val>
          <c:smooth val="0"/>
          <c:extLst xmlns:c16r2="http://schemas.microsoft.com/office/drawing/2015/06/chart">
            <c:ext xmlns:c16="http://schemas.microsoft.com/office/drawing/2014/chart" uri="{C3380CC4-5D6E-409C-BE32-E72D297353CC}">
              <c16:uniqueId val="{00000018-8391-4C9B-B5D3-E980E56150BF}"/>
            </c:ext>
          </c:extLst>
        </c:ser>
        <c:ser>
          <c:idx val="25"/>
          <c:order val="25"/>
          <c:tx>
            <c:strRef>
              <c:f>Ratios!$A$29</c:f>
              <c:strCache>
                <c:ptCount val="1"/>
                <c:pt idx="0">
                  <c:v>Marlborough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Ratios!$B$29:$K$29</c:f>
              <c:numCache>
                <c:formatCode>0%</c:formatCode>
                <c:ptCount val="10"/>
                <c:pt idx="0">
                  <c:v>0.98845208845208843</c:v>
                </c:pt>
                <c:pt idx="1">
                  <c:v>0.85239338555265454</c:v>
                </c:pt>
                <c:pt idx="2">
                  <c:v>0.83093583980384145</c:v>
                </c:pt>
                <c:pt idx="3">
                  <c:v>1.0137349773685032</c:v>
                </c:pt>
                <c:pt idx="4">
                  <c:v>0.84121811439487582</c:v>
                </c:pt>
                <c:pt idx="5">
                  <c:v>0.58937268832167578</c:v>
                </c:pt>
                <c:pt idx="6">
                  <c:v>0.53658966051556556</c:v>
                </c:pt>
                <c:pt idx="7">
                  <c:v>0.61409465020576137</c:v>
                </c:pt>
                <c:pt idx="8">
                  <c:v>0.53264129181084197</c:v>
                </c:pt>
                <c:pt idx="9">
                  <c:v>0.50928026067789034</c:v>
                </c:pt>
              </c:numCache>
            </c:numRef>
          </c:val>
          <c:smooth val="0"/>
          <c:extLst xmlns:c16r2="http://schemas.microsoft.com/office/drawing/2015/06/chart">
            <c:ext xmlns:c16="http://schemas.microsoft.com/office/drawing/2014/chart" uri="{C3380CC4-5D6E-409C-BE32-E72D297353CC}">
              <c16:uniqueId val="{00000019-8391-4C9B-B5D3-E980E56150BF}"/>
            </c:ext>
          </c:extLst>
        </c:ser>
        <c:ser>
          <c:idx val="26"/>
          <c:order val="26"/>
          <c:tx>
            <c:strRef>
              <c:f>Ratios!$A$30</c:f>
              <c:strCache>
                <c:ptCount val="1"/>
                <c:pt idx="0">
                  <c:v>Masterton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Ratios!$B$30:$K$30</c:f>
              <c:numCache>
                <c:formatCode>0%</c:formatCode>
                <c:ptCount val="10"/>
                <c:pt idx="0">
                  <c:v>1.0092919468563255</c:v>
                </c:pt>
                <c:pt idx="1">
                  <c:v>0.99274199576543809</c:v>
                </c:pt>
                <c:pt idx="2">
                  <c:v>0.84576385866285919</c:v>
                </c:pt>
                <c:pt idx="3">
                  <c:v>0.82592000264350651</c:v>
                </c:pt>
                <c:pt idx="4">
                  <c:v>0.8267166054527183</c:v>
                </c:pt>
                <c:pt idx="5">
                  <c:v>0.62426042948699445</c:v>
                </c:pt>
                <c:pt idx="6">
                  <c:v>0.69087786556657482</c:v>
                </c:pt>
                <c:pt idx="7">
                  <c:v>0.65484045312140082</c:v>
                </c:pt>
                <c:pt idx="8">
                  <c:v>0.6252242861609274</c:v>
                </c:pt>
                <c:pt idx="9">
                  <c:v>0.66390663089515045</c:v>
                </c:pt>
              </c:numCache>
            </c:numRef>
          </c:val>
          <c:smooth val="0"/>
          <c:extLst xmlns:c16r2="http://schemas.microsoft.com/office/drawing/2015/06/chart">
            <c:ext xmlns:c16="http://schemas.microsoft.com/office/drawing/2014/chart" uri="{C3380CC4-5D6E-409C-BE32-E72D297353CC}">
              <c16:uniqueId val="{0000001A-8391-4C9B-B5D3-E980E56150BF}"/>
            </c:ext>
          </c:extLst>
        </c:ser>
        <c:ser>
          <c:idx val="27"/>
          <c:order val="27"/>
          <c:tx>
            <c:strRef>
              <c:f>Ratios!$A$31</c:f>
              <c:strCache>
                <c:ptCount val="1"/>
                <c:pt idx="0">
                  <c:v>Matamata-Piako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Ratios!$B$31:$K$31</c:f>
              <c:numCache>
                <c:formatCode>0%</c:formatCode>
                <c:ptCount val="10"/>
                <c:pt idx="0">
                  <c:v>0.8564516129032258</c:v>
                </c:pt>
                <c:pt idx="1">
                  <c:v>0.77072965584916242</c:v>
                </c:pt>
                <c:pt idx="2">
                  <c:v>0.71601208459214505</c:v>
                </c:pt>
                <c:pt idx="3">
                  <c:v>0.71770366036018463</c:v>
                </c:pt>
                <c:pt idx="4">
                  <c:v>0.79317980513728958</c:v>
                </c:pt>
                <c:pt idx="5">
                  <c:v>0.74362718257589588</c:v>
                </c:pt>
                <c:pt idx="6">
                  <c:v>0.73979802752022683</c:v>
                </c:pt>
                <c:pt idx="7">
                  <c:v>0.84358724889830028</c:v>
                </c:pt>
                <c:pt idx="8">
                  <c:v>0.72502597189567497</c:v>
                </c:pt>
                <c:pt idx="9">
                  <c:v>0.81903053958542116</c:v>
                </c:pt>
              </c:numCache>
            </c:numRef>
          </c:val>
          <c:smooth val="0"/>
          <c:extLst xmlns:c16r2="http://schemas.microsoft.com/office/drawing/2015/06/chart">
            <c:ext xmlns:c16="http://schemas.microsoft.com/office/drawing/2014/chart" uri="{C3380CC4-5D6E-409C-BE32-E72D297353CC}">
              <c16:uniqueId val="{0000001B-8391-4C9B-B5D3-E980E56150BF}"/>
            </c:ext>
          </c:extLst>
        </c:ser>
        <c:ser>
          <c:idx val="28"/>
          <c:order val="28"/>
          <c:tx>
            <c:strRef>
              <c:f>Ratios!$A$32</c:f>
              <c:strCache>
                <c:ptCount val="1"/>
                <c:pt idx="0">
                  <c:v>Napier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Ratios!$B$32:$K$32</c:f>
              <c:numCache>
                <c:formatCode>0%</c:formatCode>
                <c:ptCount val="10"/>
                <c:pt idx="0">
                  <c:v>0.96030705860325782</c:v>
                </c:pt>
                <c:pt idx="1">
                  <c:v>0.88441121826063873</c:v>
                </c:pt>
                <c:pt idx="2">
                  <c:v>0.83812600969305329</c:v>
                </c:pt>
                <c:pt idx="3">
                  <c:v>0.73681150432187292</c:v>
                </c:pt>
                <c:pt idx="4">
                  <c:v>0.69480979758998185</c:v>
                </c:pt>
                <c:pt idx="5">
                  <c:v>0.68148560817084491</c:v>
                </c:pt>
                <c:pt idx="6">
                  <c:v>0.73812808597153645</c:v>
                </c:pt>
                <c:pt idx="7">
                  <c:v>0.74292877573360638</c:v>
                </c:pt>
                <c:pt idx="8">
                  <c:v>0.68654379383461095</c:v>
                </c:pt>
                <c:pt idx="9">
                  <c:v>0.77808281118790779</c:v>
                </c:pt>
              </c:numCache>
            </c:numRef>
          </c:val>
          <c:smooth val="0"/>
          <c:extLst xmlns:c16r2="http://schemas.microsoft.com/office/drawing/2015/06/chart">
            <c:ext xmlns:c16="http://schemas.microsoft.com/office/drawing/2014/chart" uri="{C3380CC4-5D6E-409C-BE32-E72D297353CC}">
              <c16:uniqueId val="{0000001C-8391-4C9B-B5D3-E980E56150BF}"/>
            </c:ext>
          </c:extLst>
        </c:ser>
        <c:ser>
          <c:idx val="29"/>
          <c:order val="29"/>
          <c:tx>
            <c:strRef>
              <c:f>Ratios!$A$33</c:f>
              <c:strCache>
                <c:ptCount val="1"/>
                <c:pt idx="0">
                  <c:v>Northland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Ratios!$B$33:$K$33</c:f>
              <c:numCache>
                <c:formatCode>0%</c:formatCode>
                <c:ptCount val="10"/>
                <c:pt idx="0">
                  <c:v>0.81092355925546333</c:v>
                </c:pt>
                <c:pt idx="1">
                  <c:v>0.781226275939509</c:v>
                </c:pt>
                <c:pt idx="2">
                  <c:v>0.56854084872340149</c:v>
                </c:pt>
                <c:pt idx="3">
                  <c:v>0.61910380221674566</c:v>
                </c:pt>
                <c:pt idx="4">
                  <c:v>0.72682621139101955</c:v>
                </c:pt>
                <c:pt idx="5">
                  <c:v>0.96260730370161485</c:v>
                </c:pt>
                <c:pt idx="6">
                  <c:v>1.0542372940361431</c:v>
                </c:pt>
                <c:pt idx="7">
                  <c:v>0.86734227296981892</c:v>
                </c:pt>
                <c:pt idx="8">
                  <c:v>0.96731970733912898</c:v>
                </c:pt>
                <c:pt idx="9">
                  <c:v>0.98054111064160421</c:v>
                </c:pt>
              </c:numCache>
            </c:numRef>
          </c:val>
          <c:smooth val="0"/>
          <c:extLst xmlns:c16r2="http://schemas.microsoft.com/office/drawing/2015/06/chart">
            <c:ext xmlns:c16="http://schemas.microsoft.com/office/drawing/2014/chart" uri="{C3380CC4-5D6E-409C-BE32-E72D297353CC}">
              <c16:uniqueId val="{0000001D-8391-4C9B-B5D3-E980E56150BF}"/>
            </c:ext>
          </c:extLst>
        </c:ser>
        <c:ser>
          <c:idx val="30"/>
          <c:order val="30"/>
          <c:tx>
            <c:strRef>
              <c:f>Ratios!$A$34</c:f>
              <c:strCache>
                <c:ptCount val="1"/>
                <c:pt idx="0">
                  <c:v>Otago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Ratios!$B$34:$K$34</c:f>
              <c:numCache>
                <c:formatCode>0%</c:formatCode>
                <c:ptCount val="10"/>
                <c:pt idx="0">
                  <c:v>1.3266704740148487</c:v>
                </c:pt>
                <c:pt idx="1">
                  <c:v>1.0566514921598382</c:v>
                </c:pt>
                <c:pt idx="2">
                  <c:v>1.0098765432098766</c:v>
                </c:pt>
                <c:pt idx="3">
                  <c:v>0.81894540363975732</c:v>
                </c:pt>
                <c:pt idx="4">
                  <c:v>0.81459655485040794</c:v>
                </c:pt>
                <c:pt idx="5">
                  <c:v>0.72167266187050361</c:v>
                </c:pt>
                <c:pt idx="6">
                  <c:v>0.7985643786451323</c:v>
                </c:pt>
                <c:pt idx="7">
                  <c:v>0.52146196345091378</c:v>
                </c:pt>
                <c:pt idx="8">
                  <c:v>0.55996791014841552</c:v>
                </c:pt>
                <c:pt idx="9">
                  <c:v>0.75303802430419442</c:v>
                </c:pt>
              </c:numCache>
            </c:numRef>
          </c:val>
          <c:smooth val="0"/>
          <c:extLst xmlns:c16r2="http://schemas.microsoft.com/office/drawing/2015/06/chart">
            <c:ext xmlns:c16="http://schemas.microsoft.com/office/drawing/2014/chart" uri="{C3380CC4-5D6E-409C-BE32-E72D297353CC}">
              <c16:uniqueId val="{0000001E-8391-4C9B-B5D3-E980E56150BF}"/>
            </c:ext>
          </c:extLst>
        </c:ser>
        <c:ser>
          <c:idx val="31"/>
          <c:order val="31"/>
          <c:tx>
            <c:strRef>
              <c:f>Ratios!$A$35</c:f>
              <c:strCache>
                <c:ptCount val="1"/>
                <c:pt idx="0">
                  <c:v>Otorohanga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Ratios!$B$35:$K$35</c:f>
              <c:numCache>
                <c:formatCode>0%</c:formatCode>
                <c:ptCount val="10"/>
                <c:pt idx="0">
                  <c:v>1.0671312427409989</c:v>
                </c:pt>
                <c:pt idx="1">
                  <c:v>1.0361502347417841</c:v>
                </c:pt>
                <c:pt idx="2">
                  <c:v>0.90586979722518679</c:v>
                </c:pt>
                <c:pt idx="3">
                  <c:v>0.99153462122856517</c:v>
                </c:pt>
                <c:pt idx="4">
                  <c:v>1.0842490842490842</c:v>
                </c:pt>
                <c:pt idx="5">
                  <c:v>0.89405306495882886</c:v>
                </c:pt>
                <c:pt idx="6">
                  <c:v>0.85307477288609368</c:v>
                </c:pt>
                <c:pt idx="7">
                  <c:v>0.8361656492327999</c:v>
                </c:pt>
                <c:pt idx="8">
                  <c:v>0.79185520361990946</c:v>
                </c:pt>
                <c:pt idx="9">
                  <c:v>0.81035709204723294</c:v>
                </c:pt>
              </c:numCache>
            </c:numRef>
          </c:val>
          <c:smooth val="0"/>
          <c:extLst xmlns:c16r2="http://schemas.microsoft.com/office/drawing/2015/06/chart">
            <c:ext xmlns:c16="http://schemas.microsoft.com/office/drawing/2014/chart" uri="{C3380CC4-5D6E-409C-BE32-E72D297353CC}">
              <c16:uniqueId val="{0000001F-8391-4C9B-B5D3-E980E56150BF}"/>
            </c:ext>
          </c:extLst>
        </c:ser>
        <c:ser>
          <c:idx val="32"/>
          <c:order val="32"/>
          <c:tx>
            <c:strRef>
              <c:f>Ratios!$A$36</c:f>
              <c:strCache>
                <c:ptCount val="1"/>
                <c:pt idx="0">
                  <c:v>Palmerston North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Ratios!$B$36:$K$36</c:f>
              <c:numCache>
                <c:formatCode>0%</c:formatCode>
                <c:ptCount val="10"/>
                <c:pt idx="0">
                  <c:v>0.94027935069837676</c:v>
                </c:pt>
                <c:pt idx="1">
                  <c:v>0.78151136656718623</c:v>
                </c:pt>
                <c:pt idx="2">
                  <c:v>0.8913194928242999</c:v>
                </c:pt>
                <c:pt idx="3">
                  <c:v>1.0026503230081165</c:v>
                </c:pt>
                <c:pt idx="4">
                  <c:v>0.8686161713007351</c:v>
                </c:pt>
                <c:pt idx="5">
                  <c:v>0.82126417762267212</c:v>
                </c:pt>
                <c:pt idx="6">
                  <c:v>0.73388797750175772</c:v>
                </c:pt>
                <c:pt idx="7">
                  <c:v>0.71412215925353484</c:v>
                </c:pt>
                <c:pt idx="8">
                  <c:v>0.64384708901796572</c:v>
                </c:pt>
                <c:pt idx="9">
                  <c:v>0.6605867722179134</c:v>
                </c:pt>
              </c:numCache>
            </c:numRef>
          </c:val>
          <c:smooth val="0"/>
          <c:extLst xmlns:c16r2="http://schemas.microsoft.com/office/drawing/2015/06/chart">
            <c:ext xmlns:c16="http://schemas.microsoft.com/office/drawing/2014/chart" uri="{C3380CC4-5D6E-409C-BE32-E72D297353CC}">
              <c16:uniqueId val="{00000020-8391-4C9B-B5D3-E980E56150BF}"/>
            </c:ext>
          </c:extLst>
        </c:ser>
        <c:ser>
          <c:idx val="33"/>
          <c:order val="33"/>
          <c:tx>
            <c:strRef>
              <c:f>Ratios!$A$37</c:f>
              <c:strCache>
                <c:ptCount val="1"/>
                <c:pt idx="0">
                  <c:v>Porirua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Ratios!$B$37:$K$37</c:f>
              <c:numCache>
                <c:formatCode>0%</c:formatCode>
                <c:ptCount val="10"/>
                <c:pt idx="0">
                  <c:v>0.62700426808167031</c:v>
                </c:pt>
                <c:pt idx="1">
                  <c:v>0.57446014396161027</c:v>
                </c:pt>
                <c:pt idx="2">
                  <c:v>0.49900015382248886</c:v>
                </c:pt>
                <c:pt idx="3">
                  <c:v>0.62908949492003308</c:v>
                </c:pt>
                <c:pt idx="4">
                  <c:v>0.52879651658661397</c:v>
                </c:pt>
                <c:pt idx="5">
                  <c:v>0.76433064587578625</c:v>
                </c:pt>
                <c:pt idx="6">
                  <c:v>0.39017506544502617</c:v>
                </c:pt>
                <c:pt idx="7">
                  <c:v>0.38968584709087994</c:v>
                </c:pt>
                <c:pt idx="8">
                  <c:v>0.36601082894837184</c:v>
                </c:pt>
                <c:pt idx="9">
                  <c:v>0.39743402295489438</c:v>
                </c:pt>
              </c:numCache>
            </c:numRef>
          </c:val>
          <c:smooth val="0"/>
          <c:extLst xmlns:c16r2="http://schemas.microsoft.com/office/drawing/2015/06/chart">
            <c:ext xmlns:c16="http://schemas.microsoft.com/office/drawing/2014/chart" uri="{C3380CC4-5D6E-409C-BE32-E72D297353CC}">
              <c16:uniqueId val="{00000021-8391-4C9B-B5D3-E980E56150BF}"/>
            </c:ext>
          </c:extLst>
        </c:ser>
        <c:ser>
          <c:idx val="34"/>
          <c:order val="34"/>
          <c:tx>
            <c:strRef>
              <c:f>Ratios!$A$38</c:f>
              <c:strCache>
                <c:ptCount val="1"/>
                <c:pt idx="0">
                  <c:v>Rangitikei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Ratios!$B$38:$K$38</c:f>
              <c:numCache>
                <c:formatCode>0%</c:formatCode>
                <c:ptCount val="10"/>
                <c:pt idx="0">
                  <c:v>0.98826291079812212</c:v>
                </c:pt>
                <c:pt idx="1">
                  <c:v>1.3133579475527786</c:v>
                </c:pt>
                <c:pt idx="2">
                  <c:v>1.055673923112552</c:v>
                </c:pt>
                <c:pt idx="3">
                  <c:v>0.99704524469067402</c:v>
                </c:pt>
                <c:pt idx="4">
                  <c:v>0.77889766639426128</c:v>
                </c:pt>
                <c:pt idx="5">
                  <c:v>0.70168670375022435</c:v>
                </c:pt>
                <c:pt idx="6">
                  <c:v>1.1035369204857726</c:v>
                </c:pt>
                <c:pt idx="7">
                  <c:v>0.78518128346940563</c:v>
                </c:pt>
                <c:pt idx="8">
                  <c:v>0.76160027650565976</c:v>
                </c:pt>
                <c:pt idx="9">
                  <c:v>0.96250532594801874</c:v>
                </c:pt>
              </c:numCache>
            </c:numRef>
          </c:val>
          <c:smooth val="0"/>
          <c:extLst xmlns:c16r2="http://schemas.microsoft.com/office/drawing/2015/06/chart">
            <c:ext xmlns:c16="http://schemas.microsoft.com/office/drawing/2014/chart" uri="{C3380CC4-5D6E-409C-BE32-E72D297353CC}">
              <c16:uniqueId val="{00000022-8391-4C9B-B5D3-E980E56150BF}"/>
            </c:ext>
          </c:extLst>
        </c:ser>
        <c:ser>
          <c:idx val="35"/>
          <c:order val="35"/>
          <c:tx>
            <c:strRef>
              <c:f>Ratios!$A$39</c:f>
              <c:strCache>
                <c:ptCount val="1"/>
                <c:pt idx="0">
                  <c:v>Rotorua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Ratios!$B$39:$K$39</c:f>
              <c:numCache>
                <c:formatCode>0%</c:formatCode>
                <c:ptCount val="10"/>
                <c:pt idx="0">
                  <c:v>0.83195460176637492</c:v>
                </c:pt>
                <c:pt idx="1">
                  <c:v>0.70996040680071426</c:v>
                </c:pt>
                <c:pt idx="2">
                  <c:v>0.64816978927130853</c:v>
                </c:pt>
                <c:pt idx="3">
                  <c:v>0.86132748217224353</c:v>
                </c:pt>
                <c:pt idx="4">
                  <c:v>0.76256756279365523</c:v>
                </c:pt>
                <c:pt idx="5">
                  <c:v>0.79629125552909152</c:v>
                </c:pt>
                <c:pt idx="6">
                  <c:v>0.70933526582778839</c:v>
                </c:pt>
                <c:pt idx="7">
                  <c:v>0.52945107398568014</c:v>
                </c:pt>
                <c:pt idx="8">
                  <c:v>0.52139826600258254</c:v>
                </c:pt>
                <c:pt idx="9">
                  <c:v>0.62885345032013285</c:v>
                </c:pt>
              </c:numCache>
            </c:numRef>
          </c:val>
          <c:smooth val="0"/>
          <c:extLst xmlns:c16r2="http://schemas.microsoft.com/office/drawing/2015/06/chart">
            <c:ext xmlns:c16="http://schemas.microsoft.com/office/drawing/2014/chart" uri="{C3380CC4-5D6E-409C-BE32-E72D297353CC}">
              <c16:uniqueId val="{00000023-8391-4C9B-B5D3-E980E56150BF}"/>
            </c:ext>
          </c:extLst>
        </c:ser>
        <c:ser>
          <c:idx val="36"/>
          <c:order val="36"/>
          <c:tx>
            <c:strRef>
              <c:f>Ratios!$A$40</c:f>
              <c:strCache>
                <c:ptCount val="1"/>
                <c:pt idx="0">
                  <c:v>South Taranaki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Ratios!$B$40:$K$40</c:f>
              <c:numCache>
                <c:formatCode>0%</c:formatCode>
                <c:ptCount val="10"/>
                <c:pt idx="0">
                  <c:v>0.78669039598296575</c:v>
                </c:pt>
                <c:pt idx="1">
                  <c:v>0.66973427596294488</c:v>
                </c:pt>
                <c:pt idx="2">
                  <c:v>0.79111457521434136</c:v>
                </c:pt>
                <c:pt idx="3">
                  <c:v>0.71092386397833285</c:v>
                </c:pt>
                <c:pt idx="4">
                  <c:v>0.71115827097062434</c:v>
                </c:pt>
                <c:pt idx="5">
                  <c:v>0.81017623649801018</c:v>
                </c:pt>
                <c:pt idx="6">
                  <c:v>0.81009506564056133</c:v>
                </c:pt>
                <c:pt idx="7">
                  <c:v>0.71970090352061478</c:v>
                </c:pt>
                <c:pt idx="8">
                  <c:v>0.85799001248439455</c:v>
                </c:pt>
                <c:pt idx="9">
                  <c:v>0.82725299710624223</c:v>
                </c:pt>
              </c:numCache>
            </c:numRef>
          </c:val>
          <c:smooth val="0"/>
          <c:extLst xmlns:c16r2="http://schemas.microsoft.com/office/drawing/2015/06/chart">
            <c:ext xmlns:c16="http://schemas.microsoft.com/office/drawing/2014/chart" uri="{C3380CC4-5D6E-409C-BE32-E72D297353CC}">
              <c16:uniqueId val="{00000024-8391-4C9B-B5D3-E980E56150BF}"/>
            </c:ext>
          </c:extLst>
        </c:ser>
        <c:ser>
          <c:idx val="37"/>
          <c:order val="37"/>
          <c:tx>
            <c:strRef>
              <c:f>Ratios!$A$41</c:f>
              <c:strCache>
                <c:ptCount val="1"/>
                <c:pt idx="0">
                  <c:v>South Waikato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Ratios!$B$41:$K$41</c:f>
              <c:numCache>
                <c:formatCode>0%</c:formatCode>
                <c:ptCount val="10"/>
                <c:pt idx="0">
                  <c:v>0.98235445646573927</c:v>
                </c:pt>
                <c:pt idx="1">
                  <c:v>0.75884732052578363</c:v>
                </c:pt>
                <c:pt idx="2">
                  <c:v>0.64746211210007221</c:v>
                </c:pt>
                <c:pt idx="3">
                  <c:v>0.8277868280195485</c:v>
                </c:pt>
                <c:pt idx="4">
                  <c:v>0.62913082842915347</c:v>
                </c:pt>
                <c:pt idx="5">
                  <c:v>0.66575611888111885</c:v>
                </c:pt>
                <c:pt idx="6">
                  <c:v>0.67417770183682191</c:v>
                </c:pt>
                <c:pt idx="7">
                  <c:v>0.60788838770586384</c:v>
                </c:pt>
                <c:pt idx="8">
                  <c:v>0.64339679661529159</c:v>
                </c:pt>
                <c:pt idx="9">
                  <c:v>0.60031862989146667</c:v>
                </c:pt>
              </c:numCache>
            </c:numRef>
          </c:val>
          <c:smooth val="0"/>
          <c:extLst xmlns:c16r2="http://schemas.microsoft.com/office/drawing/2015/06/chart">
            <c:ext xmlns:c16="http://schemas.microsoft.com/office/drawing/2014/chart" uri="{C3380CC4-5D6E-409C-BE32-E72D297353CC}">
              <c16:uniqueId val="{00000025-8391-4C9B-B5D3-E980E56150BF}"/>
            </c:ext>
          </c:extLst>
        </c:ser>
        <c:ser>
          <c:idx val="38"/>
          <c:order val="38"/>
          <c:tx>
            <c:strRef>
              <c:f>Ratios!$A$42</c:f>
              <c:strCache>
                <c:ptCount val="1"/>
                <c:pt idx="0">
                  <c:v>South Wairarapa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Ratios!$B$42:$K$42</c:f>
              <c:numCache>
                <c:formatCode>0%</c:formatCode>
                <c:ptCount val="10"/>
                <c:pt idx="0">
                  <c:v>0.74892649659004795</c:v>
                </c:pt>
                <c:pt idx="1">
                  <c:v>1.5863386673035587</c:v>
                </c:pt>
                <c:pt idx="2">
                  <c:v>0.59314525530426676</c:v>
                </c:pt>
                <c:pt idx="3">
                  <c:v>0.6352506352506353</c:v>
                </c:pt>
                <c:pt idx="4">
                  <c:v>0.66486120514556535</c:v>
                </c:pt>
                <c:pt idx="5">
                  <c:v>0.6455073759499329</c:v>
                </c:pt>
                <c:pt idx="6">
                  <c:v>0.66427171783148264</c:v>
                </c:pt>
                <c:pt idx="7">
                  <c:v>0.65558912386706947</c:v>
                </c:pt>
                <c:pt idx="8">
                  <c:v>0.67397318578420939</c:v>
                </c:pt>
                <c:pt idx="9">
                  <c:v>0.66472666805238001</c:v>
                </c:pt>
              </c:numCache>
            </c:numRef>
          </c:val>
          <c:smooth val="0"/>
          <c:extLst xmlns:c16r2="http://schemas.microsoft.com/office/drawing/2015/06/chart">
            <c:ext xmlns:c16="http://schemas.microsoft.com/office/drawing/2014/chart" uri="{C3380CC4-5D6E-409C-BE32-E72D297353CC}">
              <c16:uniqueId val="{00000026-8391-4C9B-B5D3-E980E56150BF}"/>
            </c:ext>
          </c:extLst>
        </c:ser>
        <c:ser>
          <c:idx val="39"/>
          <c:order val="39"/>
          <c:tx>
            <c:strRef>
              <c:f>Ratios!$A$43</c:f>
              <c:strCache>
                <c:ptCount val="1"/>
                <c:pt idx="0">
                  <c:v>Southland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Ratios!$B$43:$K$43</c:f>
              <c:numCache>
                <c:formatCode>0%</c:formatCode>
                <c:ptCount val="10"/>
                <c:pt idx="0">
                  <c:v>0.66492195099356155</c:v>
                </c:pt>
                <c:pt idx="1">
                  <c:v>0.56895381971142978</c:v>
                </c:pt>
                <c:pt idx="2">
                  <c:v>0.65269434628975265</c:v>
                </c:pt>
                <c:pt idx="3">
                  <c:v>0.82762676424464188</c:v>
                </c:pt>
                <c:pt idx="4">
                  <c:v>0.81261314360291337</c:v>
                </c:pt>
                <c:pt idx="5">
                  <c:v>0.78163466272772031</c:v>
                </c:pt>
                <c:pt idx="6">
                  <c:v>0.78551319176319179</c:v>
                </c:pt>
                <c:pt idx="7">
                  <c:v>0.77050532019317597</c:v>
                </c:pt>
                <c:pt idx="8">
                  <c:v>0.85359293912648204</c:v>
                </c:pt>
                <c:pt idx="9">
                  <c:v>0.74701021961295933</c:v>
                </c:pt>
              </c:numCache>
            </c:numRef>
          </c:val>
          <c:smooth val="0"/>
          <c:extLst xmlns:c16r2="http://schemas.microsoft.com/office/drawing/2015/06/chart">
            <c:ext xmlns:c16="http://schemas.microsoft.com/office/drawing/2014/chart" uri="{C3380CC4-5D6E-409C-BE32-E72D297353CC}">
              <c16:uniqueId val="{00000027-8391-4C9B-B5D3-E980E56150BF}"/>
            </c:ext>
          </c:extLst>
        </c:ser>
        <c:ser>
          <c:idx val="40"/>
          <c:order val="40"/>
          <c:tx>
            <c:strRef>
              <c:f>Ratios!$A$44</c:f>
              <c:strCache>
                <c:ptCount val="1"/>
                <c:pt idx="0">
                  <c:v>Southland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Ratios!$B$44:$K$44</c:f>
              <c:numCache>
                <c:formatCode>0%</c:formatCode>
                <c:ptCount val="10"/>
                <c:pt idx="0">
                  <c:v>0.63476070528967254</c:v>
                </c:pt>
                <c:pt idx="1">
                  <c:v>0.58723404255319145</c:v>
                </c:pt>
                <c:pt idx="2">
                  <c:v>0.41086956521739132</c:v>
                </c:pt>
                <c:pt idx="3">
                  <c:v>0.41086956521739132</c:v>
                </c:pt>
                <c:pt idx="4">
                  <c:v>0.41086956521739132</c:v>
                </c:pt>
                <c:pt idx="5">
                  <c:v>0.41086956521739132</c:v>
                </c:pt>
                <c:pt idx="6">
                  <c:v>0.41086956521739132</c:v>
                </c:pt>
                <c:pt idx="7">
                  <c:v>0.41086956521739132</c:v>
                </c:pt>
                <c:pt idx="8">
                  <c:v>0.41086956521739132</c:v>
                </c:pt>
                <c:pt idx="9">
                  <c:v>0.41086956521739132</c:v>
                </c:pt>
              </c:numCache>
            </c:numRef>
          </c:val>
          <c:smooth val="0"/>
          <c:extLst xmlns:c16r2="http://schemas.microsoft.com/office/drawing/2015/06/chart">
            <c:ext xmlns:c16="http://schemas.microsoft.com/office/drawing/2014/chart" uri="{C3380CC4-5D6E-409C-BE32-E72D297353CC}">
              <c16:uniqueId val="{00000028-8391-4C9B-B5D3-E980E56150BF}"/>
            </c:ext>
          </c:extLst>
        </c:ser>
        <c:ser>
          <c:idx val="41"/>
          <c:order val="41"/>
          <c:tx>
            <c:strRef>
              <c:f>Ratios!$A$45</c:f>
              <c:strCache>
                <c:ptCount val="1"/>
                <c:pt idx="0">
                  <c:v>Stratford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Ratios!$B$45:$K$45</c:f>
              <c:numCache>
                <c:formatCode>0%</c:formatCode>
                <c:ptCount val="10"/>
                <c:pt idx="0">
                  <c:v>1.1901168451801363</c:v>
                </c:pt>
                <c:pt idx="1">
                  <c:v>1.0672007120605251</c:v>
                </c:pt>
                <c:pt idx="2">
                  <c:v>1.03125</c:v>
                </c:pt>
                <c:pt idx="3">
                  <c:v>0.94852785426816355</c:v>
                </c:pt>
                <c:pt idx="4">
                  <c:v>1.0418858367426456</c:v>
                </c:pt>
                <c:pt idx="5">
                  <c:v>0.91613649508386352</c:v>
                </c:pt>
                <c:pt idx="6">
                  <c:v>0.82672793413746892</c:v>
                </c:pt>
                <c:pt idx="7">
                  <c:v>0.81459074733096082</c:v>
                </c:pt>
                <c:pt idx="8">
                  <c:v>0.77468397676802192</c:v>
                </c:pt>
                <c:pt idx="9">
                  <c:v>0.80829805249788311</c:v>
                </c:pt>
              </c:numCache>
            </c:numRef>
          </c:val>
          <c:smooth val="0"/>
          <c:extLst xmlns:c16r2="http://schemas.microsoft.com/office/drawing/2015/06/chart">
            <c:ext xmlns:c16="http://schemas.microsoft.com/office/drawing/2014/chart" uri="{C3380CC4-5D6E-409C-BE32-E72D297353CC}">
              <c16:uniqueId val="{00000029-8391-4C9B-B5D3-E980E56150BF}"/>
            </c:ext>
          </c:extLst>
        </c:ser>
        <c:ser>
          <c:idx val="42"/>
          <c:order val="42"/>
          <c:tx>
            <c:strRef>
              <c:f>Ratios!$A$46</c:f>
              <c:strCache>
                <c:ptCount val="1"/>
                <c:pt idx="0">
                  <c:v>Tararua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Ratios!$B$46:$K$46</c:f>
              <c:numCache>
                <c:formatCode>0%</c:formatCode>
                <c:ptCount val="10"/>
                <c:pt idx="0">
                  <c:v>0.70726649837720879</c:v>
                </c:pt>
                <c:pt idx="1">
                  <c:v>0.6603279832519191</c:v>
                </c:pt>
                <c:pt idx="2">
                  <c:v>0.66697432455109917</c:v>
                </c:pt>
                <c:pt idx="3">
                  <c:v>0.77890534020961566</c:v>
                </c:pt>
                <c:pt idx="4">
                  <c:v>0.68894102418898151</c:v>
                </c:pt>
                <c:pt idx="5">
                  <c:v>0.67627754336615098</c:v>
                </c:pt>
                <c:pt idx="6">
                  <c:v>0.6473676202069385</c:v>
                </c:pt>
                <c:pt idx="7">
                  <c:v>0.65678280207561157</c:v>
                </c:pt>
                <c:pt idx="8">
                  <c:v>0.6533438012989794</c:v>
                </c:pt>
                <c:pt idx="9">
                  <c:v>0.71260061060227586</c:v>
                </c:pt>
              </c:numCache>
            </c:numRef>
          </c:val>
          <c:smooth val="0"/>
          <c:extLst xmlns:c16r2="http://schemas.microsoft.com/office/drawing/2015/06/chart">
            <c:ext xmlns:c16="http://schemas.microsoft.com/office/drawing/2014/chart" uri="{C3380CC4-5D6E-409C-BE32-E72D297353CC}">
              <c16:uniqueId val="{0000002A-8391-4C9B-B5D3-E980E56150BF}"/>
            </c:ext>
          </c:extLst>
        </c:ser>
        <c:ser>
          <c:idx val="43"/>
          <c:order val="43"/>
          <c:tx>
            <c:strRef>
              <c:f>Ratios!$A$47</c:f>
              <c:strCache>
                <c:ptCount val="1"/>
                <c:pt idx="0">
                  <c:v>Tasman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Ratios!$B$47:$K$47</c:f>
              <c:numCache>
                <c:formatCode>0%</c:formatCode>
                <c:ptCount val="10"/>
                <c:pt idx="0">
                  <c:v>0.72298287484821844</c:v>
                </c:pt>
                <c:pt idx="1">
                  <c:v>0.56033565772367333</c:v>
                </c:pt>
                <c:pt idx="2">
                  <c:v>0.40053954812844245</c:v>
                </c:pt>
                <c:pt idx="3">
                  <c:v>0.46008753647353062</c:v>
                </c:pt>
                <c:pt idx="4">
                  <c:v>0.54136684683489733</c:v>
                </c:pt>
                <c:pt idx="5">
                  <c:v>0.49078407953775138</c:v>
                </c:pt>
                <c:pt idx="6">
                  <c:v>0.47668106107341146</c:v>
                </c:pt>
                <c:pt idx="7">
                  <c:v>0.45571168590948419</c:v>
                </c:pt>
                <c:pt idx="8">
                  <c:v>0.44636049035134023</c:v>
                </c:pt>
                <c:pt idx="9">
                  <c:v>0.36491777603758807</c:v>
                </c:pt>
              </c:numCache>
            </c:numRef>
          </c:val>
          <c:smooth val="0"/>
          <c:extLst xmlns:c16r2="http://schemas.microsoft.com/office/drawing/2015/06/chart">
            <c:ext xmlns:c16="http://schemas.microsoft.com/office/drawing/2014/chart" uri="{C3380CC4-5D6E-409C-BE32-E72D297353CC}">
              <c16:uniqueId val="{0000002B-8391-4C9B-B5D3-E980E56150BF}"/>
            </c:ext>
          </c:extLst>
        </c:ser>
        <c:ser>
          <c:idx val="44"/>
          <c:order val="44"/>
          <c:tx>
            <c:strRef>
              <c:f>Ratios!$A$48</c:f>
              <c:strCache>
                <c:ptCount val="1"/>
                <c:pt idx="0">
                  <c:v>Taupo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Ratios!$B$48:$K$48</c:f>
              <c:numCache>
                <c:formatCode>0%</c:formatCode>
                <c:ptCount val="10"/>
                <c:pt idx="0">
                  <c:v>0.51945793914599847</c:v>
                </c:pt>
                <c:pt idx="1">
                  <c:v>0.51080050825921219</c:v>
                </c:pt>
                <c:pt idx="2">
                  <c:v>0.45969672785315241</c:v>
                </c:pt>
                <c:pt idx="3">
                  <c:v>0.46250793362952219</c:v>
                </c:pt>
                <c:pt idx="4">
                  <c:v>0.44720359915314045</c:v>
                </c:pt>
                <c:pt idx="5">
                  <c:v>0.41157228429415016</c:v>
                </c:pt>
                <c:pt idx="6">
                  <c:v>0.38053636733035351</c:v>
                </c:pt>
                <c:pt idx="7">
                  <c:v>0.36712318077178197</c:v>
                </c:pt>
                <c:pt idx="8">
                  <c:v>0.35664230841296607</c:v>
                </c:pt>
                <c:pt idx="9">
                  <c:v>0.32746265464009411</c:v>
                </c:pt>
              </c:numCache>
            </c:numRef>
          </c:val>
          <c:smooth val="0"/>
          <c:extLst xmlns:c16r2="http://schemas.microsoft.com/office/drawing/2015/06/chart">
            <c:ext xmlns:c16="http://schemas.microsoft.com/office/drawing/2014/chart" uri="{C3380CC4-5D6E-409C-BE32-E72D297353CC}">
              <c16:uniqueId val="{0000002C-8391-4C9B-B5D3-E980E56150BF}"/>
            </c:ext>
          </c:extLst>
        </c:ser>
        <c:ser>
          <c:idx val="45"/>
          <c:order val="45"/>
          <c:tx>
            <c:strRef>
              <c:f>Ratios!$A$49</c:f>
              <c:strCache>
                <c:ptCount val="1"/>
                <c:pt idx="0">
                  <c:v>Tauranga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Ratios!$B$49:$K$49</c:f>
              <c:numCache>
                <c:formatCode>0%</c:formatCode>
                <c:ptCount val="10"/>
                <c:pt idx="0">
                  <c:v>0.48670070168077023</c:v>
                </c:pt>
                <c:pt idx="1">
                  <c:v>0.50218138133074797</c:v>
                </c:pt>
                <c:pt idx="2">
                  <c:v>0.40663172826857907</c:v>
                </c:pt>
                <c:pt idx="3">
                  <c:v>0.51519477104541522</c:v>
                </c:pt>
                <c:pt idx="4">
                  <c:v>0.45240765342212869</c:v>
                </c:pt>
                <c:pt idx="5">
                  <c:v>0.51282547048208305</c:v>
                </c:pt>
                <c:pt idx="6">
                  <c:v>0.45859613121284365</c:v>
                </c:pt>
                <c:pt idx="7">
                  <c:v>0.41635359744990891</c:v>
                </c:pt>
                <c:pt idx="8">
                  <c:v>0.39077426862601822</c:v>
                </c:pt>
                <c:pt idx="9">
                  <c:v>0.37873346424142207</c:v>
                </c:pt>
              </c:numCache>
            </c:numRef>
          </c:val>
          <c:smooth val="0"/>
          <c:extLst xmlns:c16r2="http://schemas.microsoft.com/office/drawing/2015/06/chart">
            <c:ext xmlns:c16="http://schemas.microsoft.com/office/drawing/2014/chart" uri="{C3380CC4-5D6E-409C-BE32-E72D297353CC}">
              <c16:uniqueId val="{0000002D-8391-4C9B-B5D3-E980E56150BF}"/>
            </c:ext>
          </c:extLst>
        </c:ser>
        <c:ser>
          <c:idx val="46"/>
          <c:order val="46"/>
          <c:tx>
            <c:strRef>
              <c:f>Ratios!$A$50</c:f>
              <c:strCache>
                <c:ptCount val="1"/>
                <c:pt idx="0">
                  <c:v>Thames-Coromandel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Ratios!$B$50:$K$50</c:f>
              <c:numCache>
                <c:formatCode>0%</c:formatCode>
                <c:ptCount val="10"/>
                <c:pt idx="0">
                  <c:v>0.54541982650444654</c:v>
                </c:pt>
                <c:pt idx="1">
                  <c:v>0.81276462286341544</c:v>
                </c:pt>
                <c:pt idx="2">
                  <c:v>0.72470125548328546</c:v>
                </c:pt>
                <c:pt idx="3">
                  <c:v>0.70408311890081077</c:v>
                </c:pt>
                <c:pt idx="4">
                  <c:v>0.66321462043111523</c:v>
                </c:pt>
                <c:pt idx="5">
                  <c:v>0.57069854450882873</c:v>
                </c:pt>
                <c:pt idx="6">
                  <c:v>0.49216147799440424</c:v>
                </c:pt>
                <c:pt idx="7">
                  <c:v>0.60204389633909705</c:v>
                </c:pt>
                <c:pt idx="8">
                  <c:v>0.50882340786047853</c:v>
                </c:pt>
                <c:pt idx="9">
                  <c:v>0.60150761701791777</c:v>
                </c:pt>
              </c:numCache>
            </c:numRef>
          </c:val>
          <c:smooth val="0"/>
          <c:extLst xmlns:c16r2="http://schemas.microsoft.com/office/drawing/2015/06/chart">
            <c:ext xmlns:c16="http://schemas.microsoft.com/office/drawing/2014/chart" uri="{C3380CC4-5D6E-409C-BE32-E72D297353CC}">
              <c16:uniqueId val="{0000002E-8391-4C9B-B5D3-E980E56150BF}"/>
            </c:ext>
          </c:extLst>
        </c:ser>
        <c:ser>
          <c:idx val="47"/>
          <c:order val="47"/>
          <c:tx>
            <c:strRef>
              <c:f>Ratios!$A$51</c:f>
              <c:strCache>
                <c:ptCount val="1"/>
                <c:pt idx="0">
                  <c:v>Upper Hutt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Ratios!$B$51:$K$51</c:f>
              <c:numCache>
                <c:formatCode>0%</c:formatCode>
                <c:ptCount val="10"/>
                <c:pt idx="0">
                  <c:v>0.53724466287820616</c:v>
                </c:pt>
                <c:pt idx="1">
                  <c:v>0.51481896229936541</c:v>
                </c:pt>
                <c:pt idx="2">
                  <c:v>0.557024057024057</c:v>
                </c:pt>
                <c:pt idx="3">
                  <c:v>0.55741591346866204</c:v>
                </c:pt>
                <c:pt idx="4">
                  <c:v>0.60800812418395478</c:v>
                </c:pt>
                <c:pt idx="5">
                  <c:v>0.59004537719795802</c:v>
                </c:pt>
                <c:pt idx="6">
                  <c:v>0.62807140357017854</c:v>
                </c:pt>
                <c:pt idx="7">
                  <c:v>0.66748819059355102</c:v>
                </c:pt>
                <c:pt idx="8">
                  <c:v>0.65962314939434719</c:v>
                </c:pt>
                <c:pt idx="9">
                  <c:v>0.70302949774116397</c:v>
                </c:pt>
              </c:numCache>
            </c:numRef>
          </c:val>
          <c:smooth val="0"/>
          <c:extLst xmlns:c16r2="http://schemas.microsoft.com/office/drawing/2015/06/chart">
            <c:ext xmlns:c16="http://schemas.microsoft.com/office/drawing/2014/chart" uri="{C3380CC4-5D6E-409C-BE32-E72D297353CC}">
              <c16:uniqueId val="{0000002F-8391-4C9B-B5D3-E980E56150BF}"/>
            </c:ext>
          </c:extLst>
        </c:ser>
        <c:ser>
          <c:idx val="48"/>
          <c:order val="48"/>
          <c:tx>
            <c:strRef>
              <c:f>Ratios!$A$52</c:f>
              <c:strCache>
                <c:ptCount val="1"/>
                <c:pt idx="0">
                  <c:v>Waikato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Ratios!$B$52:$K$52</c:f>
              <c:numCache>
                <c:formatCode>0%</c:formatCode>
                <c:ptCount val="10"/>
                <c:pt idx="0">
                  <c:v>1.1488073888091823</c:v>
                </c:pt>
                <c:pt idx="1">
                  <c:v>1.1143325567348348</c:v>
                </c:pt>
                <c:pt idx="2">
                  <c:v>1.1301426333580675</c:v>
                </c:pt>
                <c:pt idx="3">
                  <c:v>1.0320345291834956</c:v>
                </c:pt>
                <c:pt idx="4">
                  <c:v>1.0558141323998922</c:v>
                </c:pt>
                <c:pt idx="5">
                  <c:v>1.0205226635169053</c:v>
                </c:pt>
                <c:pt idx="6">
                  <c:v>1.0695975941572391</c:v>
                </c:pt>
                <c:pt idx="7">
                  <c:v>0.94456656134084349</c:v>
                </c:pt>
                <c:pt idx="8">
                  <c:v>0.99853504245047442</c:v>
                </c:pt>
                <c:pt idx="9">
                  <c:v>0.93619323425516343</c:v>
                </c:pt>
              </c:numCache>
            </c:numRef>
          </c:val>
          <c:smooth val="0"/>
          <c:extLst xmlns:c16r2="http://schemas.microsoft.com/office/drawing/2015/06/chart">
            <c:ext xmlns:c16="http://schemas.microsoft.com/office/drawing/2014/chart" uri="{C3380CC4-5D6E-409C-BE32-E72D297353CC}">
              <c16:uniqueId val="{00000030-8391-4C9B-B5D3-E980E56150BF}"/>
            </c:ext>
          </c:extLst>
        </c:ser>
        <c:ser>
          <c:idx val="49"/>
          <c:order val="49"/>
          <c:tx>
            <c:strRef>
              <c:f>Ratios!$A$53</c:f>
              <c:strCache>
                <c:ptCount val="1"/>
                <c:pt idx="0">
                  <c:v>Waikato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Ratios!$B$53:$K$53</c:f>
              <c:numCache>
                <c:formatCode>0%</c:formatCode>
                <c:ptCount val="10"/>
                <c:pt idx="0">
                  <c:v>1.4657968077020522</c:v>
                </c:pt>
                <c:pt idx="1">
                  <c:v>1.2722079738866869</c:v>
                </c:pt>
                <c:pt idx="2">
                  <c:v>1.1002992352875984</c:v>
                </c:pt>
                <c:pt idx="3">
                  <c:v>0.90771812080536918</c:v>
                </c:pt>
                <c:pt idx="4">
                  <c:v>0.8717818771538618</c:v>
                </c:pt>
                <c:pt idx="5">
                  <c:v>0.84394710071210577</c:v>
                </c:pt>
                <c:pt idx="6">
                  <c:v>1.081110452479747</c:v>
                </c:pt>
                <c:pt idx="7">
                  <c:v>0.73459209120057001</c:v>
                </c:pt>
                <c:pt idx="8">
                  <c:v>0.84421070781963958</c:v>
                </c:pt>
                <c:pt idx="9">
                  <c:v>0.70117413593517441</c:v>
                </c:pt>
              </c:numCache>
            </c:numRef>
          </c:val>
          <c:smooth val="0"/>
          <c:extLst xmlns:c16r2="http://schemas.microsoft.com/office/drawing/2015/06/chart">
            <c:ext xmlns:c16="http://schemas.microsoft.com/office/drawing/2014/chart" uri="{C3380CC4-5D6E-409C-BE32-E72D297353CC}">
              <c16:uniqueId val="{00000031-8391-4C9B-B5D3-E980E56150BF}"/>
            </c:ext>
          </c:extLst>
        </c:ser>
        <c:ser>
          <c:idx val="50"/>
          <c:order val="50"/>
          <c:tx>
            <c:strRef>
              <c:f>Ratios!$A$54</c:f>
              <c:strCache>
                <c:ptCount val="1"/>
                <c:pt idx="0">
                  <c:v>Waimakariri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Ratios!$B$54:$K$54</c:f>
              <c:numCache>
                <c:formatCode>0%</c:formatCode>
                <c:ptCount val="10"/>
                <c:pt idx="0">
                  <c:v>2.376279953552201</c:v>
                </c:pt>
                <c:pt idx="1">
                  <c:v>1.0772187453801803</c:v>
                </c:pt>
                <c:pt idx="2">
                  <c:v>0.55363125855315931</c:v>
                </c:pt>
                <c:pt idx="3">
                  <c:v>0.47400555884631157</c:v>
                </c:pt>
                <c:pt idx="4">
                  <c:v>0.49411868753869287</c:v>
                </c:pt>
                <c:pt idx="5">
                  <c:v>0.50626362820129123</c:v>
                </c:pt>
                <c:pt idx="6">
                  <c:v>0.5085916303543534</c:v>
                </c:pt>
                <c:pt idx="7">
                  <c:v>0.48557119007870259</c:v>
                </c:pt>
                <c:pt idx="8">
                  <c:v>0.48879010436799381</c:v>
                </c:pt>
                <c:pt idx="9">
                  <c:v>0.44321536679248102</c:v>
                </c:pt>
              </c:numCache>
            </c:numRef>
          </c:val>
          <c:smooth val="0"/>
          <c:extLst xmlns:c16r2="http://schemas.microsoft.com/office/drawing/2015/06/chart">
            <c:ext xmlns:c16="http://schemas.microsoft.com/office/drawing/2014/chart" uri="{C3380CC4-5D6E-409C-BE32-E72D297353CC}">
              <c16:uniqueId val="{00000032-8391-4C9B-B5D3-E980E56150BF}"/>
            </c:ext>
          </c:extLst>
        </c:ser>
        <c:ser>
          <c:idx val="51"/>
          <c:order val="51"/>
          <c:tx>
            <c:strRef>
              <c:f>Ratios!$A$55</c:f>
              <c:strCache>
                <c:ptCount val="1"/>
                <c:pt idx="0">
                  <c:v>Waimate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Ratios!$B$55:$K$55</c:f>
              <c:numCache>
                <c:formatCode>0%</c:formatCode>
                <c:ptCount val="10"/>
                <c:pt idx="0">
                  <c:v>0.90526574803149606</c:v>
                </c:pt>
                <c:pt idx="1">
                  <c:v>0.76964452759588398</c:v>
                </c:pt>
                <c:pt idx="2">
                  <c:v>0.76672347677886665</c:v>
                </c:pt>
                <c:pt idx="3">
                  <c:v>0.8869184226997705</c:v>
                </c:pt>
                <c:pt idx="4">
                  <c:v>0.93097053369050076</c:v>
                </c:pt>
                <c:pt idx="5">
                  <c:v>0.80961997429777854</c:v>
                </c:pt>
                <c:pt idx="6">
                  <c:v>0.88238492207321495</c:v>
                </c:pt>
                <c:pt idx="7">
                  <c:v>0.84955911463019618</c:v>
                </c:pt>
                <c:pt idx="8">
                  <c:v>0.76691967109424419</c:v>
                </c:pt>
                <c:pt idx="9">
                  <c:v>0.78358910115878488</c:v>
                </c:pt>
              </c:numCache>
            </c:numRef>
          </c:val>
          <c:smooth val="0"/>
          <c:extLst xmlns:c16r2="http://schemas.microsoft.com/office/drawing/2015/06/chart">
            <c:ext xmlns:c16="http://schemas.microsoft.com/office/drawing/2014/chart" uri="{C3380CC4-5D6E-409C-BE32-E72D297353CC}">
              <c16:uniqueId val="{00000033-8391-4C9B-B5D3-E980E56150BF}"/>
            </c:ext>
          </c:extLst>
        </c:ser>
        <c:ser>
          <c:idx val="52"/>
          <c:order val="52"/>
          <c:tx>
            <c:strRef>
              <c:f>Ratios!$A$56</c:f>
              <c:strCache>
                <c:ptCount val="1"/>
                <c:pt idx="0">
                  <c:v>Waipa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Ratios!$B$56:$K$56</c:f>
              <c:numCache>
                <c:formatCode>0%</c:formatCode>
                <c:ptCount val="10"/>
                <c:pt idx="0">
                  <c:v>0.64595103578154422</c:v>
                </c:pt>
                <c:pt idx="1">
                  <c:v>0.77567374195087047</c:v>
                </c:pt>
                <c:pt idx="2">
                  <c:v>0.84195153119437727</c:v>
                </c:pt>
                <c:pt idx="3">
                  <c:v>0.62689541634173818</c:v>
                </c:pt>
                <c:pt idx="4">
                  <c:v>0.66960207398872473</c:v>
                </c:pt>
                <c:pt idx="5">
                  <c:v>0.69396078431372554</c:v>
                </c:pt>
                <c:pt idx="6">
                  <c:v>0.73312366617993929</c:v>
                </c:pt>
                <c:pt idx="7">
                  <c:v>0.74648896531957576</c:v>
                </c:pt>
                <c:pt idx="8">
                  <c:v>0.73880648262601289</c:v>
                </c:pt>
                <c:pt idx="9">
                  <c:v>0.76019452567936119</c:v>
                </c:pt>
              </c:numCache>
            </c:numRef>
          </c:val>
          <c:smooth val="0"/>
          <c:extLst xmlns:c16r2="http://schemas.microsoft.com/office/drawing/2015/06/chart">
            <c:ext xmlns:c16="http://schemas.microsoft.com/office/drawing/2014/chart" uri="{C3380CC4-5D6E-409C-BE32-E72D297353CC}">
              <c16:uniqueId val="{00000034-8391-4C9B-B5D3-E980E56150BF}"/>
            </c:ext>
          </c:extLst>
        </c:ser>
        <c:ser>
          <c:idx val="53"/>
          <c:order val="53"/>
          <c:tx>
            <c:strRef>
              <c:f>Ratios!$A$57</c:f>
              <c:strCache>
                <c:ptCount val="1"/>
                <c:pt idx="0">
                  <c:v>Wairoa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Ratios!$B$57:$K$57</c:f>
              <c:numCache>
                <c:formatCode>0%</c:formatCode>
                <c:ptCount val="10"/>
                <c:pt idx="0">
                  <c:v>1.7589164656008109</c:v>
                </c:pt>
                <c:pt idx="1">
                  <c:v>1.9550873779675777</c:v>
                </c:pt>
                <c:pt idx="2">
                  <c:v>1.9177587882599427</c:v>
                </c:pt>
                <c:pt idx="3">
                  <c:v>1.6196596585656102</c:v>
                </c:pt>
                <c:pt idx="4">
                  <c:v>1.4741924156280992</c:v>
                </c:pt>
                <c:pt idx="5">
                  <c:v>1.5521987636279362</c:v>
                </c:pt>
                <c:pt idx="6">
                  <c:v>1.5171530857737743</c:v>
                </c:pt>
                <c:pt idx="7">
                  <c:v>1.3658618615983869</c:v>
                </c:pt>
                <c:pt idx="8">
                  <c:v>1.4783827672580097</c:v>
                </c:pt>
                <c:pt idx="9">
                  <c:v>1.6733992538799958</c:v>
                </c:pt>
              </c:numCache>
            </c:numRef>
          </c:val>
          <c:smooth val="0"/>
          <c:extLst xmlns:c16r2="http://schemas.microsoft.com/office/drawing/2015/06/chart">
            <c:ext xmlns:c16="http://schemas.microsoft.com/office/drawing/2014/chart" uri="{C3380CC4-5D6E-409C-BE32-E72D297353CC}">
              <c16:uniqueId val="{00000035-8391-4C9B-B5D3-E980E56150BF}"/>
            </c:ext>
          </c:extLst>
        </c:ser>
        <c:ser>
          <c:idx val="54"/>
          <c:order val="54"/>
          <c:tx>
            <c:strRef>
              <c:f>Ratios!$A$58</c:f>
              <c:strCache>
                <c:ptCount val="1"/>
                <c:pt idx="0">
                  <c:v>Waitaki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Ratios!$B$58:$K$58</c:f>
              <c:numCache>
                <c:formatCode>0%</c:formatCode>
                <c:ptCount val="10"/>
                <c:pt idx="0">
                  <c:v>0.84386846513268099</c:v>
                </c:pt>
                <c:pt idx="1">
                  <c:v>0.68381713888406048</c:v>
                </c:pt>
                <c:pt idx="2">
                  <c:v>0.69888381532217148</c:v>
                </c:pt>
                <c:pt idx="3">
                  <c:v>0.58565284427493303</c:v>
                </c:pt>
                <c:pt idx="4">
                  <c:v>0.5795644891122278</c:v>
                </c:pt>
                <c:pt idx="5">
                  <c:v>0.58393257558184486</c:v>
                </c:pt>
                <c:pt idx="6">
                  <c:v>0.58594162455690479</c:v>
                </c:pt>
                <c:pt idx="7">
                  <c:v>0.57562060022230455</c:v>
                </c:pt>
                <c:pt idx="8">
                  <c:v>0.55538076510547019</c:v>
                </c:pt>
                <c:pt idx="9">
                  <c:v>0.62891465870425667</c:v>
                </c:pt>
              </c:numCache>
            </c:numRef>
          </c:val>
          <c:smooth val="0"/>
          <c:extLst xmlns:c16r2="http://schemas.microsoft.com/office/drawing/2015/06/chart">
            <c:ext xmlns:c16="http://schemas.microsoft.com/office/drawing/2014/chart" uri="{C3380CC4-5D6E-409C-BE32-E72D297353CC}">
              <c16:uniqueId val="{00000036-8391-4C9B-B5D3-E980E56150BF}"/>
            </c:ext>
          </c:extLst>
        </c:ser>
        <c:ser>
          <c:idx val="55"/>
          <c:order val="55"/>
          <c:tx>
            <c:strRef>
              <c:f>Ratios!$A$59</c:f>
              <c:strCache>
                <c:ptCount val="1"/>
                <c:pt idx="0">
                  <c:v>Waitomo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Ratios!$B$59:$K$59</c:f>
              <c:numCache>
                <c:formatCode>0%</c:formatCode>
                <c:ptCount val="10"/>
                <c:pt idx="0">
                  <c:v>1.396029072859422</c:v>
                </c:pt>
                <c:pt idx="1">
                  <c:v>1.3517672924065618</c:v>
                </c:pt>
                <c:pt idx="2">
                  <c:v>1.2843037112700033</c:v>
                </c:pt>
                <c:pt idx="3">
                  <c:v>1.2339941501462464</c:v>
                </c:pt>
                <c:pt idx="4">
                  <c:v>1.3303445021236433</c:v>
                </c:pt>
                <c:pt idx="5">
                  <c:v>1.3527705693787209</c:v>
                </c:pt>
                <c:pt idx="6">
                  <c:v>1.1801071376864052</c:v>
                </c:pt>
                <c:pt idx="7">
                  <c:v>1.1569204880100967</c:v>
                </c:pt>
                <c:pt idx="8">
                  <c:v>1.148956228956229</c:v>
                </c:pt>
                <c:pt idx="9">
                  <c:v>1.1665577199633939</c:v>
                </c:pt>
              </c:numCache>
            </c:numRef>
          </c:val>
          <c:smooth val="0"/>
          <c:extLst xmlns:c16r2="http://schemas.microsoft.com/office/drawing/2015/06/chart">
            <c:ext xmlns:c16="http://schemas.microsoft.com/office/drawing/2014/chart" uri="{C3380CC4-5D6E-409C-BE32-E72D297353CC}">
              <c16:uniqueId val="{00000037-8391-4C9B-B5D3-E980E56150BF}"/>
            </c:ext>
          </c:extLst>
        </c:ser>
        <c:ser>
          <c:idx val="56"/>
          <c:order val="56"/>
          <c:tx>
            <c:strRef>
              <c:f>Ratios!$A$60</c:f>
              <c:strCache>
                <c:ptCount val="1"/>
                <c:pt idx="0">
                  <c:v>Wanganui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Ratios!$B$60:$K$60</c:f>
              <c:numCache>
                <c:formatCode>0%</c:formatCode>
                <c:ptCount val="10"/>
                <c:pt idx="0">
                  <c:v>0.64946880958866793</c:v>
                </c:pt>
                <c:pt idx="1">
                  <c:v>1.1115339264658592</c:v>
                </c:pt>
                <c:pt idx="2">
                  <c:v>0.78700254851989804</c:v>
                </c:pt>
                <c:pt idx="3">
                  <c:v>0.62660904317115107</c:v>
                </c:pt>
                <c:pt idx="4">
                  <c:v>0.65058400718778076</c:v>
                </c:pt>
                <c:pt idx="5">
                  <c:v>0.82644456444979852</c:v>
                </c:pt>
                <c:pt idx="6">
                  <c:v>0.72215182111760623</c:v>
                </c:pt>
                <c:pt idx="7">
                  <c:v>0.64210611452604338</c:v>
                </c:pt>
                <c:pt idx="8">
                  <c:v>0.64097393382627532</c:v>
                </c:pt>
                <c:pt idx="9">
                  <c:v>0.58178852142963078</c:v>
                </c:pt>
              </c:numCache>
            </c:numRef>
          </c:val>
          <c:smooth val="0"/>
          <c:extLst xmlns:c16r2="http://schemas.microsoft.com/office/drawing/2015/06/chart">
            <c:ext xmlns:c16="http://schemas.microsoft.com/office/drawing/2014/chart" uri="{C3380CC4-5D6E-409C-BE32-E72D297353CC}">
              <c16:uniqueId val="{00000038-8391-4C9B-B5D3-E980E56150BF}"/>
            </c:ext>
          </c:extLst>
        </c:ser>
        <c:ser>
          <c:idx val="57"/>
          <c:order val="57"/>
          <c:tx>
            <c:strRef>
              <c:f>Ratios!$A$61</c:f>
              <c:strCache>
                <c:ptCount val="1"/>
                <c:pt idx="0">
                  <c:v>Wellington City</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Ratios!$B$61:$K$61</c:f>
              <c:numCache>
                <c:formatCode>0%</c:formatCode>
                <c:ptCount val="10"/>
                <c:pt idx="0">
                  <c:v>0.93358517791115969</c:v>
                </c:pt>
                <c:pt idx="1">
                  <c:v>0.79817114914425424</c:v>
                </c:pt>
                <c:pt idx="2">
                  <c:v>0.86329109267808202</c:v>
                </c:pt>
                <c:pt idx="3">
                  <c:v>0.79107262754946328</c:v>
                </c:pt>
                <c:pt idx="4">
                  <c:v>0.71001940784692597</c:v>
                </c:pt>
                <c:pt idx="5">
                  <c:v>0.77103148507546471</c:v>
                </c:pt>
                <c:pt idx="6">
                  <c:v>0.70079450223113637</c:v>
                </c:pt>
                <c:pt idx="7">
                  <c:v>0.71868281004589885</c:v>
                </c:pt>
                <c:pt idx="8">
                  <c:v>0.64513634280476628</c:v>
                </c:pt>
                <c:pt idx="9">
                  <c:v>0.77106321758806606</c:v>
                </c:pt>
              </c:numCache>
            </c:numRef>
          </c:val>
          <c:smooth val="0"/>
          <c:extLst xmlns:c16r2="http://schemas.microsoft.com/office/drawing/2015/06/chart">
            <c:ext xmlns:c16="http://schemas.microsoft.com/office/drawing/2014/chart" uri="{C3380CC4-5D6E-409C-BE32-E72D297353CC}">
              <c16:uniqueId val="{00000039-8391-4C9B-B5D3-E980E56150BF}"/>
            </c:ext>
          </c:extLst>
        </c:ser>
        <c:ser>
          <c:idx val="58"/>
          <c:order val="58"/>
          <c:tx>
            <c:strRef>
              <c:f>Ratios!$A$62</c:f>
              <c:strCache>
                <c:ptCount val="1"/>
                <c:pt idx="0">
                  <c:v>Wellington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Ratios!$B$62:$K$62</c:f>
              <c:numCache>
                <c:formatCode>0%</c:formatCode>
                <c:ptCount val="10"/>
                <c:pt idx="0">
                  <c:v>0.7141854311787893</c:v>
                </c:pt>
                <c:pt idx="1">
                  <c:v>0.54328312009905078</c:v>
                </c:pt>
                <c:pt idx="2">
                  <c:v>0.82025245703106808</c:v>
                </c:pt>
                <c:pt idx="3">
                  <c:v>0.46434910602190571</c:v>
                </c:pt>
                <c:pt idx="4">
                  <c:v>0.32868299340359391</c:v>
                </c:pt>
                <c:pt idx="5">
                  <c:v>0.64868158652780861</c:v>
                </c:pt>
                <c:pt idx="6">
                  <c:v>0.43850397252194429</c:v>
                </c:pt>
                <c:pt idx="7">
                  <c:v>0.31507360423309139</c:v>
                </c:pt>
                <c:pt idx="8">
                  <c:v>0.57644692582446166</c:v>
                </c:pt>
                <c:pt idx="9">
                  <c:v>0.35160909973644056</c:v>
                </c:pt>
              </c:numCache>
            </c:numRef>
          </c:val>
          <c:smooth val="0"/>
          <c:extLst xmlns:c16r2="http://schemas.microsoft.com/office/drawing/2015/06/chart">
            <c:ext xmlns:c16="http://schemas.microsoft.com/office/drawing/2014/chart" uri="{C3380CC4-5D6E-409C-BE32-E72D297353CC}">
              <c16:uniqueId val="{0000003A-8391-4C9B-B5D3-E980E56150BF}"/>
            </c:ext>
          </c:extLst>
        </c:ser>
        <c:ser>
          <c:idx val="59"/>
          <c:order val="59"/>
          <c:tx>
            <c:strRef>
              <c:f>Ratios!$A$63</c:f>
              <c:strCache>
                <c:ptCount val="1"/>
                <c:pt idx="0">
                  <c:v>West Coast Regional</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Ratios!$B$63:$K$63</c:f>
              <c:numCache>
                <c:formatCode>0%</c:formatCode>
                <c:ptCount val="10"/>
                <c:pt idx="0">
                  <c:v>0.43042505836618272</c:v>
                </c:pt>
                <c:pt idx="1">
                  <c:v>0.71687628350411259</c:v>
                </c:pt>
                <c:pt idx="2">
                  <c:v>0.51296007413699896</c:v>
                </c:pt>
                <c:pt idx="3">
                  <c:v>1.5460570831026634</c:v>
                </c:pt>
                <c:pt idx="4">
                  <c:v>0.4250718615003039</c:v>
                </c:pt>
                <c:pt idx="5">
                  <c:v>0.29417212954482302</c:v>
                </c:pt>
                <c:pt idx="6">
                  <c:v>1.1880399452570354</c:v>
                </c:pt>
                <c:pt idx="7">
                  <c:v>0.94858777345060907</c:v>
                </c:pt>
                <c:pt idx="8">
                  <c:v>1.4218484170131116</c:v>
                </c:pt>
                <c:pt idx="9">
                  <c:v>2.2986729137228652</c:v>
                </c:pt>
              </c:numCache>
            </c:numRef>
          </c:val>
          <c:smooth val="0"/>
          <c:extLst xmlns:c16r2="http://schemas.microsoft.com/office/drawing/2015/06/chart">
            <c:ext xmlns:c16="http://schemas.microsoft.com/office/drawing/2014/chart" uri="{C3380CC4-5D6E-409C-BE32-E72D297353CC}">
              <c16:uniqueId val="{0000003B-8391-4C9B-B5D3-E980E56150BF}"/>
            </c:ext>
          </c:extLst>
        </c:ser>
        <c:ser>
          <c:idx val="60"/>
          <c:order val="60"/>
          <c:tx>
            <c:strRef>
              <c:f>Ratios!$A$64</c:f>
              <c:strCache>
                <c:ptCount val="1"/>
                <c:pt idx="0">
                  <c:v>Western Bay of Plenty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Ratios!$B$64:$K$64</c:f>
              <c:numCache>
                <c:formatCode>0%</c:formatCode>
                <c:ptCount val="10"/>
                <c:pt idx="0">
                  <c:v>0.56303650842899988</c:v>
                </c:pt>
                <c:pt idx="1">
                  <c:v>0.50635906536527653</c:v>
                </c:pt>
                <c:pt idx="2">
                  <c:v>0.61315553880224283</c:v>
                </c:pt>
                <c:pt idx="3">
                  <c:v>0.54136674259681095</c:v>
                </c:pt>
                <c:pt idx="4">
                  <c:v>0.60157030044476723</c:v>
                </c:pt>
                <c:pt idx="5">
                  <c:v>0.53785959833544417</c:v>
                </c:pt>
                <c:pt idx="6">
                  <c:v>0.61663684371317595</c:v>
                </c:pt>
                <c:pt idx="7">
                  <c:v>0.57942939140710725</c:v>
                </c:pt>
                <c:pt idx="8">
                  <c:v>0.50467786084896027</c:v>
                </c:pt>
                <c:pt idx="9">
                  <c:v>0.46614468901050615</c:v>
                </c:pt>
              </c:numCache>
            </c:numRef>
          </c:val>
          <c:smooth val="0"/>
          <c:extLst xmlns:c16r2="http://schemas.microsoft.com/office/drawing/2015/06/chart">
            <c:ext xmlns:c16="http://schemas.microsoft.com/office/drawing/2014/chart" uri="{C3380CC4-5D6E-409C-BE32-E72D297353CC}">
              <c16:uniqueId val="{0000003C-8391-4C9B-B5D3-E980E56150BF}"/>
            </c:ext>
          </c:extLst>
        </c:ser>
        <c:ser>
          <c:idx val="61"/>
          <c:order val="61"/>
          <c:tx>
            <c:strRef>
              <c:f>Ratios!$A$65</c:f>
              <c:strCache>
                <c:ptCount val="1"/>
                <c:pt idx="0">
                  <c:v>Whakatane District</c:v>
                </c:pt>
              </c:strCache>
            </c:strRef>
          </c:tx>
          <c:spPr>
            <a:ln w="19050">
              <a:solidFill>
                <a:schemeClr val="bg1">
                  <a:lumMod val="85000"/>
                </a:schemeClr>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Ratios!$B$65:$K$65</c:f>
              <c:numCache>
                <c:formatCode>0%</c:formatCode>
                <c:ptCount val="10"/>
                <c:pt idx="0">
                  <c:v>0.69877583784868558</c:v>
                </c:pt>
                <c:pt idx="1">
                  <c:v>1.0055289805553831</c:v>
                </c:pt>
                <c:pt idx="2">
                  <c:v>1.0182802584851838</c:v>
                </c:pt>
                <c:pt idx="3">
                  <c:v>0.76389191544998913</c:v>
                </c:pt>
                <c:pt idx="4">
                  <c:v>0.68562532433834977</c:v>
                </c:pt>
                <c:pt idx="5">
                  <c:v>0.53577767635275619</c:v>
                </c:pt>
                <c:pt idx="6">
                  <c:v>0.5055137235851348</c:v>
                </c:pt>
                <c:pt idx="7">
                  <c:v>0.59464343635605399</c:v>
                </c:pt>
                <c:pt idx="8">
                  <c:v>0.57126477332862935</c:v>
                </c:pt>
                <c:pt idx="9">
                  <c:v>0.62766582703610407</c:v>
                </c:pt>
              </c:numCache>
            </c:numRef>
          </c:val>
          <c:smooth val="0"/>
          <c:extLst xmlns:c16r2="http://schemas.microsoft.com/office/drawing/2015/06/chart">
            <c:ext xmlns:c16="http://schemas.microsoft.com/office/drawing/2014/chart" uri="{C3380CC4-5D6E-409C-BE32-E72D297353CC}">
              <c16:uniqueId val="{0000003D-8391-4C9B-B5D3-E980E56150BF}"/>
            </c:ext>
          </c:extLst>
        </c:ser>
        <c:ser>
          <c:idx val="62"/>
          <c:order val="62"/>
          <c:tx>
            <c:strRef>
              <c:f>Ratios!$A$66</c:f>
              <c:strCache>
                <c:ptCount val="1"/>
                <c:pt idx="0">
                  <c:v>Hamilton City</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Ratios!$B$66:$K$66</c:f>
              <c:numCache>
                <c:formatCode>0%</c:formatCode>
                <c:ptCount val="10"/>
                <c:pt idx="0">
                  <c:v>0.56556659630335171</c:v>
                </c:pt>
                <c:pt idx="1">
                  <c:v>0.58986838497395122</c:v>
                </c:pt>
                <c:pt idx="2">
                  <c:v>0.62232466797590125</c:v>
                </c:pt>
                <c:pt idx="3">
                  <c:v>0.63100379956483621</c:v>
                </c:pt>
                <c:pt idx="4">
                  <c:v>0.63233922842286594</c:v>
                </c:pt>
                <c:pt idx="5">
                  <c:v>0.72014467683598049</c:v>
                </c:pt>
                <c:pt idx="6">
                  <c:v>0.78262602722924079</c:v>
                </c:pt>
                <c:pt idx="7">
                  <c:v>0.76301790885986165</c:v>
                </c:pt>
                <c:pt idx="8">
                  <c:v>0.64224898912238737</c:v>
                </c:pt>
                <c:pt idx="9">
                  <c:v>0.59613997359502391</c:v>
                </c:pt>
              </c:numCache>
            </c:numRef>
          </c:val>
          <c:smooth val="0"/>
          <c:extLst xmlns:c16r2="http://schemas.microsoft.com/office/drawing/2015/06/chart">
            <c:ext xmlns:c16="http://schemas.microsoft.com/office/drawing/2014/chart" uri="{C3380CC4-5D6E-409C-BE32-E72D297353CC}">
              <c16:uniqueId val="{0000003E-8391-4C9B-B5D3-E980E56150BF}"/>
            </c:ext>
          </c:extLst>
        </c:ser>
        <c:ser>
          <c:idx val="63"/>
          <c:order val="63"/>
          <c:tx>
            <c:strRef>
              <c:f>Ratios!$A$67</c:f>
              <c:strCache>
                <c:ptCount val="1"/>
                <c:pt idx="0">
                  <c:v>Dunedin City</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Ratios!$B$67:$K$67</c:f>
              <c:numCache>
                <c:formatCode>0%</c:formatCode>
                <c:ptCount val="10"/>
                <c:pt idx="0">
                  <c:v>0.56236201025333987</c:v>
                </c:pt>
                <c:pt idx="1">
                  <c:v>0.59852443897940366</c:v>
                </c:pt>
                <c:pt idx="2">
                  <c:v>0.65014131980408341</c:v>
                </c:pt>
                <c:pt idx="3">
                  <c:v>0.72704706085157733</c:v>
                </c:pt>
                <c:pt idx="4">
                  <c:v>0.76161180664953154</c:v>
                </c:pt>
                <c:pt idx="5">
                  <c:v>0.81012981213918922</c:v>
                </c:pt>
                <c:pt idx="6">
                  <c:v>0.77600037022182455</c:v>
                </c:pt>
                <c:pt idx="7">
                  <c:v>0.81721597162773629</c:v>
                </c:pt>
                <c:pt idx="8">
                  <c:v>0.79841185500059042</c:v>
                </c:pt>
                <c:pt idx="9">
                  <c:v>0.83301570801570801</c:v>
                </c:pt>
              </c:numCache>
            </c:numRef>
          </c:val>
          <c:smooth val="0"/>
          <c:extLst xmlns:c16r2="http://schemas.microsoft.com/office/drawing/2015/06/chart">
            <c:ext xmlns:c16="http://schemas.microsoft.com/office/drawing/2014/chart" uri="{C3380CC4-5D6E-409C-BE32-E72D297353CC}">
              <c16:uniqueId val="{0000003F-8391-4C9B-B5D3-E980E56150BF}"/>
            </c:ext>
          </c:extLst>
        </c:ser>
        <c:ser>
          <c:idx val="64"/>
          <c:order val="64"/>
          <c:tx>
            <c:strRef>
              <c:f>Ratios!$A$68</c:f>
              <c:strCache>
                <c:ptCount val="1"/>
                <c:pt idx="0">
                  <c:v>Westland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Ratios!$B$68:$K$68</c:f>
              <c:numCache>
                <c:formatCode>0%</c:formatCode>
                <c:ptCount val="10"/>
                <c:pt idx="0">
                  <c:v>0.69850881763369455</c:v>
                </c:pt>
                <c:pt idx="1">
                  <c:v>0.75756478226431345</c:v>
                </c:pt>
                <c:pt idx="2">
                  <c:v>0.87996190599623458</c:v>
                </c:pt>
                <c:pt idx="3">
                  <c:v>0.65715574834562906</c:v>
                </c:pt>
                <c:pt idx="4">
                  <c:v>0.67860624695339156</c:v>
                </c:pt>
                <c:pt idx="5">
                  <c:v>0.51091079890394997</c:v>
                </c:pt>
                <c:pt idx="6">
                  <c:v>0.54459722466581939</c:v>
                </c:pt>
                <c:pt idx="7">
                  <c:v>0.58850922539696371</c:v>
                </c:pt>
                <c:pt idx="8">
                  <c:v>0.5130400523884191</c:v>
                </c:pt>
                <c:pt idx="9">
                  <c:v>0.69384409012237791</c:v>
                </c:pt>
              </c:numCache>
            </c:numRef>
          </c:val>
          <c:smooth val="0"/>
          <c:extLst xmlns:c16r2="http://schemas.microsoft.com/office/drawing/2015/06/chart">
            <c:ext xmlns:c16="http://schemas.microsoft.com/office/drawing/2014/chart" uri="{C3380CC4-5D6E-409C-BE32-E72D297353CC}">
              <c16:uniqueId val="{00000040-8391-4C9B-B5D3-E980E56150BF}"/>
            </c:ext>
          </c:extLst>
        </c:ser>
        <c:ser>
          <c:idx val="65"/>
          <c:order val="65"/>
          <c:tx>
            <c:strRef>
              <c:f>Ratios!$A$69</c:f>
              <c:strCache>
                <c:ptCount val="1"/>
                <c:pt idx="0">
                  <c:v>Nelson City</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Ratios!$B$69:$K$69</c:f>
              <c:numCache>
                <c:formatCode>0%</c:formatCode>
                <c:ptCount val="10"/>
                <c:pt idx="0">
                  <c:v>0.5897730933861095</c:v>
                </c:pt>
                <c:pt idx="1">
                  <c:v>0.66473029045643151</c:v>
                </c:pt>
                <c:pt idx="2">
                  <c:v>0.51166687612584305</c:v>
                </c:pt>
                <c:pt idx="3">
                  <c:v>0.52776197057149821</c:v>
                </c:pt>
                <c:pt idx="4">
                  <c:v>0.46270017440938638</c:v>
                </c:pt>
                <c:pt idx="5">
                  <c:v>0.45001342178931625</c:v>
                </c:pt>
                <c:pt idx="6">
                  <c:v>0.47989662174635406</c:v>
                </c:pt>
                <c:pt idx="7">
                  <c:v>0.45636867932579472</c:v>
                </c:pt>
                <c:pt idx="8">
                  <c:v>0.46476997165203732</c:v>
                </c:pt>
                <c:pt idx="9">
                  <c:v>0.46943460579824214</c:v>
                </c:pt>
              </c:numCache>
            </c:numRef>
          </c:val>
          <c:smooth val="0"/>
          <c:extLst xmlns:c16r2="http://schemas.microsoft.com/office/drawing/2015/06/chart">
            <c:ext xmlns:c16="http://schemas.microsoft.com/office/drawing/2014/chart" uri="{C3380CC4-5D6E-409C-BE32-E72D297353CC}">
              <c16:uniqueId val="{00000041-8391-4C9B-B5D3-E980E56150BF}"/>
            </c:ext>
          </c:extLst>
        </c:ser>
        <c:ser>
          <c:idx val="66"/>
          <c:order val="66"/>
          <c:tx>
            <c:strRef>
              <c:f>Ratios!$A$70</c:f>
              <c:strCache>
                <c:ptCount val="1"/>
                <c:pt idx="0">
                  <c:v>Gisborne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Ratios!$B$70:$K$70</c:f>
              <c:numCache>
                <c:formatCode>0%</c:formatCode>
                <c:ptCount val="10"/>
                <c:pt idx="0">
                  <c:v>0.90511915269196819</c:v>
                </c:pt>
                <c:pt idx="1">
                  <c:v>1.2097222222222221</c:v>
                </c:pt>
                <c:pt idx="2">
                  <c:v>1.0271145659818619</c:v>
                </c:pt>
                <c:pt idx="3">
                  <c:v>0.86873109736830223</c:v>
                </c:pt>
                <c:pt idx="4">
                  <c:v>0.80978686385384946</c:v>
                </c:pt>
                <c:pt idx="5">
                  <c:v>0.77957805907172995</c:v>
                </c:pt>
                <c:pt idx="6">
                  <c:v>0.83548294640298082</c:v>
                </c:pt>
                <c:pt idx="7">
                  <c:v>0.77480977172607124</c:v>
                </c:pt>
                <c:pt idx="8">
                  <c:v>0.73516831683168316</c:v>
                </c:pt>
                <c:pt idx="9">
                  <c:v>0.73051129976353835</c:v>
                </c:pt>
              </c:numCache>
            </c:numRef>
          </c:val>
          <c:smooth val="0"/>
          <c:extLst xmlns:c16r2="http://schemas.microsoft.com/office/drawing/2015/06/chart">
            <c:ext xmlns:c16="http://schemas.microsoft.com/office/drawing/2014/chart" uri="{C3380CC4-5D6E-409C-BE32-E72D297353CC}">
              <c16:uniqueId val="{00000042-8391-4C9B-B5D3-E980E56150BF}"/>
            </c:ext>
          </c:extLst>
        </c:ser>
        <c:ser>
          <c:idx val="67"/>
          <c:order val="67"/>
          <c:tx>
            <c:strRef>
              <c:f>Ratios!$A$71</c:f>
              <c:strCache>
                <c:ptCount val="1"/>
                <c:pt idx="0">
                  <c:v>Auckland (Group)</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Ratios!$B$71:$K$71</c:f>
              <c:numCache>
                <c:formatCode>0%</c:formatCode>
                <c:ptCount val="10"/>
                <c:pt idx="0">
                  <c:v>0.69045498994782584</c:v>
                </c:pt>
                <c:pt idx="1">
                  <c:v>0.77166462499827948</c:v>
                </c:pt>
                <c:pt idx="2">
                  <c:v>0.66352925889028458</c:v>
                </c:pt>
                <c:pt idx="3">
                  <c:v>0.6063280419766206</c:v>
                </c:pt>
                <c:pt idx="4">
                  <c:v>0.65618532450566469</c:v>
                </c:pt>
                <c:pt idx="5">
                  <c:v>0.69002419930523928</c:v>
                </c:pt>
                <c:pt idx="6">
                  <c:v>0.70349462468473367</c:v>
                </c:pt>
                <c:pt idx="7">
                  <c:v>0.67228280731833867</c:v>
                </c:pt>
                <c:pt idx="8">
                  <c:v>0.6700878310703382</c:v>
                </c:pt>
                <c:pt idx="9">
                  <c:v>0.6547008403361344</c:v>
                </c:pt>
              </c:numCache>
            </c:numRef>
          </c:val>
          <c:smooth val="0"/>
          <c:extLst xmlns:c16r2="http://schemas.microsoft.com/office/drawing/2015/06/chart">
            <c:ext xmlns:c16="http://schemas.microsoft.com/office/drawing/2014/chart" uri="{C3380CC4-5D6E-409C-BE32-E72D297353CC}">
              <c16:uniqueId val="{00000043-8391-4C9B-B5D3-E980E56150BF}"/>
            </c:ext>
          </c:extLst>
        </c:ser>
        <c:ser>
          <c:idx val="69"/>
          <c:order val="68"/>
          <c:tx>
            <c:strRef>
              <c:f>Ratios!$A$73</c:f>
              <c:strCache>
                <c:ptCount val="1"/>
                <c:pt idx="0">
                  <c:v>Kapiti Coast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Ratios!$B$73:$K$73</c:f>
              <c:numCache>
                <c:formatCode>0%</c:formatCode>
                <c:ptCount val="10"/>
                <c:pt idx="0">
                  <c:v>0.52555282555282556</c:v>
                </c:pt>
                <c:pt idx="1">
                  <c:v>0.7941891422618359</c:v>
                </c:pt>
                <c:pt idx="2">
                  <c:v>0.44492523415676177</c:v>
                </c:pt>
                <c:pt idx="3">
                  <c:v>0.67994456136748627</c:v>
                </c:pt>
                <c:pt idx="4">
                  <c:v>0.68420052268947495</c:v>
                </c:pt>
                <c:pt idx="5">
                  <c:v>0.47544943559251174</c:v>
                </c:pt>
                <c:pt idx="6">
                  <c:v>0.40330474608234923</c:v>
                </c:pt>
                <c:pt idx="7">
                  <c:v>0.59583470259612226</c:v>
                </c:pt>
                <c:pt idx="8">
                  <c:v>0.50130393551446184</c:v>
                </c:pt>
                <c:pt idx="9">
                  <c:v>0.49723756906077349</c:v>
                </c:pt>
              </c:numCache>
            </c:numRef>
          </c:val>
          <c:smooth val="0"/>
          <c:extLst xmlns:c16r2="http://schemas.microsoft.com/office/drawing/2015/06/chart">
            <c:ext xmlns:c16="http://schemas.microsoft.com/office/drawing/2014/chart" uri="{C3380CC4-5D6E-409C-BE32-E72D297353CC}">
              <c16:uniqueId val="{00000044-8391-4C9B-B5D3-E980E56150BF}"/>
            </c:ext>
          </c:extLst>
        </c:ser>
        <c:ser>
          <c:idx val="70"/>
          <c:order val="69"/>
          <c:tx>
            <c:strRef>
              <c:f>Ratios!$A$74</c:f>
              <c:strCache>
                <c:ptCount val="1"/>
                <c:pt idx="0">
                  <c:v>Ruapehu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Ratios!$B$74:$K$74</c:f>
              <c:numCache>
                <c:formatCode>0%</c:formatCode>
                <c:ptCount val="10"/>
                <c:pt idx="0">
                  <c:v>0.97438896035551392</c:v>
                </c:pt>
                <c:pt idx="1">
                  <c:v>0.88391942642540111</c:v>
                </c:pt>
                <c:pt idx="2">
                  <c:v>1.0268959435626102</c:v>
                </c:pt>
                <c:pt idx="3">
                  <c:v>0.85660821214713434</c:v>
                </c:pt>
                <c:pt idx="4">
                  <c:v>0.86023294509151416</c:v>
                </c:pt>
                <c:pt idx="5">
                  <c:v>0.80205472484996443</c:v>
                </c:pt>
                <c:pt idx="6">
                  <c:v>0.92776568375222646</c:v>
                </c:pt>
                <c:pt idx="7">
                  <c:v>0.94380833253151164</c:v>
                </c:pt>
                <c:pt idx="8">
                  <c:v>0.84987396134814674</c:v>
                </c:pt>
                <c:pt idx="9">
                  <c:v>0.97567372038343281</c:v>
                </c:pt>
              </c:numCache>
            </c:numRef>
          </c:val>
          <c:smooth val="0"/>
          <c:extLst xmlns:c16r2="http://schemas.microsoft.com/office/drawing/2015/06/chart">
            <c:ext xmlns:c16="http://schemas.microsoft.com/office/drawing/2014/chart" uri="{C3380CC4-5D6E-409C-BE32-E72D297353CC}">
              <c16:uniqueId val="{00000045-8391-4C9B-B5D3-E980E56150BF}"/>
            </c:ext>
          </c:extLst>
        </c:ser>
        <c:ser>
          <c:idx val="71"/>
          <c:order val="70"/>
          <c:tx>
            <c:strRef>
              <c:f>Ratios!$A$75</c:f>
              <c:strCache>
                <c:ptCount val="1"/>
                <c:pt idx="0">
                  <c:v>Timaru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Ratios!$B$75:$K$75</c:f>
              <c:numCache>
                <c:formatCode>0%</c:formatCode>
                <c:ptCount val="10"/>
                <c:pt idx="0">
                  <c:v>1.3942852618836197</c:v>
                </c:pt>
                <c:pt idx="1">
                  <c:v>1.258101003646579</c:v>
                </c:pt>
                <c:pt idx="2">
                  <c:v>1.4299099085381086</c:v>
                </c:pt>
                <c:pt idx="3">
                  <c:v>0.93956491580732104</c:v>
                </c:pt>
                <c:pt idx="4">
                  <c:v>0.91968804665474335</c:v>
                </c:pt>
                <c:pt idx="5">
                  <c:v>1.3027943001180649</c:v>
                </c:pt>
                <c:pt idx="6">
                  <c:v>1.3032677035693536</c:v>
                </c:pt>
                <c:pt idx="7">
                  <c:v>1.2892846213317835</c:v>
                </c:pt>
                <c:pt idx="8">
                  <c:v>0.96262701626981007</c:v>
                </c:pt>
                <c:pt idx="9">
                  <c:v>1.2071221570807396</c:v>
                </c:pt>
              </c:numCache>
            </c:numRef>
          </c:val>
          <c:smooth val="0"/>
          <c:extLst xmlns:c16r2="http://schemas.microsoft.com/office/drawing/2015/06/chart">
            <c:ext xmlns:c16="http://schemas.microsoft.com/office/drawing/2014/chart" uri="{C3380CC4-5D6E-409C-BE32-E72D297353CC}">
              <c16:uniqueId val="{00000046-8391-4C9B-B5D3-E980E56150BF}"/>
            </c:ext>
          </c:extLst>
        </c:ser>
        <c:ser>
          <c:idx val="72"/>
          <c:order val="71"/>
          <c:tx>
            <c:strRef>
              <c:f>Ratios!$A$76</c:f>
              <c:strCache>
                <c:ptCount val="1"/>
                <c:pt idx="0">
                  <c:v>Central Hawke's Bay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Ratios!$B$76:$K$76</c:f>
              <c:numCache>
                <c:formatCode>0%</c:formatCode>
                <c:ptCount val="10"/>
                <c:pt idx="0">
                  <c:v>0.83973609487222312</c:v>
                </c:pt>
                <c:pt idx="1">
                  <c:v>0.80775496904529165</c:v>
                </c:pt>
                <c:pt idx="2">
                  <c:v>0.7922671076462714</c:v>
                </c:pt>
                <c:pt idx="3">
                  <c:v>0.81668081166576656</c:v>
                </c:pt>
                <c:pt idx="4">
                  <c:v>0.81159311329975192</c:v>
                </c:pt>
                <c:pt idx="5">
                  <c:v>0.80271225564452142</c:v>
                </c:pt>
                <c:pt idx="6">
                  <c:v>0.80093016700725816</c:v>
                </c:pt>
                <c:pt idx="7">
                  <c:v>0.80167789850089399</c:v>
                </c:pt>
                <c:pt idx="8">
                  <c:v>0.80899695243142966</c:v>
                </c:pt>
                <c:pt idx="9">
                  <c:v>0.82203113803660999</c:v>
                </c:pt>
              </c:numCache>
            </c:numRef>
          </c:val>
          <c:smooth val="0"/>
          <c:extLst xmlns:c16r2="http://schemas.microsoft.com/office/drawing/2015/06/chart">
            <c:ext xmlns:c16="http://schemas.microsoft.com/office/drawing/2014/chart" uri="{C3380CC4-5D6E-409C-BE32-E72D297353CC}">
              <c16:uniqueId val="{00000047-8391-4C9B-B5D3-E980E56150BF}"/>
            </c:ext>
          </c:extLst>
        </c:ser>
        <c:ser>
          <c:idx val="73"/>
          <c:order val="72"/>
          <c:tx>
            <c:strRef>
              <c:f>Ratios!$A$77</c:f>
              <c:strCache>
                <c:ptCount val="1"/>
                <c:pt idx="0">
                  <c:v>New Plymouth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Ratios!$B$77:$K$77</c:f>
              <c:numCache>
                <c:formatCode>0%</c:formatCode>
                <c:ptCount val="10"/>
                <c:pt idx="0">
                  <c:v>0.71968354430379744</c:v>
                </c:pt>
                <c:pt idx="1">
                  <c:v>0.78412213740458014</c:v>
                </c:pt>
                <c:pt idx="2">
                  <c:v>0.76838538597525041</c:v>
                </c:pt>
                <c:pt idx="3">
                  <c:v>0.54953111679454392</c:v>
                </c:pt>
                <c:pt idx="4">
                  <c:v>0.61456844420010992</c:v>
                </c:pt>
                <c:pt idx="5">
                  <c:v>0.51259612834791835</c:v>
                </c:pt>
                <c:pt idx="6">
                  <c:v>0.53761209326159365</c:v>
                </c:pt>
                <c:pt idx="7">
                  <c:v>0.5160891089108911</c:v>
                </c:pt>
                <c:pt idx="8">
                  <c:v>0.61076115485564308</c:v>
                </c:pt>
                <c:pt idx="9">
                  <c:v>0.52404685346807534</c:v>
                </c:pt>
              </c:numCache>
            </c:numRef>
          </c:val>
          <c:smooth val="0"/>
          <c:extLst xmlns:c16r2="http://schemas.microsoft.com/office/drawing/2015/06/chart">
            <c:ext xmlns:c16="http://schemas.microsoft.com/office/drawing/2014/chart" uri="{C3380CC4-5D6E-409C-BE32-E72D297353CC}">
              <c16:uniqueId val="{00000048-8391-4C9B-B5D3-E980E56150BF}"/>
            </c:ext>
          </c:extLst>
        </c:ser>
        <c:ser>
          <c:idx val="74"/>
          <c:order val="73"/>
          <c:tx>
            <c:strRef>
              <c:f>Ratios!$A$78</c:f>
              <c:strCache>
                <c:ptCount val="1"/>
                <c:pt idx="0">
                  <c:v>Queenstown-Lakes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Ratios!$B$78:$K$78</c:f>
              <c:numCache>
                <c:formatCode>0%</c:formatCode>
                <c:ptCount val="10"/>
                <c:pt idx="0">
                  <c:v>0.33693074577747667</c:v>
                </c:pt>
                <c:pt idx="1">
                  <c:v>0.3215477925619446</c:v>
                </c:pt>
                <c:pt idx="2">
                  <c:v>0.34400579809004095</c:v>
                </c:pt>
                <c:pt idx="3">
                  <c:v>0.36350399433316283</c:v>
                </c:pt>
                <c:pt idx="4">
                  <c:v>0.36958695484962695</c:v>
                </c:pt>
                <c:pt idx="5">
                  <c:v>0.3530765234172048</c:v>
                </c:pt>
                <c:pt idx="6">
                  <c:v>0.30127930245854773</c:v>
                </c:pt>
                <c:pt idx="7">
                  <c:v>0.32827495409347607</c:v>
                </c:pt>
                <c:pt idx="8">
                  <c:v>0.31360806604411962</c:v>
                </c:pt>
                <c:pt idx="9">
                  <c:v>0.4026776859504132</c:v>
                </c:pt>
              </c:numCache>
            </c:numRef>
          </c:val>
          <c:smooth val="0"/>
          <c:extLst xmlns:c16r2="http://schemas.microsoft.com/office/drawing/2015/06/chart">
            <c:ext xmlns:c16="http://schemas.microsoft.com/office/drawing/2014/chart" uri="{C3380CC4-5D6E-409C-BE32-E72D297353CC}">
              <c16:uniqueId val="{00000049-8391-4C9B-B5D3-E980E56150BF}"/>
            </c:ext>
          </c:extLst>
        </c:ser>
        <c:ser>
          <c:idx val="75"/>
          <c:order val="74"/>
          <c:tx>
            <c:strRef>
              <c:f>Ratios!$A$79</c:f>
              <c:strCache>
                <c:ptCount val="1"/>
                <c:pt idx="0">
                  <c:v>Selwyn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Ratios!$B$79:$K$79</c:f>
              <c:numCache>
                <c:formatCode>0%</c:formatCode>
                <c:ptCount val="10"/>
                <c:pt idx="0">
                  <c:v>0.43027180671522475</c:v>
                </c:pt>
                <c:pt idx="1">
                  <c:v>0.33297386976358356</c:v>
                </c:pt>
                <c:pt idx="2">
                  <c:v>0.31262446796048265</c:v>
                </c:pt>
                <c:pt idx="3">
                  <c:v>0.30285909297740027</c:v>
                </c:pt>
                <c:pt idx="4">
                  <c:v>0.74366166399533729</c:v>
                </c:pt>
                <c:pt idx="5">
                  <c:v>0.33278209774462547</c:v>
                </c:pt>
                <c:pt idx="6">
                  <c:v>0.33171929581848997</c:v>
                </c:pt>
                <c:pt idx="7">
                  <c:v>0.54491615650785197</c:v>
                </c:pt>
                <c:pt idx="8">
                  <c:v>0.30667516329456745</c:v>
                </c:pt>
                <c:pt idx="9">
                  <c:v>0.39107249286364065</c:v>
                </c:pt>
              </c:numCache>
            </c:numRef>
          </c:val>
          <c:smooth val="0"/>
          <c:extLst xmlns:c16r2="http://schemas.microsoft.com/office/drawing/2015/06/chart">
            <c:ext xmlns:c16="http://schemas.microsoft.com/office/drawing/2014/chart" uri="{C3380CC4-5D6E-409C-BE32-E72D297353CC}">
              <c16:uniqueId val="{0000004A-8391-4C9B-B5D3-E980E56150BF}"/>
            </c:ext>
          </c:extLst>
        </c:ser>
        <c:ser>
          <c:idx val="76"/>
          <c:order val="75"/>
          <c:tx>
            <c:strRef>
              <c:f>Ratios!$A$80</c:f>
              <c:strCache>
                <c:ptCount val="1"/>
                <c:pt idx="0">
                  <c:v>Whangarei District</c:v>
                </c:pt>
              </c:strCache>
            </c:strRef>
          </c:tx>
          <c:spPr>
            <a:ln w="19050">
              <a:solidFill>
                <a:schemeClr val="accent2"/>
              </a:solidFill>
            </a:ln>
          </c:spPr>
          <c:marker>
            <c:symbol val="none"/>
          </c:marker>
          <c:cat>
            <c:numRef>
              <c:f>Ratios!$B$3:$K$3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Ratios!$B$80:$K$80</c:f>
              <c:numCache>
                <c:formatCode>0%</c:formatCode>
                <c:ptCount val="10"/>
                <c:pt idx="0">
                  <c:v>0.75808116908903189</c:v>
                </c:pt>
                <c:pt idx="1">
                  <c:v>1.0565908199293841</c:v>
                </c:pt>
                <c:pt idx="2">
                  <c:v>0.9175914264667443</c:v>
                </c:pt>
                <c:pt idx="3">
                  <c:v>0.74432186891628815</c:v>
                </c:pt>
                <c:pt idx="4">
                  <c:v>0.62119153890937318</c:v>
                </c:pt>
                <c:pt idx="5">
                  <c:v>0.77780380798228055</c:v>
                </c:pt>
                <c:pt idx="6">
                  <c:v>0.91690023320995317</c:v>
                </c:pt>
                <c:pt idx="7">
                  <c:v>0.67113595496833711</c:v>
                </c:pt>
                <c:pt idx="8">
                  <c:v>0.84276585160525008</c:v>
                </c:pt>
                <c:pt idx="9">
                  <c:v>0.84831109849560038</c:v>
                </c:pt>
              </c:numCache>
            </c:numRef>
          </c:val>
          <c:smooth val="0"/>
          <c:extLst xmlns:c16r2="http://schemas.microsoft.com/office/drawing/2015/06/chart">
            <c:ext xmlns:c16="http://schemas.microsoft.com/office/drawing/2014/chart" uri="{C3380CC4-5D6E-409C-BE32-E72D297353CC}">
              <c16:uniqueId val="{0000004B-8391-4C9B-B5D3-E980E56150BF}"/>
            </c:ext>
          </c:extLst>
        </c:ser>
        <c:dLbls>
          <c:showLegendKey val="0"/>
          <c:showVal val="0"/>
          <c:showCatName val="0"/>
          <c:showSerName val="0"/>
          <c:showPercent val="0"/>
          <c:showBubbleSize val="0"/>
        </c:dLbls>
        <c:marker val="1"/>
        <c:smooth val="0"/>
        <c:axId val="121461376"/>
        <c:axId val="121471360"/>
      </c:lineChart>
      <c:catAx>
        <c:axId val="121461376"/>
        <c:scaling>
          <c:orientation val="minMax"/>
        </c:scaling>
        <c:delete val="0"/>
        <c:axPos val="b"/>
        <c:numFmt formatCode="General" sourceLinked="1"/>
        <c:majorTickMark val="out"/>
        <c:minorTickMark val="none"/>
        <c:tickLblPos val="nextTo"/>
        <c:spPr>
          <a:ln>
            <a:solidFill>
              <a:schemeClr val="bg1">
                <a:lumMod val="85000"/>
              </a:schemeClr>
            </a:solidFill>
          </a:ln>
        </c:spPr>
        <c:crossAx val="121471360"/>
        <c:crosses val="autoZero"/>
        <c:auto val="1"/>
        <c:lblAlgn val="ctr"/>
        <c:lblOffset val="100"/>
        <c:noMultiLvlLbl val="0"/>
      </c:catAx>
      <c:valAx>
        <c:axId val="121471360"/>
        <c:scaling>
          <c:orientation val="minMax"/>
          <c:max val="2"/>
        </c:scaling>
        <c:delete val="0"/>
        <c:axPos val="l"/>
        <c:majorGridlines>
          <c:spPr>
            <a:ln>
              <a:solidFill>
                <a:schemeClr val="bg1">
                  <a:lumMod val="85000"/>
                </a:schemeClr>
              </a:solidFill>
            </a:ln>
          </c:spPr>
        </c:majorGridlines>
        <c:numFmt formatCode="0%" sourceLinked="1"/>
        <c:majorTickMark val="out"/>
        <c:minorTickMark val="none"/>
        <c:tickLblPos val="nextTo"/>
        <c:spPr>
          <a:ln>
            <a:solidFill>
              <a:schemeClr val="bg1">
                <a:lumMod val="85000"/>
              </a:schemeClr>
            </a:solidFill>
          </a:ln>
        </c:spPr>
        <c:crossAx val="121461376"/>
        <c:crosses val="autoZero"/>
        <c:crossBetween val="between"/>
      </c:valAx>
      <c:spPr>
        <a:ln w="19050"/>
      </c:spPr>
    </c:plotArea>
    <c:plotVisOnly val="1"/>
    <c:dispBlanksAs val="gap"/>
    <c:showDLblsOverMax val="0"/>
  </c:chart>
  <c:spPr>
    <a:ln w="9525"/>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96067981283404E-2"/>
          <c:y val="8.2110246523404401E-2"/>
          <c:w val="0.8951258321952813"/>
          <c:h val="0.75728507440004744"/>
        </c:manualLayout>
      </c:layout>
      <c:lineChart>
        <c:grouping val="standard"/>
        <c:varyColors val="0"/>
        <c:ser>
          <c:idx val="0"/>
          <c:order val="0"/>
          <c:tx>
            <c:strRef>
              <c:f>'Renewals growth'!$B$4</c:f>
              <c:strCache>
                <c:ptCount val="1"/>
                <c:pt idx="0">
                  <c:v>Decline</c:v>
                </c:pt>
              </c:strCache>
            </c:strRef>
          </c:tx>
          <c:marker>
            <c:symbol val="none"/>
          </c:marker>
          <c:cat>
            <c:numRef>
              <c:f>'Renewals growth'!$A$5:$A$13</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'Renewals growth'!$B$5:$B$13</c:f>
              <c:numCache>
                <c:formatCode>General</c:formatCode>
                <c:ptCount val="9"/>
                <c:pt idx="0">
                  <c:v>0.9248086552428989</c:v>
                </c:pt>
                <c:pt idx="1">
                  <c:v>0.87332194707068211</c:v>
                </c:pt>
                <c:pt idx="2">
                  <c:v>0.92334129674696896</c:v>
                </c:pt>
                <c:pt idx="3">
                  <c:v>0.81043814226556932</c:v>
                </c:pt>
                <c:pt idx="4">
                  <c:v>0.78656423941222064</c:v>
                </c:pt>
                <c:pt idx="5">
                  <c:v>0.80893580886938787</c:v>
                </c:pt>
                <c:pt idx="6">
                  <c:v>0.7788750478712374</c:v>
                </c:pt>
                <c:pt idx="7">
                  <c:v>0.79356273350984652</c:v>
                </c:pt>
                <c:pt idx="8">
                  <c:v>0.8332299359149431</c:v>
                </c:pt>
              </c:numCache>
            </c:numRef>
          </c:val>
          <c:smooth val="0"/>
          <c:extLst xmlns:c16r2="http://schemas.microsoft.com/office/drawing/2015/06/chart">
            <c:ext xmlns:c16="http://schemas.microsoft.com/office/drawing/2014/chart" uri="{C3380CC4-5D6E-409C-BE32-E72D297353CC}">
              <c16:uniqueId val="{00000000-42CF-4CC2-A99A-888FB54748BE}"/>
            </c:ext>
          </c:extLst>
        </c:ser>
        <c:ser>
          <c:idx val="1"/>
          <c:order val="1"/>
          <c:tx>
            <c:strRef>
              <c:f>'Renewals growth'!$C$4</c:f>
              <c:strCache>
                <c:ptCount val="1"/>
                <c:pt idx="0">
                  <c:v>High growth</c:v>
                </c:pt>
              </c:strCache>
            </c:strRef>
          </c:tx>
          <c:marker>
            <c:symbol val="none"/>
          </c:marker>
          <c:cat>
            <c:numRef>
              <c:f>'Renewals growth'!$A$5:$A$13</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'Renewals growth'!$C$5:$C$13</c:f>
              <c:numCache>
                <c:formatCode>General</c:formatCode>
                <c:ptCount val="9"/>
                <c:pt idx="0">
                  <c:v>0.94833495811393564</c:v>
                </c:pt>
                <c:pt idx="1">
                  <c:v>0.74592350554445341</c:v>
                </c:pt>
                <c:pt idx="2">
                  <c:v>0.62831394964373233</c:v>
                </c:pt>
                <c:pt idx="3">
                  <c:v>0.65463652618478529</c:v>
                </c:pt>
                <c:pt idx="4">
                  <c:v>0.61638022094931799</c:v>
                </c:pt>
                <c:pt idx="5">
                  <c:v>0.64585881834673453</c:v>
                </c:pt>
                <c:pt idx="6">
                  <c:v>0.63895628834037388</c:v>
                </c:pt>
                <c:pt idx="7">
                  <c:v>0.64739577121996905</c:v>
                </c:pt>
                <c:pt idx="8">
                  <c:v>0.62799059332735174</c:v>
                </c:pt>
              </c:numCache>
            </c:numRef>
          </c:val>
          <c:smooth val="0"/>
          <c:extLst xmlns:c16r2="http://schemas.microsoft.com/office/drawing/2015/06/chart">
            <c:ext xmlns:c16="http://schemas.microsoft.com/office/drawing/2014/chart" uri="{C3380CC4-5D6E-409C-BE32-E72D297353CC}">
              <c16:uniqueId val="{00000001-42CF-4CC2-A99A-888FB54748BE}"/>
            </c:ext>
          </c:extLst>
        </c:ser>
        <c:ser>
          <c:idx val="2"/>
          <c:order val="2"/>
          <c:tx>
            <c:strRef>
              <c:f>'Renewals growth'!$D$4</c:f>
              <c:strCache>
                <c:ptCount val="1"/>
                <c:pt idx="0">
                  <c:v>Low Growth</c:v>
                </c:pt>
              </c:strCache>
            </c:strRef>
          </c:tx>
          <c:marker>
            <c:symbol val="none"/>
          </c:marker>
          <c:cat>
            <c:numRef>
              <c:f>'Renewals growth'!$A$5:$A$13</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'Renewals growth'!$D$5:$D$13</c:f>
              <c:numCache>
                <c:formatCode>General</c:formatCode>
                <c:ptCount val="9"/>
                <c:pt idx="0">
                  <c:v>0.93476017013655832</c:v>
                </c:pt>
                <c:pt idx="1">
                  <c:v>0.85805078788917821</c:v>
                </c:pt>
                <c:pt idx="2">
                  <c:v>0.79001940400965998</c:v>
                </c:pt>
                <c:pt idx="3">
                  <c:v>0.7934501327812451</c:v>
                </c:pt>
                <c:pt idx="4">
                  <c:v>0.75401671878332932</c:v>
                </c:pt>
                <c:pt idx="5">
                  <c:v>0.75058694288302741</c:v>
                </c:pt>
                <c:pt idx="6">
                  <c:v>0.75669958230354639</c:v>
                </c:pt>
                <c:pt idx="7">
                  <c:v>0.73551579759050967</c:v>
                </c:pt>
                <c:pt idx="8">
                  <c:v>0.75459117324836689</c:v>
                </c:pt>
              </c:numCache>
            </c:numRef>
          </c:val>
          <c:smooth val="0"/>
          <c:extLst xmlns:c16r2="http://schemas.microsoft.com/office/drawing/2015/06/chart">
            <c:ext xmlns:c16="http://schemas.microsoft.com/office/drawing/2014/chart" uri="{C3380CC4-5D6E-409C-BE32-E72D297353CC}">
              <c16:uniqueId val="{00000002-42CF-4CC2-A99A-888FB54748BE}"/>
            </c:ext>
          </c:extLst>
        </c:ser>
        <c:ser>
          <c:idx val="3"/>
          <c:order val="3"/>
          <c:tx>
            <c:strRef>
              <c:f>'Renewals growth'!$E$4</c:f>
              <c:strCache>
                <c:ptCount val="1"/>
                <c:pt idx="0">
                  <c:v>Medium Growth</c:v>
                </c:pt>
              </c:strCache>
            </c:strRef>
          </c:tx>
          <c:marker>
            <c:symbol val="none"/>
          </c:marker>
          <c:cat>
            <c:numRef>
              <c:f>'Renewals growth'!$A$5:$A$13</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'Renewals growth'!$E$5:$E$13</c:f>
              <c:numCache>
                <c:formatCode>General</c:formatCode>
                <c:ptCount val="9"/>
                <c:pt idx="0">
                  <c:v>0.72454446432054864</c:v>
                </c:pt>
                <c:pt idx="1">
                  <c:v>0.66864135037687256</c:v>
                </c:pt>
                <c:pt idx="2">
                  <c:v>0.72588285292714338</c:v>
                </c:pt>
                <c:pt idx="3">
                  <c:v>0.68363339134727708</c:v>
                </c:pt>
                <c:pt idx="4">
                  <c:v>0.66303380140741786</c:v>
                </c:pt>
                <c:pt idx="5">
                  <c:v>0.61789314224987579</c:v>
                </c:pt>
                <c:pt idx="6">
                  <c:v>0.62641062710171236</c:v>
                </c:pt>
                <c:pt idx="7">
                  <c:v>0.58977116595365808</c:v>
                </c:pt>
                <c:pt idx="8">
                  <c:v>0.6140144933352476</c:v>
                </c:pt>
              </c:numCache>
            </c:numRef>
          </c:val>
          <c:smooth val="0"/>
          <c:extLst xmlns:c16r2="http://schemas.microsoft.com/office/drawing/2015/06/chart">
            <c:ext xmlns:c16="http://schemas.microsoft.com/office/drawing/2014/chart" uri="{C3380CC4-5D6E-409C-BE32-E72D297353CC}">
              <c16:uniqueId val="{00000003-42CF-4CC2-A99A-888FB54748BE}"/>
            </c:ext>
          </c:extLst>
        </c:ser>
        <c:dLbls>
          <c:showLegendKey val="0"/>
          <c:showVal val="0"/>
          <c:showCatName val="0"/>
          <c:showSerName val="0"/>
          <c:showPercent val="0"/>
          <c:showBubbleSize val="0"/>
        </c:dLbls>
        <c:marker val="1"/>
        <c:smooth val="0"/>
        <c:axId val="120889344"/>
        <c:axId val="120890880"/>
      </c:lineChart>
      <c:catAx>
        <c:axId val="120889344"/>
        <c:scaling>
          <c:orientation val="minMax"/>
        </c:scaling>
        <c:delete val="0"/>
        <c:axPos val="b"/>
        <c:numFmt formatCode="General" sourceLinked="1"/>
        <c:majorTickMark val="out"/>
        <c:minorTickMark val="none"/>
        <c:tickLblPos val="nextTo"/>
        <c:crossAx val="120890880"/>
        <c:crosses val="autoZero"/>
        <c:auto val="1"/>
        <c:lblAlgn val="ctr"/>
        <c:lblOffset val="100"/>
        <c:noMultiLvlLbl val="0"/>
      </c:catAx>
      <c:valAx>
        <c:axId val="120890880"/>
        <c:scaling>
          <c:orientation val="minMax"/>
          <c:min val="0.5"/>
        </c:scaling>
        <c:delete val="0"/>
        <c:axPos val="l"/>
        <c:majorGridlines/>
        <c:numFmt formatCode="0%" sourceLinked="0"/>
        <c:majorTickMark val="out"/>
        <c:minorTickMark val="none"/>
        <c:tickLblPos val="nextTo"/>
        <c:crossAx val="1208893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96067981283404E-2"/>
          <c:y val="6.3761796247529104E-2"/>
          <c:w val="0.8951258321952813"/>
          <c:h val="0.77144680934899823"/>
        </c:manualLayout>
      </c:layout>
      <c:lineChart>
        <c:grouping val="standard"/>
        <c:varyColors val="0"/>
        <c:ser>
          <c:idx val="0"/>
          <c:order val="0"/>
          <c:tx>
            <c:strRef>
              <c:f>'Renewals by activity'!$A$3</c:f>
              <c:strCache>
                <c:ptCount val="1"/>
                <c:pt idx="0">
                  <c:v>Roads</c:v>
                </c:pt>
              </c:strCache>
            </c:strRef>
          </c:tx>
          <c:marker>
            <c:symbol val="none"/>
          </c:marker>
          <c:cat>
            <c:numRef>
              <c:f>'Renewals by activity'!$B$2:$L$2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by activity'!$B$3:$L$3</c:f>
              <c:numCache>
                <c:formatCode>0%</c:formatCode>
                <c:ptCount val="11"/>
                <c:pt idx="0">
                  <c:v>0.72166374321262161</c:v>
                </c:pt>
                <c:pt idx="1">
                  <c:v>0.73154688701288384</c:v>
                </c:pt>
                <c:pt idx="2">
                  <c:v>0.82954460260815088</c:v>
                </c:pt>
                <c:pt idx="3">
                  <c:v>0.84622330087486908</c:v>
                </c:pt>
                <c:pt idx="4">
                  <c:v>0.80791840521935188</c:v>
                </c:pt>
                <c:pt idx="5">
                  <c:v>0.78204741415018086</c:v>
                </c:pt>
                <c:pt idx="6">
                  <c:v>0.77664209186090305</c:v>
                </c:pt>
                <c:pt idx="7">
                  <c:v>0.78350159710561973</c:v>
                </c:pt>
                <c:pt idx="8">
                  <c:v>0.77056381682261788</c:v>
                </c:pt>
                <c:pt idx="9">
                  <c:v>0.76279871220108164</c:v>
                </c:pt>
                <c:pt idx="10">
                  <c:v>0.78648809143973442</c:v>
                </c:pt>
              </c:numCache>
            </c:numRef>
          </c:val>
          <c:smooth val="0"/>
          <c:extLst xmlns:c16r2="http://schemas.microsoft.com/office/drawing/2015/06/chart">
            <c:ext xmlns:c16="http://schemas.microsoft.com/office/drawing/2014/chart" uri="{C3380CC4-5D6E-409C-BE32-E72D297353CC}">
              <c16:uniqueId val="{00000000-887C-42D8-A62C-B58E0B953DA4}"/>
            </c:ext>
          </c:extLst>
        </c:ser>
        <c:ser>
          <c:idx val="1"/>
          <c:order val="1"/>
          <c:tx>
            <c:strRef>
              <c:f>'Renewals by activity'!$A$4</c:f>
              <c:strCache>
                <c:ptCount val="1"/>
                <c:pt idx="0">
                  <c:v>Wastewater</c:v>
                </c:pt>
              </c:strCache>
            </c:strRef>
          </c:tx>
          <c:marker>
            <c:symbol val="none"/>
          </c:marker>
          <c:cat>
            <c:numRef>
              <c:f>'Renewals by activity'!$B$2:$L$2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by activity'!$B$4:$L$4</c:f>
              <c:numCache>
                <c:formatCode>0%</c:formatCode>
                <c:ptCount val="11"/>
                <c:pt idx="0">
                  <c:v>0.59063666800688475</c:v>
                </c:pt>
                <c:pt idx="1">
                  <c:v>0.4902329123700585</c:v>
                </c:pt>
                <c:pt idx="2">
                  <c:v>0.63546277597214129</c:v>
                </c:pt>
                <c:pt idx="3">
                  <c:v>1.3244275296020787</c:v>
                </c:pt>
                <c:pt idx="4">
                  <c:v>1.2914245414105359</c:v>
                </c:pt>
                <c:pt idx="5">
                  <c:v>1.2338869020584744</c:v>
                </c:pt>
                <c:pt idx="6">
                  <c:v>0.49921806329661422</c:v>
                </c:pt>
                <c:pt idx="7">
                  <c:v>0.6005794269157908</c:v>
                </c:pt>
                <c:pt idx="8">
                  <c:v>0.63828770478891539</c:v>
                </c:pt>
                <c:pt idx="9">
                  <c:v>0.81532563114406043</c:v>
                </c:pt>
                <c:pt idx="10">
                  <c:v>0.59113902414683583</c:v>
                </c:pt>
              </c:numCache>
            </c:numRef>
          </c:val>
          <c:smooth val="0"/>
          <c:extLst xmlns:c16r2="http://schemas.microsoft.com/office/drawing/2015/06/chart">
            <c:ext xmlns:c16="http://schemas.microsoft.com/office/drawing/2014/chart" uri="{C3380CC4-5D6E-409C-BE32-E72D297353CC}">
              <c16:uniqueId val="{00000001-887C-42D8-A62C-B58E0B953DA4}"/>
            </c:ext>
          </c:extLst>
        </c:ser>
        <c:ser>
          <c:idx val="2"/>
          <c:order val="2"/>
          <c:tx>
            <c:strRef>
              <c:f>'Renewals by activity'!$A$5</c:f>
              <c:strCache>
                <c:ptCount val="1"/>
                <c:pt idx="0">
                  <c:v>Stormwater</c:v>
                </c:pt>
              </c:strCache>
            </c:strRef>
          </c:tx>
          <c:marker>
            <c:symbol val="none"/>
          </c:marker>
          <c:cat>
            <c:numRef>
              <c:f>'Renewals by activity'!$B$2:$L$2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by activity'!$B$5:$L$5</c:f>
              <c:numCache>
                <c:formatCode>0%</c:formatCode>
                <c:ptCount val="11"/>
                <c:pt idx="0">
                  <c:v>0.22799904178921823</c:v>
                </c:pt>
                <c:pt idx="1">
                  <c:v>0.23633910510590223</c:v>
                </c:pt>
                <c:pt idx="2">
                  <c:v>0.50704033581100394</c:v>
                </c:pt>
                <c:pt idx="3">
                  <c:v>0.29517357522413884</c:v>
                </c:pt>
                <c:pt idx="4">
                  <c:v>0.42104973613789815</c:v>
                </c:pt>
                <c:pt idx="5">
                  <c:v>0.3588402345513847</c:v>
                </c:pt>
                <c:pt idx="6">
                  <c:v>0.37326426730933776</c:v>
                </c:pt>
                <c:pt idx="7">
                  <c:v>0.41020914080978399</c:v>
                </c:pt>
                <c:pt idx="8">
                  <c:v>0.46079794397128132</c:v>
                </c:pt>
                <c:pt idx="9">
                  <c:v>0.35455376051228377</c:v>
                </c:pt>
                <c:pt idx="10">
                  <c:v>0.39532605142314664</c:v>
                </c:pt>
              </c:numCache>
            </c:numRef>
          </c:val>
          <c:smooth val="0"/>
          <c:extLst xmlns:c16r2="http://schemas.microsoft.com/office/drawing/2015/06/chart">
            <c:ext xmlns:c16="http://schemas.microsoft.com/office/drawing/2014/chart" uri="{C3380CC4-5D6E-409C-BE32-E72D297353CC}">
              <c16:uniqueId val="{00000002-887C-42D8-A62C-B58E0B953DA4}"/>
            </c:ext>
          </c:extLst>
        </c:ser>
        <c:ser>
          <c:idx val="3"/>
          <c:order val="3"/>
          <c:tx>
            <c:strRef>
              <c:f>'Renewals by activity'!$A$6</c:f>
              <c:strCache>
                <c:ptCount val="1"/>
                <c:pt idx="0">
                  <c:v>Water</c:v>
                </c:pt>
              </c:strCache>
            </c:strRef>
          </c:tx>
          <c:marker>
            <c:symbol val="none"/>
          </c:marker>
          <c:cat>
            <c:numRef>
              <c:f>'Renewals by activity'!$B$2:$L$2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by activity'!$B$6:$L$6</c:f>
              <c:numCache>
                <c:formatCode>0%</c:formatCode>
                <c:ptCount val="11"/>
                <c:pt idx="0">
                  <c:v>0.51676427676225589</c:v>
                </c:pt>
                <c:pt idx="1">
                  <c:v>0.55549589127922361</c:v>
                </c:pt>
                <c:pt idx="2">
                  <c:v>0.61173040887854513</c:v>
                </c:pt>
                <c:pt idx="3">
                  <c:v>0.75268124372082601</c:v>
                </c:pt>
                <c:pt idx="4">
                  <c:v>0.67342348535461349</c:v>
                </c:pt>
                <c:pt idx="5">
                  <c:v>0.79552288962126594</c:v>
                </c:pt>
                <c:pt idx="6">
                  <c:v>0.76641515276654271</c:v>
                </c:pt>
                <c:pt idx="7">
                  <c:v>0.75789792282836976</c:v>
                </c:pt>
                <c:pt idx="8">
                  <c:v>0.80553946154399958</c:v>
                </c:pt>
                <c:pt idx="9">
                  <c:v>0.63550344669268799</c:v>
                </c:pt>
                <c:pt idx="10">
                  <c:v>0.86828524684070862</c:v>
                </c:pt>
              </c:numCache>
            </c:numRef>
          </c:val>
          <c:smooth val="0"/>
          <c:extLst xmlns:c16r2="http://schemas.microsoft.com/office/drawing/2015/06/chart">
            <c:ext xmlns:c16="http://schemas.microsoft.com/office/drawing/2014/chart" uri="{C3380CC4-5D6E-409C-BE32-E72D297353CC}">
              <c16:uniqueId val="{00000003-887C-42D8-A62C-B58E0B953DA4}"/>
            </c:ext>
          </c:extLst>
        </c:ser>
        <c:dLbls>
          <c:showLegendKey val="0"/>
          <c:showVal val="0"/>
          <c:showCatName val="0"/>
          <c:showSerName val="0"/>
          <c:showPercent val="0"/>
          <c:showBubbleSize val="0"/>
        </c:dLbls>
        <c:marker val="1"/>
        <c:smooth val="0"/>
        <c:axId val="121230464"/>
        <c:axId val="121232000"/>
      </c:lineChart>
      <c:catAx>
        <c:axId val="121230464"/>
        <c:scaling>
          <c:orientation val="minMax"/>
        </c:scaling>
        <c:delete val="0"/>
        <c:axPos val="b"/>
        <c:numFmt formatCode="General" sourceLinked="1"/>
        <c:majorTickMark val="out"/>
        <c:minorTickMark val="none"/>
        <c:tickLblPos val="nextTo"/>
        <c:crossAx val="121232000"/>
        <c:crosses val="autoZero"/>
        <c:auto val="1"/>
        <c:lblAlgn val="ctr"/>
        <c:lblOffset val="100"/>
        <c:noMultiLvlLbl val="0"/>
      </c:catAx>
      <c:valAx>
        <c:axId val="121232000"/>
        <c:scaling>
          <c:orientation val="minMax"/>
        </c:scaling>
        <c:delete val="0"/>
        <c:axPos val="l"/>
        <c:majorGridlines/>
        <c:numFmt formatCode="0%" sourceLinked="1"/>
        <c:majorTickMark val="out"/>
        <c:minorTickMark val="none"/>
        <c:tickLblPos val="nextTo"/>
        <c:crossAx val="12123046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30436176393983E-2"/>
          <c:y val="7.6109705846354681E-2"/>
          <c:w val="0.89578457654625232"/>
          <c:h val="0.82355138136487194"/>
        </c:manualLayout>
      </c:layout>
      <c:lineChart>
        <c:grouping val="standard"/>
        <c:varyColors val="0"/>
        <c:ser>
          <c:idx val="0"/>
          <c:order val="0"/>
          <c:tx>
            <c:strRef>
              <c:f>'Renewals capacity'!$A$4</c:f>
              <c:strCache>
                <c:ptCount val="1"/>
                <c:pt idx="0">
                  <c:v>Auckland</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capacity'!$B$4:$L$4</c:f>
              <c:numCache>
                <c:formatCode>General</c:formatCode>
                <c:ptCount val="11"/>
                <c:pt idx="0">
                  <c:v>-0.13881748071979436</c:v>
                </c:pt>
                <c:pt idx="1">
                  <c:v>-9.2995169082125601E-2</c:v>
                </c:pt>
                <c:pt idx="2">
                  <c:v>-0.10411899313501144</c:v>
                </c:pt>
                <c:pt idx="3">
                  <c:v>0.17606336899553862</c:v>
                </c:pt>
                <c:pt idx="4">
                  <c:v>0.47982324322529224</c:v>
                </c:pt>
                <c:pt idx="5">
                  <c:v>0.33795009096213918</c:v>
                </c:pt>
                <c:pt idx="6">
                  <c:v>0.27137423022546914</c:v>
                </c:pt>
                <c:pt idx="7">
                  <c:v>6.5808861520090939E-2</c:v>
                </c:pt>
                <c:pt idx="8">
                  <c:v>0.32205202246937531</c:v>
                </c:pt>
                <c:pt idx="9">
                  <c:v>0.48924175068605891</c:v>
                </c:pt>
                <c:pt idx="10">
                  <c:v>0.56351260504201683</c:v>
                </c:pt>
              </c:numCache>
            </c:numRef>
          </c:val>
          <c:smooth val="0"/>
          <c:extLst xmlns:c16r2="http://schemas.microsoft.com/office/drawing/2015/06/chart">
            <c:ext xmlns:c16="http://schemas.microsoft.com/office/drawing/2014/chart" uri="{C3380CC4-5D6E-409C-BE32-E72D297353CC}">
              <c16:uniqueId val="{00000000-EBB4-4FFC-A9AD-EC74BADBAA87}"/>
            </c:ext>
          </c:extLst>
        </c:ser>
        <c:ser>
          <c:idx val="1"/>
          <c:order val="1"/>
          <c:tx>
            <c:strRef>
              <c:f>'Renewals capacity'!$A$5</c:f>
              <c:strCache>
                <c:ptCount val="1"/>
                <c:pt idx="0">
                  <c:v>CHBDC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capacity'!$B$5:$L$5</c:f>
              <c:numCache>
                <c:formatCode>General</c:formatCode>
                <c:ptCount val="11"/>
                <c:pt idx="0">
                  <c:v>1.3191671664810214</c:v>
                </c:pt>
                <c:pt idx="1">
                  <c:v>0.90883074407195419</c:v>
                </c:pt>
                <c:pt idx="2">
                  <c:v>0.81683618622343501</c:v>
                </c:pt>
                <c:pt idx="3">
                  <c:v>0.77620285061815886</c:v>
                </c:pt>
                <c:pt idx="4">
                  <c:v>0.79338014042126381</c:v>
                </c:pt>
                <c:pt idx="5">
                  <c:v>0.75964213217051346</c:v>
                </c:pt>
                <c:pt idx="6">
                  <c:v>0.83603837553199167</c:v>
                </c:pt>
                <c:pt idx="7">
                  <c:v>0.86012261292368397</c:v>
                </c:pt>
                <c:pt idx="8">
                  <c:v>0.8648053912804291</c:v>
                </c:pt>
                <c:pt idx="9">
                  <c:v>0.74844308996952436</c:v>
                </c:pt>
                <c:pt idx="10">
                  <c:v>0.88971402514494169</c:v>
                </c:pt>
              </c:numCache>
            </c:numRef>
          </c:val>
          <c:smooth val="0"/>
          <c:extLst xmlns:c16r2="http://schemas.microsoft.com/office/drawing/2015/06/chart">
            <c:ext xmlns:c16="http://schemas.microsoft.com/office/drawing/2014/chart" uri="{C3380CC4-5D6E-409C-BE32-E72D297353CC}">
              <c16:uniqueId val="{00000001-EBB4-4FFC-A9AD-EC74BADBAA87}"/>
            </c:ext>
          </c:extLst>
        </c:ser>
        <c:ser>
          <c:idx val="2"/>
          <c:order val="2"/>
          <c:tx>
            <c:strRef>
              <c:f>'Renewals capacity'!$A$6</c:f>
              <c:strCache>
                <c:ptCount val="1"/>
                <c:pt idx="0">
                  <c:v>DunedinCC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capacity'!$B$6:$L$6</c:f>
              <c:numCache>
                <c:formatCode>General</c:formatCode>
                <c:ptCount val="11"/>
                <c:pt idx="0">
                  <c:v>0.27801983173076922</c:v>
                </c:pt>
                <c:pt idx="1">
                  <c:v>0.80879409003135683</c:v>
                </c:pt>
                <c:pt idx="2">
                  <c:v>0.63084775058294063</c:v>
                </c:pt>
                <c:pt idx="3">
                  <c:v>0.83854431824166564</c:v>
                </c:pt>
                <c:pt idx="4">
                  <c:v>0.89267367695224964</c:v>
                </c:pt>
                <c:pt idx="5">
                  <c:v>0.78698283724400964</c:v>
                </c:pt>
                <c:pt idx="6">
                  <c:v>1.0617325295824962</c:v>
                </c:pt>
                <c:pt idx="7">
                  <c:v>1.0065405855675191</c:v>
                </c:pt>
                <c:pt idx="8">
                  <c:v>1.1851534792711262</c:v>
                </c:pt>
                <c:pt idx="9">
                  <c:v>1.0986243948518124</c:v>
                </c:pt>
                <c:pt idx="10">
                  <c:v>1.2365875490875491</c:v>
                </c:pt>
              </c:numCache>
            </c:numRef>
          </c:val>
          <c:smooth val="0"/>
          <c:extLst xmlns:c16r2="http://schemas.microsoft.com/office/drawing/2015/06/chart">
            <c:ext xmlns:c16="http://schemas.microsoft.com/office/drawing/2014/chart" uri="{C3380CC4-5D6E-409C-BE32-E72D297353CC}">
              <c16:uniqueId val="{00000002-EBB4-4FFC-A9AD-EC74BADBAA87}"/>
            </c:ext>
          </c:extLst>
        </c:ser>
        <c:ser>
          <c:idx val="3"/>
          <c:order val="3"/>
          <c:tx>
            <c:strRef>
              <c:f>'Renewals capacity'!$A$7</c:f>
              <c:strCache>
                <c:ptCount val="1"/>
                <c:pt idx="0">
                  <c:v>GisborneDC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capacity'!$B$7:$L$7</c:f>
              <c:numCache>
                <c:formatCode>General</c:formatCode>
                <c:ptCount val="11"/>
                <c:pt idx="0">
                  <c:v>0.19368979050920027</c:v>
                </c:pt>
                <c:pt idx="1">
                  <c:v>0.83610155119956109</c:v>
                </c:pt>
                <c:pt idx="2">
                  <c:v>0.48024452065006712</c:v>
                </c:pt>
                <c:pt idx="3">
                  <c:v>0.71640755136035539</c:v>
                </c:pt>
                <c:pt idx="4">
                  <c:v>0.81176364375028209</c:v>
                </c:pt>
                <c:pt idx="5">
                  <c:v>0.76694214876033062</c:v>
                </c:pt>
                <c:pt idx="6">
                  <c:v>0.92455696202531645</c:v>
                </c:pt>
                <c:pt idx="7">
                  <c:v>0.80170331245137783</c:v>
                </c:pt>
                <c:pt idx="8">
                  <c:v>0.8597917501001201</c:v>
                </c:pt>
                <c:pt idx="9">
                  <c:v>0.88162376237623763</c:v>
                </c:pt>
                <c:pt idx="10">
                  <c:v>0.99616234445865803</c:v>
                </c:pt>
              </c:numCache>
            </c:numRef>
          </c:val>
          <c:smooth val="0"/>
          <c:extLst xmlns:c16r2="http://schemas.microsoft.com/office/drawing/2015/06/chart">
            <c:ext xmlns:c16="http://schemas.microsoft.com/office/drawing/2014/chart" uri="{C3380CC4-5D6E-409C-BE32-E72D297353CC}">
              <c16:uniqueId val="{00000003-EBB4-4FFC-A9AD-EC74BADBAA87}"/>
            </c:ext>
          </c:extLst>
        </c:ser>
        <c:ser>
          <c:idx val="4"/>
          <c:order val="4"/>
          <c:tx>
            <c:strRef>
              <c:f>'Renewals capacity'!$A$8</c:f>
              <c:strCache>
                <c:ptCount val="1"/>
                <c:pt idx="0">
                  <c:v>HamiltonCC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capacity'!$B$8:$L$8</c:f>
              <c:numCache>
                <c:formatCode>General</c:formatCode>
                <c:ptCount val="11"/>
                <c:pt idx="0">
                  <c:v>0.95809909563881424</c:v>
                </c:pt>
                <c:pt idx="1">
                  <c:v>1.0226430084745763</c:v>
                </c:pt>
                <c:pt idx="2">
                  <c:v>0.40987831533618241</c:v>
                </c:pt>
                <c:pt idx="3">
                  <c:v>0.47390407083180774</c:v>
                </c:pt>
                <c:pt idx="4">
                  <c:v>0.54960542980547522</c:v>
                </c:pt>
                <c:pt idx="5">
                  <c:v>0.64909202977573377</c:v>
                </c:pt>
                <c:pt idx="6">
                  <c:v>0.69405566913036643</c:v>
                </c:pt>
                <c:pt idx="7">
                  <c:v>0.7871795658039985</c:v>
                </c:pt>
                <c:pt idx="8">
                  <c:v>0.6184467167090254</c:v>
                </c:pt>
                <c:pt idx="9">
                  <c:v>0.69706418360954492</c:v>
                </c:pt>
                <c:pt idx="10">
                  <c:v>0.88207592111173116</c:v>
                </c:pt>
              </c:numCache>
            </c:numRef>
          </c:val>
          <c:smooth val="0"/>
          <c:extLst xmlns:c16r2="http://schemas.microsoft.com/office/drawing/2015/06/chart">
            <c:ext xmlns:c16="http://schemas.microsoft.com/office/drawing/2014/chart" uri="{C3380CC4-5D6E-409C-BE32-E72D297353CC}">
              <c16:uniqueId val="{00000004-EBB4-4FFC-A9AD-EC74BADBAA87}"/>
            </c:ext>
          </c:extLst>
        </c:ser>
        <c:ser>
          <c:idx val="5"/>
          <c:order val="5"/>
          <c:tx>
            <c:strRef>
              <c:f>'Renewals capacity'!$A$9</c:f>
              <c:strCache>
                <c:ptCount val="1"/>
                <c:pt idx="0">
                  <c:v>Kapiti CoastDC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capacity'!$B$9:$L$9</c:f>
              <c:numCache>
                <c:formatCode>General</c:formatCode>
                <c:ptCount val="11"/>
                <c:pt idx="0">
                  <c:v>-0.1179274483100161</c:v>
                </c:pt>
                <c:pt idx="1">
                  <c:v>0.5684137291280148</c:v>
                </c:pt>
                <c:pt idx="2">
                  <c:v>0.84131885096763526</c:v>
                </c:pt>
                <c:pt idx="3">
                  <c:v>0.64057621734129377</c:v>
                </c:pt>
                <c:pt idx="4">
                  <c:v>3.4238488783943331E-2</c:v>
                </c:pt>
                <c:pt idx="5">
                  <c:v>0.16236635780470421</c:v>
                </c:pt>
                <c:pt idx="6">
                  <c:v>0.8412691039160124</c:v>
                </c:pt>
                <c:pt idx="7">
                  <c:v>0.50051636657536702</c:v>
                </c:pt>
                <c:pt idx="8">
                  <c:v>0.48743016759776536</c:v>
                </c:pt>
                <c:pt idx="9">
                  <c:v>0.65149359886201996</c:v>
                </c:pt>
                <c:pt idx="10">
                  <c:v>0.7065433908369978</c:v>
                </c:pt>
              </c:numCache>
            </c:numRef>
          </c:val>
          <c:smooth val="0"/>
          <c:extLst xmlns:c16r2="http://schemas.microsoft.com/office/drawing/2015/06/chart">
            <c:ext xmlns:c16="http://schemas.microsoft.com/office/drawing/2014/chart" uri="{C3380CC4-5D6E-409C-BE32-E72D297353CC}">
              <c16:uniqueId val="{00000005-EBB4-4FFC-A9AD-EC74BADBAA87}"/>
            </c:ext>
          </c:extLst>
        </c:ser>
        <c:ser>
          <c:idx val="6"/>
          <c:order val="6"/>
          <c:tx>
            <c:strRef>
              <c:f>'Renewals capacity'!$A$10</c:f>
              <c:strCache>
                <c:ptCount val="1"/>
                <c:pt idx="0">
                  <c:v>NelsonCC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capacity'!$B$10:$L$10</c:f>
              <c:numCache>
                <c:formatCode>General</c:formatCode>
                <c:ptCount val="11"/>
                <c:pt idx="0">
                  <c:v>0.41337558530009932</c:v>
                </c:pt>
                <c:pt idx="1">
                  <c:v>5.0541021777838653E-2</c:v>
                </c:pt>
                <c:pt idx="2">
                  <c:v>-0.10012870012870013</c:v>
                </c:pt>
                <c:pt idx="3">
                  <c:v>0.12073226928071719</c:v>
                </c:pt>
                <c:pt idx="4">
                  <c:v>0.33541988456223071</c:v>
                </c:pt>
                <c:pt idx="5">
                  <c:v>0.24401458696686221</c:v>
                </c:pt>
                <c:pt idx="6">
                  <c:v>0.49779499175518654</c:v>
                </c:pt>
                <c:pt idx="7">
                  <c:v>0.28894221894037292</c:v>
                </c:pt>
                <c:pt idx="8">
                  <c:v>0.41743119266055045</c:v>
                </c:pt>
                <c:pt idx="9">
                  <c:v>0.41801291027699033</c:v>
                </c:pt>
                <c:pt idx="10">
                  <c:v>0.60143644234553328</c:v>
                </c:pt>
              </c:numCache>
            </c:numRef>
          </c:val>
          <c:smooth val="0"/>
          <c:extLst xmlns:c16r2="http://schemas.microsoft.com/office/drawing/2015/06/chart">
            <c:ext xmlns:c16="http://schemas.microsoft.com/office/drawing/2014/chart" uri="{C3380CC4-5D6E-409C-BE32-E72D297353CC}">
              <c16:uniqueId val="{00000006-EBB4-4FFC-A9AD-EC74BADBAA87}"/>
            </c:ext>
          </c:extLst>
        </c:ser>
        <c:ser>
          <c:idx val="7"/>
          <c:order val="7"/>
          <c:tx>
            <c:strRef>
              <c:f>'Renewals capacity'!$A$11</c:f>
              <c:strCache>
                <c:ptCount val="1"/>
                <c:pt idx="0">
                  <c:v>NewPlymouthDC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capacity'!$B$11:$L$11</c:f>
              <c:numCache>
                <c:formatCode>General</c:formatCode>
                <c:ptCount val="11"/>
                <c:pt idx="0">
                  <c:v>0.99734275251952431</c:v>
                </c:pt>
                <c:pt idx="1">
                  <c:v>0.72841212199119454</c:v>
                </c:pt>
                <c:pt idx="2">
                  <c:v>6.4006299594160758</c:v>
                </c:pt>
                <c:pt idx="3">
                  <c:v>0.74752504419563937</c:v>
                </c:pt>
                <c:pt idx="4">
                  <c:v>0.81256038647342999</c:v>
                </c:pt>
                <c:pt idx="5">
                  <c:v>0.7395821880153931</c:v>
                </c:pt>
                <c:pt idx="6">
                  <c:v>0.64298594537258025</c:v>
                </c:pt>
                <c:pt idx="7">
                  <c:v>0.93681783243658723</c:v>
                </c:pt>
                <c:pt idx="8">
                  <c:v>0.89254950495049501</c:v>
                </c:pt>
                <c:pt idx="9">
                  <c:v>0.91686948222381293</c:v>
                </c:pt>
                <c:pt idx="10">
                  <c:v>0.95346807533302713</c:v>
                </c:pt>
              </c:numCache>
            </c:numRef>
          </c:val>
          <c:smooth val="0"/>
          <c:extLst xmlns:c16r2="http://schemas.microsoft.com/office/drawing/2015/06/chart">
            <c:ext xmlns:c16="http://schemas.microsoft.com/office/drawing/2014/chart" uri="{C3380CC4-5D6E-409C-BE32-E72D297353CC}">
              <c16:uniqueId val="{00000007-EBB4-4FFC-A9AD-EC74BADBAA87}"/>
            </c:ext>
          </c:extLst>
        </c:ser>
        <c:ser>
          <c:idx val="8"/>
          <c:order val="8"/>
          <c:tx>
            <c:strRef>
              <c:f>'Renewals capacity'!$A$12</c:f>
              <c:strCache>
                <c:ptCount val="1"/>
                <c:pt idx="0">
                  <c:v>OpotikiDC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capacity'!$B$12:$L$12</c:f>
              <c:numCache>
                <c:formatCode>General</c:formatCode>
                <c:ptCount val="11"/>
                <c:pt idx="0">
                  <c:v>0.90879778903731001</c:v>
                </c:pt>
                <c:pt idx="1">
                  <c:v>0.62151394422310757</c:v>
                </c:pt>
                <c:pt idx="2">
                  <c:v>1.2731829573934836</c:v>
                </c:pt>
                <c:pt idx="3">
                  <c:v>-0.13173007896625988</c:v>
                </c:pt>
                <c:pt idx="4">
                  <c:v>4.0052527905449768E-2</c:v>
                </c:pt>
                <c:pt idx="5">
                  <c:v>-0.26543022195196109</c:v>
                </c:pt>
                <c:pt idx="6">
                  <c:v>0.73773584905660372</c:v>
                </c:pt>
                <c:pt idx="7">
                  <c:v>0.69922810753260578</c:v>
                </c:pt>
                <c:pt idx="8">
                  <c:v>0.44223211946554886</c:v>
                </c:pt>
                <c:pt idx="9">
                  <c:v>0.78334113242863823</c:v>
                </c:pt>
                <c:pt idx="10">
                  <c:v>6.3131313131313135E-2</c:v>
                </c:pt>
              </c:numCache>
            </c:numRef>
          </c:val>
          <c:smooth val="0"/>
          <c:extLst xmlns:c16r2="http://schemas.microsoft.com/office/drawing/2015/06/chart">
            <c:ext xmlns:c16="http://schemas.microsoft.com/office/drawing/2014/chart" uri="{C3380CC4-5D6E-409C-BE32-E72D297353CC}">
              <c16:uniqueId val="{00000008-EBB4-4FFC-A9AD-EC74BADBAA87}"/>
            </c:ext>
          </c:extLst>
        </c:ser>
        <c:ser>
          <c:idx val="9"/>
          <c:order val="9"/>
          <c:tx>
            <c:strRef>
              <c:f>'Renewals capacity'!$A$13</c:f>
              <c:strCache>
                <c:ptCount val="1"/>
                <c:pt idx="0">
                  <c:v>QLDC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capacity'!$B$13:$L$13</c:f>
              <c:numCache>
                <c:formatCode>General</c:formatCode>
                <c:ptCount val="11"/>
                <c:pt idx="0">
                  <c:v>0.97043486358133901</c:v>
                </c:pt>
                <c:pt idx="1">
                  <c:v>1.0218326765411967</c:v>
                </c:pt>
                <c:pt idx="2">
                  <c:v>0.18286964676461395</c:v>
                </c:pt>
                <c:pt idx="3">
                  <c:v>-2.9843110504774898E-2</c:v>
                </c:pt>
                <c:pt idx="4">
                  <c:v>-6.5207980795718393E-2</c:v>
                </c:pt>
                <c:pt idx="5">
                  <c:v>-3.5651103761249137E-2</c:v>
                </c:pt>
                <c:pt idx="6">
                  <c:v>-1.5438283975358123E-2</c:v>
                </c:pt>
                <c:pt idx="7">
                  <c:v>-6.7109777015437397E-2</c:v>
                </c:pt>
                <c:pt idx="8">
                  <c:v>-0.12285625194886186</c:v>
                </c:pt>
                <c:pt idx="9">
                  <c:v>0.23565435106239005</c:v>
                </c:pt>
                <c:pt idx="10">
                  <c:v>0.32571900826446282</c:v>
                </c:pt>
              </c:numCache>
            </c:numRef>
          </c:val>
          <c:smooth val="0"/>
          <c:extLst xmlns:c16r2="http://schemas.microsoft.com/office/drawing/2015/06/chart">
            <c:ext xmlns:c16="http://schemas.microsoft.com/office/drawing/2014/chart" uri="{C3380CC4-5D6E-409C-BE32-E72D297353CC}">
              <c16:uniqueId val="{00000009-EBB4-4FFC-A9AD-EC74BADBAA87}"/>
            </c:ext>
          </c:extLst>
        </c:ser>
        <c:ser>
          <c:idx val="10"/>
          <c:order val="10"/>
          <c:tx>
            <c:strRef>
              <c:f>'Renewals capacity'!$A$14</c:f>
              <c:strCache>
                <c:ptCount val="1"/>
                <c:pt idx="0">
                  <c:v>RuapehuDC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capacity'!$B$14:$L$14</c:f>
              <c:numCache>
                <c:formatCode>General</c:formatCode>
                <c:ptCount val="11"/>
                <c:pt idx="0">
                  <c:v>0.90314799179833549</c:v>
                </c:pt>
                <c:pt idx="1">
                  <c:v>1.0711341420327405</c:v>
                </c:pt>
                <c:pt idx="2">
                  <c:v>1.1093842685965121</c:v>
                </c:pt>
                <c:pt idx="3">
                  <c:v>0.77336860670194008</c:v>
                </c:pt>
                <c:pt idx="4">
                  <c:v>0.6984602224123182</c:v>
                </c:pt>
                <c:pt idx="5">
                  <c:v>0.74844009983361059</c:v>
                </c:pt>
                <c:pt idx="6">
                  <c:v>0.70765944461397623</c:v>
                </c:pt>
                <c:pt idx="7">
                  <c:v>0.84068869978230754</c:v>
                </c:pt>
                <c:pt idx="8">
                  <c:v>0.81102665255460404</c:v>
                </c:pt>
                <c:pt idx="9">
                  <c:v>0.75893940808514615</c:v>
                </c:pt>
                <c:pt idx="10">
                  <c:v>0.83559413998914811</c:v>
                </c:pt>
              </c:numCache>
            </c:numRef>
          </c:val>
          <c:smooth val="0"/>
          <c:extLst xmlns:c16r2="http://schemas.microsoft.com/office/drawing/2015/06/chart">
            <c:ext xmlns:c16="http://schemas.microsoft.com/office/drawing/2014/chart" uri="{C3380CC4-5D6E-409C-BE32-E72D297353CC}">
              <c16:uniqueId val="{0000000A-EBB4-4FFC-A9AD-EC74BADBAA87}"/>
            </c:ext>
          </c:extLst>
        </c:ser>
        <c:ser>
          <c:idx val="11"/>
          <c:order val="11"/>
          <c:tx>
            <c:strRef>
              <c:f>'Renewals capacity'!$A$15</c:f>
              <c:strCache>
                <c:ptCount val="1"/>
                <c:pt idx="0">
                  <c:v>SelwynDC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capacity'!$B$15:$L$15</c:f>
              <c:numCache>
                <c:formatCode>General</c:formatCode>
                <c:ptCount val="11"/>
                <c:pt idx="0">
                  <c:v>1.4782323752457636</c:v>
                </c:pt>
                <c:pt idx="1">
                  <c:v>0.86841524263699388</c:v>
                </c:pt>
                <c:pt idx="2">
                  <c:v>1.5254578385993158</c:v>
                </c:pt>
                <c:pt idx="3">
                  <c:v>1.3926354016166191</c:v>
                </c:pt>
                <c:pt idx="4">
                  <c:v>0.91290004550280601</c:v>
                </c:pt>
                <c:pt idx="5">
                  <c:v>1.0643304677254846</c:v>
                </c:pt>
                <c:pt idx="6">
                  <c:v>0.5228176348474719</c:v>
                </c:pt>
                <c:pt idx="7">
                  <c:v>0.75277556808356105</c:v>
                </c:pt>
                <c:pt idx="8">
                  <c:v>0.5774554165557626</c:v>
                </c:pt>
                <c:pt idx="9">
                  <c:v>0.89434443205352876</c:v>
                </c:pt>
                <c:pt idx="10">
                  <c:v>0.89849116973556264</c:v>
                </c:pt>
              </c:numCache>
            </c:numRef>
          </c:val>
          <c:smooth val="0"/>
          <c:extLst xmlns:c16r2="http://schemas.microsoft.com/office/drawing/2015/06/chart">
            <c:ext xmlns:c16="http://schemas.microsoft.com/office/drawing/2014/chart" uri="{C3380CC4-5D6E-409C-BE32-E72D297353CC}">
              <c16:uniqueId val="{0000000B-EBB4-4FFC-A9AD-EC74BADBAA87}"/>
            </c:ext>
          </c:extLst>
        </c:ser>
        <c:ser>
          <c:idx val="12"/>
          <c:order val="12"/>
          <c:tx>
            <c:strRef>
              <c:f>'Renewals capacity'!$A$16</c:f>
              <c:strCache>
                <c:ptCount val="1"/>
                <c:pt idx="0">
                  <c:v>TimaruDC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capacity'!$B$16:$L$16</c:f>
              <c:numCache>
                <c:formatCode>General</c:formatCode>
                <c:ptCount val="11"/>
                <c:pt idx="0">
                  <c:v>1.848491126303432</c:v>
                </c:pt>
                <c:pt idx="1">
                  <c:v>1.3016088520806464</c:v>
                </c:pt>
                <c:pt idx="2">
                  <c:v>1.5141625207296849</c:v>
                </c:pt>
                <c:pt idx="3">
                  <c:v>1.0414436546498715</c:v>
                </c:pt>
                <c:pt idx="4">
                  <c:v>0.8444030337137729</c:v>
                </c:pt>
                <c:pt idx="5">
                  <c:v>0.88850850990144958</c:v>
                </c:pt>
                <c:pt idx="6">
                  <c:v>0.76668492511637365</c:v>
                </c:pt>
                <c:pt idx="7">
                  <c:v>0.86811489022770971</c:v>
                </c:pt>
                <c:pt idx="8">
                  <c:v>1.0427026214824491</c:v>
                </c:pt>
                <c:pt idx="9">
                  <c:v>1.0452552572381331</c:v>
                </c:pt>
                <c:pt idx="10">
                  <c:v>1.1204353197670884</c:v>
                </c:pt>
              </c:numCache>
            </c:numRef>
          </c:val>
          <c:smooth val="0"/>
          <c:extLst xmlns:c16r2="http://schemas.microsoft.com/office/drawing/2015/06/chart">
            <c:ext xmlns:c16="http://schemas.microsoft.com/office/drawing/2014/chart" uri="{C3380CC4-5D6E-409C-BE32-E72D297353CC}">
              <c16:uniqueId val="{0000000C-EBB4-4FFC-A9AD-EC74BADBAA87}"/>
            </c:ext>
          </c:extLst>
        </c:ser>
        <c:ser>
          <c:idx val="13"/>
          <c:order val="13"/>
          <c:tx>
            <c:strRef>
              <c:f>'Renewals capacity'!$A$17</c:f>
              <c:strCache>
                <c:ptCount val="1"/>
                <c:pt idx="0">
                  <c:v>WestlandDC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capacity'!$B$17:$L$17</c:f>
              <c:numCache>
                <c:formatCode>General</c:formatCode>
                <c:ptCount val="11"/>
                <c:pt idx="0">
                  <c:v>0.34487021013597036</c:v>
                </c:pt>
                <c:pt idx="1">
                  <c:v>-4.9252418645558488E-2</c:v>
                </c:pt>
                <c:pt idx="2">
                  <c:v>0.8170689655172414</c:v>
                </c:pt>
                <c:pt idx="3">
                  <c:v>1.3147937753547752</c:v>
                </c:pt>
                <c:pt idx="4">
                  <c:v>1.2994828441461124</c:v>
                </c:pt>
                <c:pt idx="5">
                  <c:v>1.1692719942560579</c:v>
                </c:pt>
                <c:pt idx="6">
                  <c:v>1.0985549937677119</c:v>
                </c:pt>
                <c:pt idx="7">
                  <c:v>-0.48673431573386167</c:v>
                </c:pt>
                <c:pt idx="8">
                  <c:v>1.074522799911962</c:v>
                </c:pt>
                <c:pt idx="9">
                  <c:v>1.0463503609106948</c:v>
                </c:pt>
                <c:pt idx="10">
                  <c:v>1.1005596798007447</c:v>
                </c:pt>
              </c:numCache>
            </c:numRef>
          </c:val>
          <c:smooth val="0"/>
          <c:extLst xmlns:c16r2="http://schemas.microsoft.com/office/drawing/2015/06/chart">
            <c:ext xmlns:c16="http://schemas.microsoft.com/office/drawing/2014/chart" uri="{C3380CC4-5D6E-409C-BE32-E72D297353CC}">
              <c16:uniqueId val="{0000000D-EBB4-4FFC-A9AD-EC74BADBAA87}"/>
            </c:ext>
          </c:extLst>
        </c:ser>
        <c:ser>
          <c:idx val="14"/>
          <c:order val="14"/>
          <c:tx>
            <c:strRef>
              <c:f>'Renewals capacity'!$A$18</c:f>
              <c:strCache>
                <c:ptCount val="1"/>
                <c:pt idx="0">
                  <c:v>WhangareiDC</c:v>
                </c:pt>
              </c:strCache>
            </c:strRef>
          </c:tx>
          <c:spPr>
            <a:ln>
              <a:solidFill>
                <a:schemeClr val="bg1">
                  <a:lumMod val="85000"/>
                </a:schemeClr>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capacity'!$B$18:$L$18</c:f>
              <c:numCache>
                <c:formatCode>General</c:formatCode>
                <c:ptCount val="11"/>
                <c:pt idx="0">
                  <c:v>0.74697068051498428</c:v>
                </c:pt>
                <c:pt idx="1">
                  <c:v>0.75746468321917804</c:v>
                </c:pt>
                <c:pt idx="2">
                  <c:v>1.2145614556056474</c:v>
                </c:pt>
                <c:pt idx="3">
                  <c:v>0.78102796853836465</c:v>
                </c:pt>
                <c:pt idx="4">
                  <c:v>0.85732826550477426</c:v>
                </c:pt>
                <c:pt idx="5">
                  <c:v>0.7047674493822369</c:v>
                </c:pt>
                <c:pt idx="6">
                  <c:v>0.92871746816032708</c:v>
                </c:pt>
                <c:pt idx="7">
                  <c:v>1.0244121611502173</c:v>
                </c:pt>
                <c:pt idx="8">
                  <c:v>0.79258853881635527</c:v>
                </c:pt>
                <c:pt idx="9">
                  <c:v>0.96957869360578575</c:v>
                </c:pt>
                <c:pt idx="10">
                  <c:v>0.98170120162740093</c:v>
                </c:pt>
              </c:numCache>
            </c:numRef>
          </c:val>
          <c:smooth val="0"/>
          <c:extLst xmlns:c16r2="http://schemas.microsoft.com/office/drawing/2015/06/chart">
            <c:ext xmlns:c16="http://schemas.microsoft.com/office/drawing/2014/chart" uri="{C3380CC4-5D6E-409C-BE32-E72D297353CC}">
              <c16:uniqueId val="{0000000E-EBB4-4FFC-A9AD-EC74BADBAA87}"/>
            </c:ext>
          </c:extLst>
        </c:ser>
        <c:ser>
          <c:idx val="15"/>
          <c:order val="15"/>
          <c:tx>
            <c:strRef>
              <c:f>'Renewals capacity'!$A$19</c:f>
              <c:strCache>
                <c:ptCount val="1"/>
                <c:pt idx="0">
                  <c:v>Average</c:v>
                </c:pt>
              </c:strCache>
            </c:strRef>
          </c:tx>
          <c:spPr>
            <a:ln>
              <a:solidFill>
                <a:schemeClr val="accent2"/>
              </a:solidFill>
            </a:ln>
          </c:spPr>
          <c:marker>
            <c:symbol val="none"/>
          </c:marker>
          <c:cat>
            <c:numRef>
              <c:f>'Renewals capacity'!$B$3:$L$3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'Renewals capacity'!$B$19:$L$19</c:f>
              <c:numCache>
                <c:formatCode>General</c:formatCode>
                <c:ptCount val="11"/>
                <c:pt idx="0">
                  <c:v>0.74025962198445028</c:v>
                </c:pt>
                <c:pt idx="1">
                  <c:v>0.69489721464537824</c:v>
                </c:pt>
                <c:pt idx="2">
                  <c:v>1.134146369541275</c:v>
                </c:pt>
                <c:pt idx="3">
                  <c:v>0.64211012721704752</c:v>
                </c:pt>
                <c:pt idx="4">
                  <c:v>0.61979225682424544</c:v>
                </c:pt>
                <c:pt idx="5">
                  <c:v>0.58138730447235432</c:v>
                </c:pt>
                <c:pt idx="6">
                  <c:v>0.70110265594176846</c:v>
                </c:pt>
                <c:pt idx="7">
                  <c:v>0.59193377934974001</c:v>
                </c:pt>
                <c:pt idx="8">
                  <c:v>0.6843554747917806</c:v>
                </c:pt>
                <c:pt idx="9">
                  <c:v>0.77565578721602135</c:v>
                </c:pt>
                <c:pt idx="10">
                  <c:v>0.81034214571174501</c:v>
                </c:pt>
              </c:numCache>
            </c:numRef>
          </c:val>
          <c:smooth val="0"/>
          <c:extLst xmlns:c16r2="http://schemas.microsoft.com/office/drawing/2015/06/chart">
            <c:ext xmlns:c16="http://schemas.microsoft.com/office/drawing/2014/chart" uri="{C3380CC4-5D6E-409C-BE32-E72D297353CC}">
              <c16:uniqueId val="{0000000F-EBB4-4FFC-A9AD-EC74BADBAA87}"/>
            </c:ext>
          </c:extLst>
        </c:ser>
        <c:dLbls>
          <c:showLegendKey val="0"/>
          <c:showVal val="0"/>
          <c:showCatName val="0"/>
          <c:showSerName val="0"/>
          <c:showPercent val="0"/>
          <c:showBubbleSize val="0"/>
        </c:dLbls>
        <c:marker val="1"/>
        <c:smooth val="0"/>
        <c:axId val="124121856"/>
        <c:axId val="124123392"/>
      </c:lineChart>
      <c:catAx>
        <c:axId val="124121856"/>
        <c:scaling>
          <c:orientation val="minMax"/>
        </c:scaling>
        <c:delete val="0"/>
        <c:axPos val="b"/>
        <c:numFmt formatCode="General" sourceLinked="1"/>
        <c:majorTickMark val="out"/>
        <c:minorTickMark val="none"/>
        <c:tickLblPos val="low"/>
        <c:crossAx val="124123392"/>
        <c:crosses val="autoZero"/>
        <c:auto val="1"/>
        <c:lblAlgn val="ctr"/>
        <c:lblOffset val="100"/>
        <c:noMultiLvlLbl val="0"/>
      </c:catAx>
      <c:valAx>
        <c:axId val="124123392"/>
        <c:scaling>
          <c:orientation val="minMax"/>
          <c:max val="2"/>
        </c:scaling>
        <c:delete val="0"/>
        <c:axPos val="l"/>
        <c:majorGridlines/>
        <c:numFmt formatCode="0%" sourceLinked="0"/>
        <c:majorTickMark val="out"/>
        <c:minorTickMark val="none"/>
        <c:tickLblPos val="nextTo"/>
        <c:crossAx val="12412185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090904502321824"/>
          <c:y val="9.1379220950290982E-2"/>
          <c:w val="0.48169762433541963"/>
          <c:h val="0.80240074101789061"/>
        </c:manualLayout>
      </c:layout>
      <c:doughnutChart>
        <c:varyColors val="1"/>
        <c:ser>
          <c:idx val="1"/>
          <c:order val="0"/>
          <c:tx>
            <c:strRef>
              <c:f>'Expenditure breakdown'!$A$35</c:f>
              <c:strCache>
                <c:ptCount val="1"/>
                <c:pt idx="0">
                  <c:v>2025</c:v>
                </c:pt>
              </c:strCache>
            </c:strRef>
          </c:tx>
          <c:dLbls>
            <c:dLbl>
              <c:idx val="0"/>
              <c:spPr/>
              <c:txPr>
                <a:bodyPr/>
                <a:lstStyle/>
                <a:p>
                  <a:pPr>
                    <a:defRPr b="1">
                      <a:solidFill>
                        <a:schemeClr val="bg1"/>
                      </a:solidFill>
                    </a:defRPr>
                  </a:pPr>
                  <a:endParaRPr lang="en-US"/>
                </a:p>
              </c:txPr>
              <c:showLegendKey val="0"/>
              <c:showVal val="0"/>
              <c:showCatName val="0"/>
              <c:showSerName val="0"/>
              <c:showPercent val="1"/>
              <c:showBubbleSize val="0"/>
            </c:dLbl>
            <c:spPr>
              <a:noFill/>
              <a:ln>
                <a:noFill/>
              </a:ln>
              <a:effectLst/>
            </c:spPr>
            <c:txPr>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'Expenditure breakdown'!$B$33:$F$33</c:f>
              <c:strCache>
                <c:ptCount val="5"/>
                <c:pt idx="0">
                  <c:v>Roads</c:v>
                </c:pt>
                <c:pt idx="1">
                  <c:v>Water</c:v>
                </c:pt>
                <c:pt idx="2">
                  <c:v>Wastewater</c:v>
                </c:pt>
                <c:pt idx="3">
                  <c:v>Stormwater</c:v>
                </c:pt>
                <c:pt idx="4">
                  <c:v>Other</c:v>
                </c:pt>
              </c:strCache>
            </c:strRef>
          </c:cat>
          <c:val>
            <c:numRef>
              <c:f>'Expenditure breakdown'!$B$35:$F$35</c:f>
              <c:numCache>
                <c:formatCode>0%</c:formatCode>
                <c:ptCount val="5"/>
                <c:pt idx="0">
                  <c:v>0.34822096253409685</c:v>
                </c:pt>
                <c:pt idx="1">
                  <c:v>0.1259625006841506</c:v>
                </c:pt>
                <c:pt idx="2">
                  <c:v>0.11932839590014432</c:v>
                </c:pt>
                <c:pt idx="3">
                  <c:v>3.3611364689919342E-2</c:v>
                </c:pt>
                <c:pt idx="4">
                  <c:v>0.37287677619168891</c:v>
                </c:pt>
              </c:numCache>
            </c:numRef>
          </c:val>
          <c:extLst xmlns:c16r2="http://schemas.microsoft.com/office/drawing/2015/06/chart">
            <c:ext xmlns:c16="http://schemas.microsoft.com/office/drawing/2014/chart" uri="{C3380CC4-5D6E-409C-BE32-E72D297353CC}">
              <c16:uniqueId val="{00000001-652D-46AF-B878-D56F4CDF4C4E}"/>
            </c:ext>
          </c:extLst>
        </c:ser>
        <c:ser>
          <c:idx val="0"/>
          <c:order val="1"/>
          <c:tx>
            <c:strRef>
              <c:f>'Expenditure breakdown'!$A$34</c:f>
              <c:strCache>
                <c:ptCount val="1"/>
                <c:pt idx="0">
                  <c:v>2015</c:v>
                </c:pt>
              </c:strCache>
            </c:strRef>
          </c:tx>
          <c:spPr>
            <a:ln>
              <a:solidFill>
                <a:schemeClr val="bg1"/>
              </a:solidFill>
            </a:ln>
          </c:spPr>
          <c:dLbls>
            <c:dLbl>
              <c:idx val="0"/>
              <c:spPr/>
              <c:txPr>
                <a:bodyPr/>
                <a:lstStyle/>
                <a:p>
                  <a:pPr>
                    <a:defRPr b="1">
                      <a:solidFill>
                        <a:schemeClr val="bg1"/>
                      </a:solidFill>
                    </a:defRPr>
                  </a:pPr>
                  <a:endParaRPr lang="en-US"/>
                </a:p>
              </c:txPr>
              <c:showLegendKey val="0"/>
              <c:showVal val="0"/>
              <c:showCatName val="0"/>
              <c:showSerName val="0"/>
              <c:showPercent val="1"/>
              <c:showBubbleSize val="0"/>
            </c:dLbl>
            <c:spPr>
              <a:noFill/>
              <a:ln>
                <a:noFill/>
              </a:ln>
              <a:effectLst/>
            </c:spPr>
            <c:txPr>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'Expenditure breakdown'!$B$33:$F$33</c:f>
              <c:strCache>
                <c:ptCount val="5"/>
                <c:pt idx="0">
                  <c:v>Roads</c:v>
                </c:pt>
                <c:pt idx="1">
                  <c:v>Water</c:v>
                </c:pt>
                <c:pt idx="2">
                  <c:v>Wastewater</c:v>
                </c:pt>
                <c:pt idx="3">
                  <c:v>Stormwater</c:v>
                </c:pt>
                <c:pt idx="4">
                  <c:v>Other</c:v>
                </c:pt>
              </c:strCache>
            </c:strRef>
          </c:cat>
          <c:val>
            <c:numRef>
              <c:f>'Expenditure breakdown'!$B$34:$F$34</c:f>
              <c:numCache>
                <c:formatCode>0%</c:formatCode>
                <c:ptCount val="5"/>
                <c:pt idx="0">
                  <c:v>0.3701686894053956</c:v>
                </c:pt>
                <c:pt idx="1">
                  <c:v>0.12609559416393612</c:v>
                </c:pt>
                <c:pt idx="2">
                  <c:v>9.6607135703803804E-2</c:v>
                </c:pt>
                <c:pt idx="3">
                  <c:v>2.387861153991153E-2</c:v>
                </c:pt>
                <c:pt idx="4">
                  <c:v>0.38324996918695298</c:v>
                </c:pt>
              </c:numCache>
            </c:numRef>
          </c:val>
          <c:extLst xmlns:c16r2="http://schemas.microsoft.com/office/drawing/2015/06/chart">
            <c:ext xmlns:c16="http://schemas.microsoft.com/office/drawing/2014/chart" uri="{C3380CC4-5D6E-409C-BE32-E72D297353CC}">
              <c16:uniqueId val="{00000003-652D-46AF-B878-D56F4CDF4C4E}"/>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81484050070664249"/>
          <c:y val="0.41499440172754698"/>
          <c:w val="0.14242445655831482"/>
          <c:h val="0.32107445642448101"/>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79759741570766"/>
          <c:y val="0.10281615741428546"/>
          <c:w val="0.48319368732754558"/>
          <c:h val="0.79012804217082933"/>
        </c:manualLayout>
      </c:layout>
      <c:doughnutChart>
        <c:varyColors val="1"/>
        <c:ser>
          <c:idx val="0"/>
          <c:order val="0"/>
          <c:tx>
            <c:strRef>
              <c:f>'Expenditure breakdown'!$A$37</c:f>
              <c:strCache>
                <c:ptCount val="1"/>
                <c:pt idx="0">
                  <c:v>2015</c:v>
                </c:pt>
              </c:strCache>
            </c:strRef>
          </c:tx>
          <c:dLbls>
            <c:dLbl>
              <c:idx val="0"/>
              <c:spPr/>
              <c:txPr>
                <a:bodyPr/>
                <a:lstStyle/>
                <a:p>
                  <a:pPr>
                    <a:defRPr b="1">
                      <a:solidFill>
                        <a:schemeClr val="bg1"/>
                      </a:solidFill>
                    </a:defRPr>
                  </a:pPr>
                  <a:endParaRPr lang="en-US"/>
                </a:p>
              </c:txPr>
              <c:showLegendKey val="0"/>
              <c:showVal val="0"/>
              <c:showCatName val="0"/>
              <c:showSerName val="0"/>
              <c:showPercent val="1"/>
              <c:showBubbleSize val="0"/>
            </c:dLbl>
            <c:spPr>
              <a:noFill/>
              <a:ln>
                <a:noFill/>
              </a:ln>
              <a:effectLst/>
            </c:spPr>
            <c:txPr>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'Expenditure breakdown'!$B$36:$F$36</c:f>
              <c:strCache>
                <c:ptCount val="5"/>
                <c:pt idx="0">
                  <c:v>Roads</c:v>
                </c:pt>
                <c:pt idx="1">
                  <c:v>Water</c:v>
                </c:pt>
                <c:pt idx="2">
                  <c:v>Wastewater</c:v>
                </c:pt>
                <c:pt idx="3">
                  <c:v>Stormwater</c:v>
                </c:pt>
                <c:pt idx="4">
                  <c:v>Other</c:v>
                </c:pt>
              </c:strCache>
            </c:strRef>
          </c:cat>
          <c:val>
            <c:numRef>
              <c:f>'Expenditure breakdown'!$B$37:$F$37</c:f>
              <c:numCache>
                <c:formatCode>0%</c:formatCode>
                <c:ptCount val="5"/>
                <c:pt idx="0">
                  <c:v>0.2192869475087306</c:v>
                </c:pt>
                <c:pt idx="1">
                  <c:v>0.10779119376020325</c:v>
                </c:pt>
                <c:pt idx="2">
                  <c:v>0.13363519095916412</c:v>
                </c:pt>
                <c:pt idx="3">
                  <c:v>2.1693271509279643E-2</c:v>
                </c:pt>
                <c:pt idx="4">
                  <c:v>0.51759339626262235</c:v>
                </c:pt>
              </c:numCache>
            </c:numRef>
          </c:val>
          <c:extLst xmlns:c16r2="http://schemas.microsoft.com/office/drawing/2015/06/chart">
            <c:ext xmlns:c16="http://schemas.microsoft.com/office/drawing/2014/chart" uri="{C3380CC4-5D6E-409C-BE32-E72D297353CC}">
              <c16:uniqueId val="{00000001-193E-49D2-8F1D-C1A9F156C031}"/>
            </c:ext>
          </c:extLst>
        </c:ser>
        <c:ser>
          <c:idx val="1"/>
          <c:order val="1"/>
          <c:tx>
            <c:strRef>
              <c:f>'Expenditure breakdown'!$A$38</c:f>
              <c:strCache>
                <c:ptCount val="1"/>
                <c:pt idx="0">
                  <c:v>2025</c:v>
                </c:pt>
              </c:strCache>
            </c:strRef>
          </c:tx>
          <c:spPr>
            <a:ln>
              <a:solidFill>
                <a:schemeClr val="bg1"/>
              </a:solidFill>
            </a:ln>
          </c:spPr>
          <c:dLbls>
            <c:dLbl>
              <c:idx val="0"/>
              <c:spPr/>
              <c:txPr>
                <a:bodyPr/>
                <a:lstStyle/>
                <a:p>
                  <a:pPr>
                    <a:defRPr b="1">
                      <a:solidFill>
                        <a:schemeClr val="bg1"/>
                      </a:solidFill>
                    </a:defRPr>
                  </a:pPr>
                  <a:endParaRPr lang="en-US"/>
                </a:p>
              </c:txPr>
              <c:showLegendKey val="0"/>
              <c:showVal val="0"/>
              <c:showCatName val="0"/>
              <c:showSerName val="0"/>
              <c:showPercent val="1"/>
              <c:showBubbleSize val="0"/>
            </c:dLbl>
            <c:spPr>
              <a:noFill/>
              <a:ln>
                <a:noFill/>
              </a:ln>
              <a:effectLst/>
            </c:spPr>
            <c:txPr>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'Expenditure breakdown'!$B$36:$F$36</c:f>
              <c:strCache>
                <c:ptCount val="5"/>
                <c:pt idx="0">
                  <c:v>Roads</c:v>
                </c:pt>
                <c:pt idx="1">
                  <c:v>Water</c:v>
                </c:pt>
                <c:pt idx="2">
                  <c:v>Wastewater</c:v>
                </c:pt>
                <c:pt idx="3">
                  <c:v>Stormwater</c:v>
                </c:pt>
                <c:pt idx="4">
                  <c:v>Other</c:v>
                </c:pt>
              </c:strCache>
            </c:strRef>
          </c:cat>
          <c:val>
            <c:numRef>
              <c:f>'Expenditure breakdown'!$B$38:$F$38</c:f>
              <c:numCache>
                <c:formatCode>0%</c:formatCode>
                <c:ptCount val="5"/>
                <c:pt idx="0">
                  <c:v>0.2356463958836594</c:v>
                </c:pt>
                <c:pt idx="1">
                  <c:v>0.13180387615918956</c:v>
                </c:pt>
                <c:pt idx="2">
                  <c:v>0.14416856197548719</c:v>
                </c:pt>
                <c:pt idx="3">
                  <c:v>3.016376930570502E-2</c:v>
                </c:pt>
                <c:pt idx="4">
                  <c:v>0.45821739667595884</c:v>
                </c:pt>
              </c:numCache>
            </c:numRef>
          </c:val>
          <c:extLst xmlns:c16r2="http://schemas.microsoft.com/office/drawing/2015/06/chart">
            <c:ext xmlns:c16="http://schemas.microsoft.com/office/drawing/2014/chart" uri="{C3380CC4-5D6E-409C-BE32-E72D297353CC}">
              <c16:uniqueId val="{00000003-193E-49D2-8F1D-C1A9F156C031}"/>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82125075711689888"/>
          <c:y val="0.35986260365253087"/>
          <c:w val="0.14242445655831482"/>
          <c:h val="0.31569332028328861"/>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726125580456282E-2"/>
          <c:y val="7.0237264733140625E-2"/>
          <c:w val="0.88901911299549097"/>
          <c:h val="0.75192774876247859"/>
        </c:manualLayout>
      </c:layout>
      <c:lineChart>
        <c:grouping val="standard"/>
        <c:varyColors val="0"/>
        <c:ser>
          <c:idx val="0"/>
          <c:order val="0"/>
          <c:tx>
            <c:strRef>
              <c:f>Roads!$A$39</c:f>
              <c:strCache>
                <c:ptCount val="1"/>
                <c:pt idx="0">
                  <c:v>Rural Operating</c:v>
                </c:pt>
              </c:strCache>
            </c:strRef>
          </c:tx>
          <c:spPr>
            <a:ln>
              <a:solidFill>
                <a:schemeClr val="tx2"/>
              </a:solidFill>
            </a:ln>
          </c:spPr>
          <c:marker>
            <c:symbol val="none"/>
          </c:marker>
          <c:cat>
            <c:numRef>
              <c:f>Roads!$B$38:$L$38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Roads!$B$39:$L$39</c:f>
              <c:numCache>
                <c:formatCode>General</c:formatCode>
                <c:ptCount val="11"/>
                <c:pt idx="0">
                  <c:v>633.24612254514398</c:v>
                </c:pt>
                <c:pt idx="1">
                  <c:v>744.0041178722247</c:v>
                </c:pt>
                <c:pt idx="2">
                  <c:v>757.89954907064248</c:v>
                </c:pt>
                <c:pt idx="3">
                  <c:v>642.39718676718689</c:v>
                </c:pt>
                <c:pt idx="4">
                  <c:v>647.78777288659899</c:v>
                </c:pt>
                <c:pt idx="5">
                  <c:v>650.16496545048574</c:v>
                </c:pt>
                <c:pt idx="6">
                  <c:v>648.19716053903142</c:v>
                </c:pt>
                <c:pt idx="7">
                  <c:v>653.37586072514239</c:v>
                </c:pt>
                <c:pt idx="8">
                  <c:v>659.16045752826199</c:v>
                </c:pt>
                <c:pt idx="9">
                  <c:v>660.83952943174552</c:v>
                </c:pt>
                <c:pt idx="10">
                  <c:v>663.97879471453689</c:v>
                </c:pt>
              </c:numCache>
            </c:numRef>
          </c:val>
          <c:smooth val="0"/>
          <c:extLst xmlns:c16r2="http://schemas.microsoft.com/office/drawing/2015/06/chart">
            <c:ext xmlns:c16="http://schemas.microsoft.com/office/drawing/2014/chart" uri="{C3380CC4-5D6E-409C-BE32-E72D297353CC}">
              <c16:uniqueId val="{00000000-87B8-4EF9-9A3D-A804A45A2A5A}"/>
            </c:ext>
          </c:extLst>
        </c:ser>
        <c:ser>
          <c:idx val="1"/>
          <c:order val="1"/>
          <c:tx>
            <c:strRef>
              <c:f>Roads!$A$40</c:f>
              <c:strCache>
                <c:ptCount val="1"/>
                <c:pt idx="0">
                  <c:v>Rural Capital</c:v>
                </c:pt>
              </c:strCache>
            </c:strRef>
          </c:tx>
          <c:spPr>
            <a:ln>
              <a:solidFill>
                <a:schemeClr val="bg2"/>
              </a:solidFill>
            </a:ln>
          </c:spPr>
          <c:marker>
            <c:symbol val="none"/>
          </c:marker>
          <c:cat>
            <c:numRef>
              <c:f>Roads!$B$38:$L$38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Roads!$B$40:$L$40</c:f>
              <c:numCache>
                <c:formatCode>General</c:formatCode>
                <c:ptCount val="11"/>
                <c:pt idx="0">
                  <c:v>624.14246709150768</c:v>
                </c:pt>
                <c:pt idx="1">
                  <c:v>506.64452863476498</c:v>
                </c:pt>
                <c:pt idx="2">
                  <c:v>540.03246304457878</c:v>
                </c:pt>
                <c:pt idx="3">
                  <c:v>657.35708308894152</c:v>
                </c:pt>
                <c:pt idx="4">
                  <c:v>574.99355310935596</c:v>
                </c:pt>
                <c:pt idx="5">
                  <c:v>584.10935299001324</c:v>
                </c:pt>
                <c:pt idx="6">
                  <c:v>578.08210686817915</c:v>
                </c:pt>
                <c:pt idx="7">
                  <c:v>585.51186444889095</c:v>
                </c:pt>
                <c:pt idx="8">
                  <c:v>592.28953928654937</c:v>
                </c:pt>
                <c:pt idx="9">
                  <c:v>565.90308816986112</c:v>
                </c:pt>
                <c:pt idx="10">
                  <c:v>575.96496769634007</c:v>
                </c:pt>
              </c:numCache>
            </c:numRef>
          </c:val>
          <c:smooth val="0"/>
          <c:extLst xmlns:c16r2="http://schemas.microsoft.com/office/drawing/2015/06/chart">
            <c:ext xmlns:c16="http://schemas.microsoft.com/office/drawing/2014/chart" uri="{C3380CC4-5D6E-409C-BE32-E72D297353CC}">
              <c16:uniqueId val="{00000001-87B8-4EF9-9A3D-A804A45A2A5A}"/>
            </c:ext>
          </c:extLst>
        </c:ser>
        <c:ser>
          <c:idx val="2"/>
          <c:order val="2"/>
          <c:tx>
            <c:strRef>
              <c:f>Roads!$A$41</c:f>
              <c:strCache>
                <c:ptCount val="1"/>
                <c:pt idx="0">
                  <c:v>Urban Operating</c:v>
                </c:pt>
              </c:strCache>
            </c:strRef>
          </c:tx>
          <c:spPr>
            <a:ln>
              <a:solidFill>
                <a:schemeClr val="accent2">
                  <a:lumMod val="75000"/>
                </a:schemeClr>
              </a:solidFill>
            </a:ln>
          </c:spPr>
          <c:marker>
            <c:symbol val="none"/>
          </c:marker>
          <c:cat>
            <c:numRef>
              <c:f>Roads!$B$38:$L$38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Roads!$B$41:$L$41</c:f>
              <c:numCache>
                <c:formatCode>General</c:formatCode>
                <c:ptCount val="11"/>
                <c:pt idx="0">
                  <c:v>459.76192570656184</c:v>
                </c:pt>
                <c:pt idx="1">
                  <c:v>456.47988146574215</c:v>
                </c:pt>
                <c:pt idx="2">
                  <c:v>467.23475022977073</c:v>
                </c:pt>
                <c:pt idx="3">
                  <c:v>468.86083920282272</c:v>
                </c:pt>
                <c:pt idx="4">
                  <c:v>466.07530370868176</c:v>
                </c:pt>
                <c:pt idx="5">
                  <c:v>458.68940830646699</c:v>
                </c:pt>
                <c:pt idx="6">
                  <c:v>454.13923373869017</c:v>
                </c:pt>
                <c:pt idx="7">
                  <c:v>448.51081049194255</c:v>
                </c:pt>
                <c:pt idx="8">
                  <c:v>444.59271185455901</c:v>
                </c:pt>
                <c:pt idx="9">
                  <c:v>439.2733636211417</c:v>
                </c:pt>
                <c:pt idx="10">
                  <c:v>432.84768744546608</c:v>
                </c:pt>
              </c:numCache>
            </c:numRef>
          </c:val>
          <c:smooth val="0"/>
          <c:extLst xmlns:c16r2="http://schemas.microsoft.com/office/drawing/2015/06/chart">
            <c:ext xmlns:c16="http://schemas.microsoft.com/office/drawing/2014/chart" uri="{C3380CC4-5D6E-409C-BE32-E72D297353CC}">
              <c16:uniqueId val="{00000002-87B8-4EF9-9A3D-A804A45A2A5A}"/>
            </c:ext>
          </c:extLst>
        </c:ser>
        <c:ser>
          <c:idx val="3"/>
          <c:order val="3"/>
          <c:tx>
            <c:strRef>
              <c:f>Roads!$A$42</c:f>
              <c:strCache>
                <c:ptCount val="1"/>
                <c:pt idx="0">
                  <c:v>Urban Capital</c:v>
                </c:pt>
              </c:strCache>
            </c:strRef>
          </c:tx>
          <c:spPr>
            <a:ln>
              <a:solidFill>
                <a:schemeClr val="accent2"/>
              </a:solidFill>
            </a:ln>
          </c:spPr>
          <c:marker>
            <c:symbol val="none"/>
          </c:marker>
          <c:cat>
            <c:numRef>
              <c:f>Roads!$B$38:$L$38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Roads!$B$42:$L$42</c:f>
              <c:numCache>
                <c:formatCode>General</c:formatCode>
                <c:ptCount val="11"/>
                <c:pt idx="0">
                  <c:v>464.60218425529348</c:v>
                </c:pt>
                <c:pt idx="1">
                  <c:v>411.58463928976829</c:v>
                </c:pt>
                <c:pt idx="2">
                  <c:v>438.67090057963441</c:v>
                </c:pt>
                <c:pt idx="3">
                  <c:v>537.58843564348979</c:v>
                </c:pt>
                <c:pt idx="4">
                  <c:v>435.41007817596056</c:v>
                </c:pt>
                <c:pt idx="5">
                  <c:v>456.09934426013797</c:v>
                </c:pt>
                <c:pt idx="6">
                  <c:v>482.33235924311271</c:v>
                </c:pt>
                <c:pt idx="7">
                  <c:v>465.05262533082174</c:v>
                </c:pt>
                <c:pt idx="8">
                  <c:v>468.98645621552737</c:v>
                </c:pt>
                <c:pt idx="9">
                  <c:v>458.67270802726608</c:v>
                </c:pt>
                <c:pt idx="10">
                  <c:v>444.41499769820331</c:v>
                </c:pt>
              </c:numCache>
            </c:numRef>
          </c:val>
          <c:smooth val="0"/>
          <c:extLst xmlns:c16r2="http://schemas.microsoft.com/office/drawing/2015/06/chart">
            <c:ext xmlns:c16="http://schemas.microsoft.com/office/drawing/2014/chart" uri="{C3380CC4-5D6E-409C-BE32-E72D297353CC}">
              <c16:uniqueId val="{00000003-87B8-4EF9-9A3D-A804A45A2A5A}"/>
            </c:ext>
          </c:extLst>
        </c:ser>
        <c:dLbls>
          <c:showLegendKey val="0"/>
          <c:showVal val="0"/>
          <c:showCatName val="0"/>
          <c:showSerName val="0"/>
          <c:showPercent val="0"/>
          <c:showBubbleSize val="0"/>
        </c:dLbls>
        <c:marker val="1"/>
        <c:smooth val="0"/>
        <c:axId val="120997376"/>
        <c:axId val="120998912"/>
      </c:lineChart>
      <c:catAx>
        <c:axId val="120997376"/>
        <c:scaling>
          <c:orientation val="minMax"/>
        </c:scaling>
        <c:delete val="0"/>
        <c:axPos val="b"/>
        <c:numFmt formatCode="General" sourceLinked="1"/>
        <c:majorTickMark val="out"/>
        <c:minorTickMark val="none"/>
        <c:tickLblPos val="nextTo"/>
        <c:crossAx val="120998912"/>
        <c:crosses val="autoZero"/>
        <c:auto val="1"/>
        <c:lblAlgn val="ctr"/>
        <c:lblOffset val="100"/>
        <c:noMultiLvlLbl val="0"/>
      </c:catAx>
      <c:valAx>
        <c:axId val="120998912"/>
        <c:scaling>
          <c:orientation val="minMax"/>
        </c:scaling>
        <c:delete val="0"/>
        <c:axPos val="l"/>
        <c:majorGridlines/>
        <c:numFmt formatCode="&quot;$&quot;#,##0" sourceLinked="0"/>
        <c:majorTickMark val="out"/>
        <c:minorTickMark val="none"/>
        <c:tickLblPos val="nextTo"/>
        <c:crossAx val="1209973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62877717208425E-2"/>
          <c:y val="5.5501585970937642E-2"/>
          <c:w val="0.88688236085873884"/>
          <c:h val="0.766663137452265"/>
        </c:manualLayout>
      </c:layout>
      <c:lineChart>
        <c:grouping val="standard"/>
        <c:varyColors val="0"/>
        <c:ser>
          <c:idx val="0"/>
          <c:order val="0"/>
          <c:tx>
            <c:strRef>
              <c:f>Water!$A$39</c:f>
              <c:strCache>
                <c:ptCount val="1"/>
                <c:pt idx="0">
                  <c:v>Rural Operating</c:v>
                </c:pt>
              </c:strCache>
            </c:strRef>
          </c:tx>
          <c:marker>
            <c:symbol val="none"/>
          </c:marker>
          <c:cat>
            <c:numRef>
              <c:f>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Water!$B$39:$L$39</c:f>
              <c:numCache>
                <c:formatCode>General</c:formatCode>
                <c:ptCount val="11"/>
                <c:pt idx="0">
                  <c:v>208.24962824844897</c:v>
                </c:pt>
                <c:pt idx="1">
                  <c:v>222.94941646241122</c:v>
                </c:pt>
                <c:pt idx="2">
                  <c:v>203.32325075091197</c:v>
                </c:pt>
                <c:pt idx="3">
                  <c:v>232.56477603706486</c:v>
                </c:pt>
                <c:pt idx="4">
                  <c:v>230.88746468247132</c:v>
                </c:pt>
                <c:pt idx="5">
                  <c:v>232.63850002927421</c:v>
                </c:pt>
                <c:pt idx="6">
                  <c:v>230.11490027859955</c:v>
                </c:pt>
                <c:pt idx="7">
                  <c:v>230.88554229270076</c:v>
                </c:pt>
                <c:pt idx="8">
                  <c:v>233.67169555798409</c:v>
                </c:pt>
                <c:pt idx="9">
                  <c:v>237.21651201601009</c:v>
                </c:pt>
                <c:pt idx="10">
                  <c:v>238.19507794992455</c:v>
                </c:pt>
              </c:numCache>
            </c:numRef>
          </c:val>
          <c:smooth val="0"/>
          <c:extLst xmlns:c16r2="http://schemas.microsoft.com/office/drawing/2015/06/chart">
            <c:ext xmlns:c16="http://schemas.microsoft.com/office/drawing/2014/chart" uri="{C3380CC4-5D6E-409C-BE32-E72D297353CC}">
              <c16:uniqueId val="{00000000-7FB4-4196-9FD5-5C852EAE820F}"/>
            </c:ext>
          </c:extLst>
        </c:ser>
        <c:ser>
          <c:idx val="1"/>
          <c:order val="1"/>
          <c:tx>
            <c:strRef>
              <c:f>Water!$A$40</c:f>
              <c:strCache>
                <c:ptCount val="1"/>
                <c:pt idx="0">
                  <c:v>Rural Capital</c:v>
                </c:pt>
              </c:strCache>
            </c:strRef>
          </c:tx>
          <c:spPr>
            <a:ln>
              <a:solidFill>
                <a:schemeClr val="bg2"/>
              </a:solidFill>
            </a:ln>
          </c:spPr>
          <c:marker>
            <c:symbol val="none"/>
          </c:marker>
          <c:cat>
            <c:numRef>
              <c:f>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Water!$B$40:$L$40</c:f>
              <c:numCache>
                <c:formatCode>General</c:formatCode>
                <c:ptCount val="11"/>
                <c:pt idx="0">
                  <c:v>118.6030951761215</c:v>
                </c:pt>
                <c:pt idx="1">
                  <c:v>235.7633680256159</c:v>
                </c:pt>
                <c:pt idx="2">
                  <c:v>93.969229770695762</c:v>
                </c:pt>
                <c:pt idx="3">
                  <c:v>98.609530422976945</c:v>
                </c:pt>
                <c:pt idx="4">
                  <c:v>88.04961817625599</c:v>
                </c:pt>
                <c:pt idx="5">
                  <c:v>92.234775039801775</c:v>
                </c:pt>
                <c:pt idx="6">
                  <c:v>54.699347941729151</c:v>
                </c:pt>
                <c:pt idx="7">
                  <c:v>62.389047476076676</c:v>
                </c:pt>
                <c:pt idx="8">
                  <c:v>86.611445607061654</c:v>
                </c:pt>
                <c:pt idx="9">
                  <c:v>112.52277937679817</c:v>
                </c:pt>
                <c:pt idx="10">
                  <c:v>106.32094908466065</c:v>
                </c:pt>
              </c:numCache>
            </c:numRef>
          </c:val>
          <c:smooth val="0"/>
          <c:extLst xmlns:c16r2="http://schemas.microsoft.com/office/drawing/2015/06/chart">
            <c:ext xmlns:c16="http://schemas.microsoft.com/office/drawing/2014/chart" uri="{C3380CC4-5D6E-409C-BE32-E72D297353CC}">
              <c16:uniqueId val="{00000001-7FB4-4196-9FD5-5C852EAE820F}"/>
            </c:ext>
          </c:extLst>
        </c:ser>
        <c:ser>
          <c:idx val="2"/>
          <c:order val="2"/>
          <c:tx>
            <c:strRef>
              <c:f>Water!$A$41</c:f>
              <c:strCache>
                <c:ptCount val="1"/>
                <c:pt idx="0">
                  <c:v>Urban Operating</c:v>
                </c:pt>
              </c:strCache>
            </c:strRef>
          </c:tx>
          <c:spPr>
            <a:ln>
              <a:solidFill>
                <a:schemeClr val="accent2">
                  <a:lumMod val="75000"/>
                </a:schemeClr>
              </a:solidFill>
            </a:ln>
          </c:spPr>
          <c:marker>
            <c:symbol val="none"/>
          </c:marker>
          <c:cat>
            <c:numRef>
              <c:f>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Water!$B$41:$L$41</c:f>
              <c:numCache>
                <c:formatCode>General</c:formatCode>
                <c:ptCount val="11"/>
                <c:pt idx="0">
                  <c:v>239.22194516464984</c:v>
                </c:pt>
                <c:pt idx="1">
                  <c:v>229.75731787765403</c:v>
                </c:pt>
                <c:pt idx="2">
                  <c:v>237.5504566611107</c:v>
                </c:pt>
                <c:pt idx="3">
                  <c:v>244.23426650919941</c:v>
                </c:pt>
                <c:pt idx="4">
                  <c:v>246.32700947499379</c:v>
                </c:pt>
                <c:pt idx="5">
                  <c:v>247.76977459359463</c:v>
                </c:pt>
                <c:pt idx="6">
                  <c:v>249.3648714224943</c:v>
                </c:pt>
                <c:pt idx="7">
                  <c:v>250.09928486269357</c:v>
                </c:pt>
                <c:pt idx="8">
                  <c:v>250.90116383649001</c:v>
                </c:pt>
                <c:pt idx="9">
                  <c:v>250.88681848031493</c:v>
                </c:pt>
                <c:pt idx="10">
                  <c:v>248.82345236509255</c:v>
                </c:pt>
              </c:numCache>
            </c:numRef>
          </c:val>
          <c:smooth val="0"/>
          <c:extLst xmlns:c16r2="http://schemas.microsoft.com/office/drawing/2015/06/chart">
            <c:ext xmlns:c16="http://schemas.microsoft.com/office/drawing/2014/chart" uri="{C3380CC4-5D6E-409C-BE32-E72D297353CC}">
              <c16:uniqueId val="{00000002-7FB4-4196-9FD5-5C852EAE820F}"/>
            </c:ext>
          </c:extLst>
        </c:ser>
        <c:ser>
          <c:idx val="3"/>
          <c:order val="3"/>
          <c:tx>
            <c:strRef>
              <c:f>Water!$A$42</c:f>
              <c:strCache>
                <c:ptCount val="1"/>
                <c:pt idx="0">
                  <c:v>Urban Capital</c:v>
                </c:pt>
              </c:strCache>
            </c:strRef>
          </c:tx>
          <c:spPr>
            <a:ln>
              <a:solidFill>
                <a:schemeClr val="accent2"/>
              </a:solidFill>
            </a:ln>
          </c:spPr>
          <c:marker>
            <c:symbol val="none"/>
          </c:marker>
          <c:cat>
            <c:numRef>
              <c:f>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Water!$B$42:$L$42</c:f>
              <c:numCache>
                <c:formatCode>General</c:formatCode>
                <c:ptCount val="11"/>
                <c:pt idx="0">
                  <c:v>134.54329229954462</c:v>
                </c:pt>
                <c:pt idx="1">
                  <c:v>198.6535131488188</c:v>
                </c:pt>
                <c:pt idx="2">
                  <c:v>203.64465716794885</c:v>
                </c:pt>
                <c:pt idx="3">
                  <c:v>284.80767724818702</c:v>
                </c:pt>
                <c:pt idx="4">
                  <c:v>234.2672381533217</c:v>
                </c:pt>
                <c:pt idx="5">
                  <c:v>214.54701031557605</c:v>
                </c:pt>
                <c:pt idx="6">
                  <c:v>248.8482339704257</c:v>
                </c:pt>
                <c:pt idx="7">
                  <c:v>255.18146047423861</c:v>
                </c:pt>
                <c:pt idx="8">
                  <c:v>232.0556183255953</c:v>
                </c:pt>
                <c:pt idx="9">
                  <c:v>210.40034845962404</c:v>
                </c:pt>
                <c:pt idx="10">
                  <c:v>240.66428288884717</c:v>
                </c:pt>
              </c:numCache>
            </c:numRef>
          </c:val>
          <c:smooth val="0"/>
          <c:extLst xmlns:c16r2="http://schemas.microsoft.com/office/drawing/2015/06/chart">
            <c:ext xmlns:c16="http://schemas.microsoft.com/office/drawing/2014/chart" uri="{C3380CC4-5D6E-409C-BE32-E72D297353CC}">
              <c16:uniqueId val="{00000003-7FB4-4196-9FD5-5C852EAE820F}"/>
            </c:ext>
          </c:extLst>
        </c:ser>
        <c:dLbls>
          <c:showLegendKey val="0"/>
          <c:showVal val="0"/>
          <c:showCatName val="0"/>
          <c:showSerName val="0"/>
          <c:showPercent val="0"/>
          <c:showBubbleSize val="0"/>
        </c:dLbls>
        <c:marker val="1"/>
        <c:smooth val="0"/>
        <c:axId val="121039488"/>
        <c:axId val="121041280"/>
      </c:lineChart>
      <c:catAx>
        <c:axId val="121039488"/>
        <c:scaling>
          <c:orientation val="minMax"/>
        </c:scaling>
        <c:delete val="0"/>
        <c:axPos val="b"/>
        <c:numFmt formatCode="General" sourceLinked="1"/>
        <c:majorTickMark val="out"/>
        <c:minorTickMark val="none"/>
        <c:tickLblPos val="nextTo"/>
        <c:crossAx val="121041280"/>
        <c:crosses val="autoZero"/>
        <c:auto val="1"/>
        <c:lblAlgn val="ctr"/>
        <c:lblOffset val="100"/>
        <c:noMultiLvlLbl val="0"/>
      </c:catAx>
      <c:valAx>
        <c:axId val="121041280"/>
        <c:scaling>
          <c:orientation val="minMax"/>
        </c:scaling>
        <c:delete val="0"/>
        <c:axPos val="l"/>
        <c:majorGridlines/>
        <c:numFmt formatCode="&quot;$&quot;#,##0" sourceLinked="0"/>
        <c:majorTickMark val="out"/>
        <c:minorTickMark val="none"/>
        <c:tickLblPos val="nextTo"/>
        <c:crossAx val="12103948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15869170199881E-2"/>
          <c:y val="6.1073150004647393E-2"/>
          <c:w val="0.89542936940574736"/>
          <c:h val="0.77271766408625564"/>
        </c:manualLayout>
      </c:layout>
      <c:lineChart>
        <c:grouping val="standard"/>
        <c:varyColors val="0"/>
        <c:ser>
          <c:idx val="0"/>
          <c:order val="0"/>
          <c:tx>
            <c:strRef>
              <c:f>Wastewater!$A$39</c:f>
              <c:strCache>
                <c:ptCount val="1"/>
                <c:pt idx="0">
                  <c:v>Rural Operating</c:v>
                </c:pt>
              </c:strCache>
            </c:strRef>
          </c:tx>
          <c:marker>
            <c:symbol val="none"/>
          </c:marker>
          <c:cat>
            <c:numRef>
              <c:f>Wastewater!$B$38:$L$38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Wastewater!$B$39:$L$39</c:f>
              <c:numCache>
                <c:formatCode>General</c:formatCode>
                <c:ptCount val="11"/>
                <c:pt idx="0">
                  <c:v>169.61903904110108</c:v>
                </c:pt>
                <c:pt idx="1">
                  <c:v>190.76601848566824</c:v>
                </c:pt>
                <c:pt idx="2">
                  <c:v>194.78648847576522</c:v>
                </c:pt>
                <c:pt idx="3">
                  <c:v>191.85172617703694</c:v>
                </c:pt>
                <c:pt idx="4">
                  <c:v>199.75425329726616</c:v>
                </c:pt>
                <c:pt idx="5">
                  <c:v>207.85526281636271</c:v>
                </c:pt>
                <c:pt idx="6">
                  <c:v>214.62066099840527</c:v>
                </c:pt>
                <c:pt idx="7">
                  <c:v>217.13928808694345</c:v>
                </c:pt>
                <c:pt idx="8">
                  <c:v>219.55115527526527</c:v>
                </c:pt>
                <c:pt idx="9">
                  <c:v>221.55158764449044</c:v>
                </c:pt>
                <c:pt idx="10">
                  <c:v>218.06770774034644</c:v>
                </c:pt>
              </c:numCache>
            </c:numRef>
          </c:val>
          <c:smooth val="0"/>
          <c:extLst xmlns:c16r2="http://schemas.microsoft.com/office/drawing/2015/06/chart">
            <c:ext xmlns:c16="http://schemas.microsoft.com/office/drawing/2014/chart" uri="{C3380CC4-5D6E-409C-BE32-E72D297353CC}">
              <c16:uniqueId val="{00000000-8B49-4284-89E0-AD4EC55BD3EE}"/>
            </c:ext>
          </c:extLst>
        </c:ser>
        <c:ser>
          <c:idx val="1"/>
          <c:order val="1"/>
          <c:tx>
            <c:strRef>
              <c:f>Wastewater!$A$40</c:f>
              <c:strCache>
                <c:ptCount val="1"/>
                <c:pt idx="0">
                  <c:v>Rural Capital</c:v>
                </c:pt>
              </c:strCache>
            </c:strRef>
          </c:tx>
          <c:spPr>
            <a:ln>
              <a:solidFill>
                <a:schemeClr val="bg2"/>
              </a:solidFill>
            </a:ln>
          </c:spPr>
          <c:marker>
            <c:symbol val="none"/>
          </c:marker>
          <c:cat>
            <c:numRef>
              <c:f>Wastewater!$B$38:$L$38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Wastewater!$B$40:$L$40</c:f>
              <c:numCache>
                <c:formatCode>General</c:formatCode>
                <c:ptCount val="11"/>
                <c:pt idx="0">
                  <c:v>120.61345709413629</c:v>
                </c:pt>
                <c:pt idx="1">
                  <c:v>75.732002883650409</c:v>
                </c:pt>
                <c:pt idx="2">
                  <c:v>107.63881111943165</c:v>
                </c:pt>
                <c:pt idx="3">
                  <c:v>299.05613189709226</c:v>
                </c:pt>
                <c:pt idx="4">
                  <c:v>298.46260844631564</c:v>
                </c:pt>
                <c:pt idx="5">
                  <c:v>280.65954841571209</c:v>
                </c:pt>
                <c:pt idx="6">
                  <c:v>145.60450816251816</c:v>
                </c:pt>
                <c:pt idx="7">
                  <c:v>157.00916559985362</c:v>
                </c:pt>
                <c:pt idx="8">
                  <c:v>127.39403757268069</c:v>
                </c:pt>
                <c:pt idx="9">
                  <c:v>119.52126007392403</c:v>
                </c:pt>
                <c:pt idx="10">
                  <c:v>68.05016131280307</c:v>
                </c:pt>
              </c:numCache>
            </c:numRef>
          </c:val>
          <c:smooth val="0"/>
          <c:extLst xmlns:c16r2="http://schemas.microsoft.com/office/drawing/2015/06/chart">
            <c:ext xmlns:c16="http://schemas.microsoft.com/office/drawing/2014/chart" uri="{C3380CC4-5D6E-409C-BE32-E72D297353CC}">
              <c16:uniqueId val="{00000001-8B49-4284-89E0-AD4EC55BD3EE}"/>
            </c:ext>
          </c:extLst>
        </c:ser>
        <c:ser>
          <c:idx val="2"/>
          <c:order val="2"/>
          <c:tx>
            <c:strRef>
              <c:f>Wastewater!$A$41</c:f>
              <c:strCache>
                <c:ptCount val="1"/>
                <c:pt idx="0">
                  <c:v>Urban Operating</c:v>
                </c:pt>
              </c:strCache>
            </c:strRef>
          </c:tx>
          <c:spPr>
            <a:ln>
              <a:solidFill>
                <a:schemeClr val="accent2">
                  <a:lumMod val="75000"/>
                </a:schemeClr>
              </a:solidFill>
            </a:ln>
          </c:spPr>
          <c:marker>
            <c:symbol val="none"/>
          </c:marker>
          <c:cat>
            <c:numRef>
              <c:f>Wastewater!$B$38:$L$38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Wastewater!$B$41:$L$41</c:f>
              <c:numCache>
                <c:formatCode>General</c:formatCode>
                <c:ptCount val="11"/>
                <c:pt idx="0">
                  <c:v>289.28064999487708</c:v>
                </c:pt>
                <c:pt idx="1">
                  <c:v>273.69537355432317</c:v>
                </c:pt>
                <c:pt idx="2">
                  <c:v>283.11488821554207</c:v>
                </c:pt>
                <c:pt idx="3">
                  <c:v>307.01849748915976</c:v>
                </c:pt>
                <c:pt idx="4">
                  <c:v>302.17005106330993</c:v>
                </c:pt>
                <c:pt idx="5">
                  <c:v>298.40072753888148</c:v>
                </c:pt>
                <c:pt idx="6">
                  <c:v>296.23480115149482</c:v>
                </c:pt>
                <c:pt idx="7">
                  <c:v>289.79752718779031</c:v>
                </c:pt>
                <c:pt idx="8">
                  <c:v>286.96921004982681</c:v>
                </c:pt>
                <c:pt idx="9">
                  <c:v>282.70454543020526</c:v>
                </c:pt>
                <c:pt idx="10">
                  <c:v>278.2815816364905</c:v>
                </c:pt>
              </c:numCache>
            </c:numRef>
          </c:val>
          <c:smooth val="0"/>
          <c:extLst xmlns:c16r2="http://schemas.microsoft.com/office/drawing/2015/06/chart">
            <c:ext xmlns:c16="http://schemas.microsoft.com/office/drawing/2014/chart" uri="{C3380CC4-5D6E-409C-BE32-E72D297353CC}">
              <c16:uniqueId val="{00000002-8B49-4284-89E0-AD4EC55BD3EE}"/>
            </c:ext>
          </c:extLst>
        </c:ser>
        <c:ser>
          <c:idx val="3"/>
          <c:order val="3"/>
          <c:tx>
            <c:strRef>
              <c:f>Wastewater!$A$42</c:f>
              <c:strCache>
                <c:ptCount val="1"/>
                <c:pt idx="0">
                  <c:v>Urban Capital</c:v>
                </c:pt>
              </c:strCache>
            </c:strRef>
          </c:tx>
          <c:spPr>
            <a:ln>
              <a:solidFill>
                <a:schemeClr val="accent2"/>
              </a:solidFill>
            </a:ln>
          </c:spPr>
          <c:marker>
            <c:symbol val="none"/>
          </c:marker>
          <c:cat>
            <c:numRef>
              <c:f>Wastewater!$B$38:$L$38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Wastewater!$B$42:$L$42</c:f>
              <c:numCache>
                <c:formatCode>General</c:formatCode>
                <c:ptCount val="11"/>
                <c:pt idx="0">
                  <c:v>170.16265847069261</c:v>
                </c:pt>
                <c:pt idx="1">
                  <c:v>187.62555302658859</c:v>
                </c:pt>
                <c:pt idx="2">
                  <c:v>163.94198514470713</c:v>
                </c:pt>
                <c:pt idx="3">
                  <c:v>202.02668049272336</c:v>
                </c:pt>
                <c:pt idx="4">
                  <c:v>226.42885380714654</c:v>
                </c:pt>
                <c:pt idx="5">
                  <c:v>250.15523820853147</c:v>
                </c:pt>
                <c:pt idx="6">
                  <c:v>218.1714255540852</c:v>
                </c:pt>
                <c:pt idx="7">
                  <c:v>224.06428924376476</c:v>
                </c:pt>
                <c:pt idx="8">
                  <c:v>217.47102251797062</c:v>
                </c:pt>
                <c:pt idx="9">
                  <c:v>239.730807109214</c:v>
                </c:pt>
                <c:pt idx="10">
                  <c:v>233.59754116834802</c:v>
                </c:pt>
              </c:numCache>
            </c:numRef>
          </c:val>
          <c:smooth val="0"/>
          <c:extLst xmlns:c16r2="http://schemas.microsoft.com/office/drawing/2015/06/chart">
            <c:ext xmlns:c16="http://schemas.microsoft.com/office/drawing/2014/chart" uri="{C3380CC4-5D6E-409C-BE32-E72D297353CC}">
              <c16:uniqueId val="{00000003-8B49-4284-89E0-AD4EC55BD3EE}"/>
            </c:ext>
          </c:extLst>
        </c:ser>
        <c:dLbls>
          <c:showLegendKey val="0"/>
          <c:showVal val="0"/>
          <c:showCatName val="0"/>
          <c:showSerName val="0"/>
          <c:showPercent val="0"/>
          <c:showBubbleSize val="0"/>
        </c:dLbls>
        <c:marker val="1"/>
        <c:smooth val="0"/>
        <c:axId val="123891712"/>
        <c:axId val="123893248"/>
      </c:lineChart>
      <c:catAx>
        <c:axId val="123891712"/>
        <c:scaling>
          <c:orientation val="minMax"/>
        </c:scaling>
        <c:delete val="0"/>
        <c:axPos val="b"/>
        <c:numFmt formatCode="General" sourceLinked="1"/>
        <c:majorTickMark val="out"/>
        <c:minorTickMark val="none"/>
        <c:tickLblPos val="nextTo"/>
        <c:crossAx val="123893248"/>
        <c:crosses val="autoZero"/>
        <c:auto val="1"/>
        <c:lblAlgn val="ctr"/>
        <c:lblOffset val="100"/>
        <c:noMultiLvlLbl val="0"/>
      </c:catAx>
      <c:valAx>
        <c:axId val="123893248"/>
        <c:scaling>
          <c:orientation val="minMax"/>
        </c:scaling>
        <c:delete val="0"/>
        <c:axPos val="l"/>
        <c:majorGridlines/>
        <c:numFmt formatCode="&quot;$&quot;#,##0" sourceLinked="0"/>
        <c:majorTickMark val="out"/>
        <c:minorTickMark val="none"/>
        <c:tickLblPos val="nextTo"/>
        <c:crossAx val="12389171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789468819065713E-2"/>
          <c:y val="6.7367693314475091E-2"/>
          <c:w val="0.88973134228018724"/>
          <c:h val="0.89542547127989691"/>
        </c:manualLayout>
      </c:layout>
      <c:lineChart>
        <c:grouping val="standard"/>
        <c:varyColors val="0"/>
        <c:ser>
          <c:idx val="0"/>
          <c:order val="0"/>
          <c:tx>
            <c:strRef>
              <c:f>Ratios!$A$256</c:f>
              <c:strCache>
                <c:ptCount val="1"/>
                <c:pt idx="0">
                  <c:v>Ashburton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Ratios!$B$256:$J$256</c:f>
              <c:numCache>
                <c:formatCode>0.0%</c:formatCode>
                <c:ptCount val="9"/>
                <c:pt idx="0">
                  <c:v>4.4626267236040018E-2</c:v>
                </c:pt>
                <c:pt idx="1">
                  <c:v>0.10915558884104093</c:v>
                </c:pt>
                <c:pt idx="2">
                  <c:v>3.2523069997749232E-2</c:v>
                </c:pt>
                <c:pt idx="3">
                  <c:v>1.6512261580381438E-2</c:v>
                </c:pt>
                <c:pt idx="4">
                  <c:v>1.9407065887524722E-2</c:v>
                </c:pt>
                <c:pt idx="5">
                  <c:v>2.5111753878517051E-2</c:v>
                </c:pt>
                <c:pt idx="6">
                  <c:v>2.5317429780684853E-2</c:v>
                </c:pt>
                <c:pt idx="7">
                  <c:v>2.3566496547583249E-2</c:v>
                </c:pt>
                <c:pt idx="8">
                  <c:v>5.3795766730214689E-2</c:v>
                </c:pt>
              </c:numCache>
            </c:numRef>
          </c:val>
          <c:smooth val="0"/>
          <c:extLst xmlns:c16r2="http://schemas.microsoft.com/office/drawing/2015/06/chart">
            <c:ext xmlns:c16="http://schemas.microsoft.com/office/drawing/2014/chart" uri="{C3380CC4-5D6E-409C-BE32-E72D297353CC}">
              <c16:uniqueId val="{00000000-15F5-4055-866A-95614E29C845}"/>
            </c:ext>
          </c:extLst>
        </c:ser>
        <c:ser>
          <c:idx val="1"/>
          <c:order val="1"/>
          <c:tx>
            <c:strRef>
              <c:f>Ratios!$A$257</c:f>
              <c:strCache>
                <c:ptCount val="1"/>
                <c:pt idx="0">
                  <c:v>Bay of Plenty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Ratios!$B$257:$J$257</c:f>
              <c:numCache>
                <c:formatCode>0.0%</c:formatCode>
                <c:ptCount val="9"/>
                <c:pt idx="0">
                  <c:v>7.8102961918194547E-2</c:v>
                </c:pt>
                <c:pt idx="1">
                  <c:v>0.11804306350504223</c:v>
                </c:pt>
                <c:pt idx="2">
                  <c:v>9.4317544672241072E-2</c:v>
                </c:pt>
                <c:pt idx="3">
                  <c:v>4.0098017375807427E-2</c:v>
                </c:pt>
                <c:pt idx="4">
                  <c:v>3.8466481045191792E-2</c:v>
                </c:pt>
                <c:pt idx="5">
                  <c:v>2.6605618116569696E-2</c:v>
                </c:pt>
                <c:pt idx="6">
                  <c:v>5.5669398907103762E-2</c:v>
                </c:pt>
                <c:pt idx="7">
                  <c:v>3.3646069233257858E-2</c:v>
                </c:pt>
                <c:pt idx="8">
                  <c:v>3.7705974408542842E-2</c:v>
                </c:pt>
              </c:numCache>
            </c:numRef>
          </c:val>
          <c:smooth val="0"/>
          <c:extLst xmlns:c16r2="http://schemas.microsoft.com/office/drawing/2015/06/chart">
            <c:ext xmlns:c16="http://schemas.microsoft.com/office/drawing/2014/chart" uri="{C3380CC4-5D6E-409C-BE32-E72D297353CC}">
              <c16:uniqueId val="{00000001-15F5-4055-866A-95614E29C845}"/>
            </c:ext>
          </c:extLst>
        </c:ser>
        <c:ser>
          <c:idx val="2"/>
          <c:order val="2"/>
          <c:tx>
            <c:strRef>
              <c:f>Ratios!$A$258</c:f>
              <c:strCache>
                <c:ptCount val="1"/>
                <c:pt idx="0">
                  <c:v>Buller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Ratios!$B$258:$J$258</c:f>
              <c:numCache>
                <c:formatCode>0.0%</c:formatCode>
                <c:ptCount val="9"/>
                <c:pt idx="0">
                  <c:v>3.2779590625926947E-2</c:v>
                </c:pt>
                <c:pt idx="1">
                  <c:v>3.712480252764605E-2</c:v>
                </c:pt>
                <c:pt idx="2">
                  <c:v>1.5024579381015091E-2</c:v>
                </c:pt>
                <c:pt idx="3">
                  <c:v>2.9263301500682237E-2</c:v>
                </c:pt>
                <c:pt idx="4">
                  <c:v>3.0618331234674168E-2</c:v>
                </c:pt>
                <c:pt idx="5">
                  <c:v>5.3372773455082623E-3</c:v>
                </c:pt>
                <c:pt idx="6">
                  <c:v>1.4647563003709951E-2</c:v>
                </c:pt>
                <c:pt idx="7">
                  <c:v>3.8391224862888373E-2</c:v>
                </c:pt>
                <c:pt idx="8">
                  <c:v>1.3538125303545367E-2</c:v>
                </c:pt>
              </c:numCache>
            </c:numRef>
          </c:val>
          <c:smooth val="0"/>
          <c:extLst xmlns:c16r2="http://schemas.microsoft.com/office/drawing/2015/06/chart">
            <c:ext xmlns:c16="http://schemas.microsoft.com/office/drawing/2014/chart" uri="{C3380CC4-5D6E-409C-BE32-E72D297353CC}">
              <c16:uniqueId val="{00000002-15F5-4055-866A-95614E29C845}"/>
            </c:ext>
          </c:extLst>
        </c:ser>
        <c:ser>
          <c:idx val="3"/>
          <c:order val="3"/>
          <c:tx>
            <c:strRef>
              <c:f>Ratios!$A$259</c:f>
              <c:strCache>
                <c:ptCount val="1"/>
                <c:pt idx="0">
                  <c:v>Canterbury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Ratios!$B$259:$J$259</c:f>
              <c:numCache>
                <c:formatCode>0.0%</c:formatCode>
                <c:ptCount val="9"/>
                <c:pt idx="0">
                  <c:v>5.2847895715277593E-2</c:v>
                </c:pt>
                <c:pt idx="1">
                  <c:v>4.0770957208045688E-2</c:v>
                </c:pt>
                <c:pt idx="2">
                  <c:v>4.1984342742677372E-2</c:v>
                </c:pt>
                <c:pt idx="3">
                  <c:v>2.203935107989885E-2</c:v>
                </c:pt>
                <c:pt idx="4">
                  <c:v>3.3157071429256835E-2</c:v>
                </c:pt>
                <c:pt idx="5">
                  <c:v>-6.5950806271830587E-4</c:v>
                </c:pt>
                <c:pt idx="6">
                  <c:v>1.4128363619463791E-2</c:v>
                </c:pt>
                <c:pt idx="7">
                  <c:v>2.3665276568443305E-2</c:v>
                </c:pt>
                <c:pt idx="8">
                  <c:v>2.7845675862007147E-2</c:v>
                </c:pt>
              </c:numCache>
            </c:numRef>
          </c:val>
          <c:smooth val="0"/>
          <c:extLst xmlns:c16r2="http://schemas.microsoft.com/office/drawing/2015/06/chart">
            <c:ext xmlns:c16="http://schemas.microsoft.com/office/drawing/2014/chart" uri="{C3380CC4-5D6E-409C-BE32-E72D297353CC}">
              <c16:uniqueId val="{00000003-15F5-4055-866A-95614E29C845}"/>
            </c:ext>
          </c:extLst>
        </c:ser>
        <c:ser>
          <c:idx val="4"/>
          <c:order val="4"/>
          <c:tx>
            <c:strRef>
              <c:f>Ratios!$A$260</c:f>
              <c:strCache>
                <c:ptCount val="1"/>
                <c:pt idx="0">
                  <c:v>Carterton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Ratios!$B$260:$J$260</c:f>
              <c:numCache>
                <c:formatCode>0.0%</c:formatCode>
                <c:ptCount val="9"/>
                <c:pt idx="0">
                  <c:v>4.7871232282732157E-2</c:v>
                </c:pt>
                <c:pt idx="1">
                  <c:v>1.9041712044325587E-2</c:v>
                </c:pt>
                <c:pt idx="2">
                  <c:v>8.7703220358681389E-3</c:v>
                </c:pt>
                <c:pt idx="3">
                  <c:v>8.9427066548051215E-3</c:v>
                </c:pt>
                <c:pt idx="4">
                  <c:v>2.1960321472447308E-2</c:v>
                </c:pt>
                <c:pt idx="5">
                  <c:v>5.4461726190468962E-3</c:v>
                </c:pt>
                <c:pt idx="6">
                  <c:v>1.2047835477571267E-2</c:v>
                </c:pt>
                <c:pt idx="7">
                  <c:v>2.6403275046679386E-2</c:v>
                </c:pt>
                <c:pt idx="8">
                  <c:v>5.6926153681193803E-3</c:v>
                </c:pt>
              </c:numCache>
            </c:numRef>
          </c:val>
          <c:smooth val="0"/>
          <c:extLst xmlns:c16r2="http://schemas.microsoft.com/office/drawing/2015/06/chart">
            <c:ext xmlns:c16="http://schemas.microsoft.com/office/drawing/2014/chart" uri="{C3380CC4-5D6E-409C-BE32-E72D297353CC}">
              <c16:uniqueId val="{00000004-15F5-4055-866A-95614E29C845}"/>
            </c:ext>
          </c:extLst>
        </c:ser>
        <c:ser>
          <c:idx val="5"/>
          <c:order val="5"/>
          <c:tx>
            <c:strRef>
              <c:f>Ratios!$A$261</c:f>
              <c:strCache>
                <c:ptCount val="1"/>
                <c:pt idx="0">
                  <c:v>Central Otago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Ratios!$B$261:$J$261</c:f>
              <c:numCache>
                <c:formatCode>0.0%</c:formatCode>
                <c:ptCount val="9"/>
                <c:pt idx="0">
                  <c:v>5.7642799678197854E-2</c:v>
                </c:pt>
                <c:pt idx="1">
                  <c:v>5.4158901608793109E-2</c:v>
                </c:pt>
                <c:pt idx="2">
                  <c:v>5.0907385359165946E-2</c:v>
                </c:pt>
                <c:pt idx="3">
                  <c:v>5.012359241966502E-2</c:v>
                </c:pt>
                <c:pt idx="4">
                  <c:v>5.1556165816660116E-2</c:v>
                </c:pt>
                <c:pt idx="5">
                  <c:v>5.3474273278408146E-2</c:v>
                </c:pt>
                <c:pt idx="6">
                  <c:v>5.5570311347203694E-2</c:v>
                </c:pt>
                <c:pt idx="7">
                  <c:v>5.1079176917915525E-2</c:v>
                </c:pt>
                <c:pt idx="8">
                  <c:v>5.6018087511637171E-2</c:v>
                </c:pt>
              </c:numCache>
            </c:numRef>
          </c:val>
          <c:smooth val="0"/>
          <c:extLst xmlns:c16r2="http://schemas.microsoft.com/office/drawing/2015/06/chart">
            <c:ext xmlns:c16="http://schemas.microsoft.com/office/drawing/2014/chart" uri="{C3380CC4-5D6E-409C-BE32-E72D297353CC}">
              <c16:uniqueId val="{00000005-15F5-4055-866A-95614E29C845}"/>
            </c:ext>
          </c:extLst>
        </c:ser>
        <c:ser>
          <c:idx val="6"/>
          <c:order val="6"/>
          <c:tx>
            <c:strRef>
              <c:f>Ratios!$A$262</c:f>
              <c:strCache>
                <c:ptCount val="1"/>
                <c:pt idx="0">
                  <c:v>Chatham Islands</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Ratios!$B$262:$J$262</c:f>
              <c:numCache>
                <c:formatCode>0.0%</c:formatCode>
                <c:ptCount val="9"/>
                <c:pt idx="0">
                  <c:v>1.904761904761898E-2</c:v>
                </c:pt>
                <c:pt idx="1">
                  <c:v>2.2429906542056122E-2</c:v>
                </c:pt>
                <c:pt idx="2">
                  <c:v>2.0109689213893889E-2</c:v>
                </c:pt>
                <c:pt idx="3">
                  <c:v>2.6881720430107503E-2</c:v>
                </c:pt>
                <c:pt idx="4">
                  <c:v>2.0942408376963373E-2</c:v>
                </c:pt>
                <c:pt idx="5">
                  <c:v>2.7350427350427253E-2</c:v>
                </c:pt>
                <c:pt idx="6">
                  <c:v>2.4958402662229595E-2</c:v>
                </c:pt>
                <c:pt idx="7">
                  <c:v>2.759740259740262E-2</c:v>
                </c:pt>
                <c:pt idx="8">
                  <c:v>2.6856240126382325E-2</c:v>
                </c:pt>
              </c:numCache>
            </c:numRef>
          </c:val>
          <c:smooth val="0"/>
          <c:extLst xmlns:c16r2="http://schemas.microsoft.com/office/drawing/2015/06/chart">
            <c:ext xmlns:c16="http://schemas.microsoft.com/office/drawing/2014/chart" uri="{C3380CC4-5D6E-409C-BE32-E72D297353CC}">
              <c16:uniqueId val="{00000006-15F5-4055-866A-95614E29C845}"/>
            </c:ext>
          </c:extLst>
        </c:ser>
        <c:ser>
          <c:idx val="7"/>
          <c:order val="7"/>
          <c:tx>
            <c:strRef>
              <c:f>Ratios!$A$263</c:f>
              <c:strCache>
                <c:ptCount val="1"/>
                <c:pt idx="0">
                  <c:v>Christchurch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Ratios!$B$263:$J$263</c:f>
              <c:numCache>
                <c:formatCode>0.0%</c:formatCode>
                <c:ptCount val="9"/>
                <c:pt idx="0">
                  <c:v>8.0404927156904282E-2</c:v>
                </c:pt>
                <c:pt idx="1">
                  <c:v>8.8155308689688905E-2</c:v>
                </c:pt>
                <c:pt idx="2">
                  <c:v>6.2429886302111548E-2</c:v>
                </c:pt>
                <c:pt idx="3">
                  <c:v>5.585463647908484E-2</c:v>
                </c:pt>
                <c:pt idx="4">
                  <c:v>5.3193378869372809E-2</c:v>
                </c:pt>
                <c:pt idx="5">
                  <c:v>4.8200743862401918E-2</c:v>
                </c:pt>
                <c:pt idx="6">
                  <c:v>4.5258522697463999E-2</c:v>
                </c:pt>
                <c:pt idx="7">
                  <c:v>4.9584578371306254E-2</c:v>
                </c:pt>
                <c:pt idx="8">
                  <c:v>5.101037231626071E-2</c:v>
                </c:pt>
              </c:numCache>
            </c:numRef>
          </c:val>
          <c:smooth val="0"/>
          <c:extLst xmlns:c16r2="http://schemas.microsoft.com/office/drawing/2015/06/chart">
            <c:ext xmlns:c16="http://schemas.microsoft.com/office/drawing/2014/chart" uri="{C3380CC4-5D6E-409C-BE32-E72D297353CC}">
              <c16:uniqueId val="{00000007-15F5-4055-866A-95614E29C845}"/>
            </c:ext>
          </c:extLst>
        </c:ser>
        <c:ser>
          <c:idx val="8"/>
          <c:order val="8"/>
          <c:tx>
            <c:strRef>
              <c:f>Ratios!$A$264</c:f>
              <c:strCache>
                <c:ptCount val="1"/>
                <c:pt idx="0">
                  <c:v>Clutha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Ratios!$B$264:$J$264</c:f>
              <c:numCache>
                <c:formatCode>0.0%</c:formatCode>
                <c:ptCount val="9"/>
                <c:pt idx="0">
                  <c:v>3.3366085318922378E-2</c:v>
                </c:pt>
                <c:pt idx="1">
                  <c:v>3.2249118497682305E-2</c:v>
                </c:pt>
                <c:pt idx="2">
                  <c:v>2.9053924390711972E-2</c:v>
                </c:pt>
                <c:pt idx="3">
                  <c:v>3.770699686707446E-2</c:v>
                </c:pt>
                <c:pt idx="4">
                  <c:v>2.8070301549078192E-2</c:v>
                </c:pt>
                <c:pt idx="5">
                  <c:v>2.1360648860299314E-2</c:v>
                </c:pt>
                <c:pt idx="6">
                  <c:v>3.1559130583604267E-2</c:v>
                </c:pt>
                <c:pt idx="7">
                  <c:v>3.2883166871287894E-2</c:v>
                </c:pt>
                <c:pt idx="8">
                  <c:v>1.2304034952454357E-2</c:v>
                </c:pt>
              </c:numCache>
            </c:numRef>
          </c:val>
          <c:smooth val="0"/>
          <c:extLst xmlns:c16r2="http://schemas.microsoft.com/office/drawing/2015/06/chart">
            <c:ext xmlns:c16="http://schemas.microsoft.com/office/drawing/2014/chart" uri="{C3380CC4-5D6E-409C-BE32-E72D297353CC}">
              <c16:uniqueId val="{00000008-15F5-4055-866A-95614E29C845}"/>
            </c:ext>
          </c:extLst>
        </c:ser>
        <c:ser>
          <c:idx val="9"/>
          <c:order val="9"/>
          <c:tx>
            <c:strRef>
              <c:f>Ratios!$A$265</c:f>
              <c:strCache>
                <c:ptCount val="1"/>
                <c:pt idx="0">
                  <c:v>Far North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Ratios!$B$265:$J$265</c:f>
              <c:numCache>
                <c:formatCode>0.0%</c:formatCode>
                <c:ptCount val="9"/>
                <c:pt idx="0">
                  <c:v>5.5956031701780207E-2</c:v>
                </c:pt>
                <c:pt idx="1">
                  <c:v>5.2450277840637716E-2</c:v>
                </c:pt>
                <c:pt idx="2">
                  <c:v>2.6196335141075666E-2</c:v>
                </c:pt>
                <c:pt idx="3">
                  <c:v>3.0242005890090518E-2</c:v>
                </c:pt>
                <c:pt idx="4">
                  <c:v>6.0923111688605092E-2</c:v>
                </c:pt>
                <c:pt idx="5">
                  <c:v>2.8627112687306333E-2</c:v>
                </c:pt>
                <c:pt idx="6">
                  <c:v>3.5740539421235118E-2</c:v>
                </c:pt>
                <c:pt idx="7">
                  <c:v>3.6086647940262173E-2</c:v>
                </c:pt>
                <c:pt idx="8">
                  <c:v>3.4395592733026614E-2</c:v>
                </c:pt>
              </c:numCache>
            </c:numRef>
          </c:val>
          <c:smooth val="0"/>
          <c:extLst xmlns:c16r2="http://schemas.microsoft.com/office/drawing/2015/06/chart">
            <c:ext xmlns:c16="http://schemas.microsoft.com/office/drawing/2014/chart" uri="{C3380CC4-5D6E-409C-BE32-E72D297353CC}">
              <c16:uniqueId val="{00000009-15F5-4055-866A-95614E29C845}"/>
            </c:ext>
          </c:extLst>
        </c:ser>
        <c:ser>
          <c:idx val="10"/>
          <c:order val="10"/>
          <c:tx>
            <c:strRef>
              <c:f>Ratios!$A$266</c:f>
              <c:strCache>
                <c:ptCount val="1"/>
                <c:pt idx="0">
                  <c:v>Gore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Ratios!$B$266:$J$266</c:f>
              <c:numCache>
                <c:formatCode>0.0%</c:formatCode>
                <c:ptCount val="9"/>
                <c:pt idx="0">
                  <c:v>4.2773273693038849E-2</c:v>
                </c:pt>
                <c:pt idx="1">
                  <c:v>4.4638069705093875E-2</c:v>
                </c:pt>
                <c:pt idx="2">
                  <c:v>6.5507506736815158E-2</c:v>
                </c:pt>
                <c:pt idx="3">
                  <c:v>4.0284217498645081E-2</c:v>
                </c:pt>
                <c:pt idx="4">
                  <c:v>4.3760129659643487E-2</c:v>
                </c:pt>
                <c:pt idx="5">
                  <c:v>2.7229370008873044E-2</c:v>
                </c:pt>
                <c:pt idx="6">
                  <c:v>2.4294120822760945E-2</c:v>
                </c:pt>
                <c:pt idx="7">
                  <c:v>2.7512781320824242E-2</c:v>
                </c:pt>
                <c:pt idx="8">
                  <c:v>2.9853808668889537E-2</c:v>
                </c:pt>
              </c:numCache>
            </c:numRef>
          </c:val>
          <c:smooth val="0"/>
          <c:extLst xmlns:c16r2="http://schemas.microsoft.com/office/drawing/2015/06/chart">
            <c:ext xmlns:c16="http://schemas.microsoft.com/office/drawing/2014/chart" uri="{C3380CC4-5D6E-409C-BE32-E72D297353CC}">
              <c16:uniqueId val="{0000000A-15F5-4055-866A-95614E29C845}"/>
            </c:ext>
          </c:extLst>
        </c:ser>
        <c:ser>
          <c:idx val="11"/>
          <c:order val="11"/>
          <c:tx>
            <c:strRef>
              <c:f>Ratios!$A$267</c:f>
              <c:strCache>
                <c:ptCount val="1"/>
                <c:pt idx="0">
                  <c:v>Grey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Ratios!$B$267:$J$267</c:f>
              <c:numCache>
                <c:formatCode>0.0%</c:formatCode>
                <c:ptCount val="9"/>
                <c:pt idx="0">
                  <c:v>4.3388271368340448E-2</c:v>
                </c:pt>
                <c:pt idx="1">
                  <c:v>2.7918595253838774E-2</c:v>
                </c:pt>
                <c:pt idx="2">
                  <c:v>3.7738546208276658E-2</c:v>
                </c:pt>
                <c:pt idx="3">
                  <c:v>3.8707899993112527E-2</c:v>
                </c:pt>
                <c:pt idx="4">
                  <c:v>3.2358596910019299E-2</c:v>
                </c:pt>
                <c:pt idx="5">
                  <c:v>4.3226925300276164E-2</c:v>
                </c:pt>
                <c:pt idx="6">
                  <c:v>3.8788326560768471E-2</c:v>
                </c:pt>
                <c:pt idx="7">
                  <c:v>3.0346135609293556E-2</c:v>
                </c:pt>
                <c:pt idx="8">
                  <c:v>3.9116428900138001E-2</c:v>
                </c:pt>
              </c:numCache>
            </c:numRef>
          </c:val>
          <c:smooth val="0"/>
          <c:extLst xmlns:c16r2="http://schemas.microsoft.com/office/drawing/2015/06/chart">
            <c:ext xmlns:c16="http://schemas.microsoft.com/office/drawing/2014/chart" uri="{C3380CC4-5D6E-409C-BE32-E72D297353CC}">
              <c16:uniqueId val="{0000000B-15F5-4055-866A-95614E29C845}"/>
            </c:ext>
          </c:extLst>
        </c:ser>
        <c:ser>
          <c:idx val="12"/>
          <c:order val="12"/>
          <c:tx>
            <c:strRef>
              <c:f>Ratios!$A$268</c:f>
              <c:strCache>
                <c:ptCount val="1"/>
                <c:pt idx="0">
                  <c:v>Hastings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Ratios!$B$268:$J$268</c:f>
              <c:numCache>
                <c:formatCode>0.0%</c:formatCode>
                <c:ptCount val="9"/>
                <c:pt idx="0">
                  <c:v>3.6218672223186976E-2</c:v>
                </c:pt>
                <c:pt idx="1">
                  <c:v>3.43522643169345E-2</c:v>
                </c:pt>
                <c:pt idx="2">
                  <c:v>2.9080206828583366E-2</c:v>
                </c:pt>
                <c:pt idx="3">
                  <c:v>2.8940636274188192E-2</c:v>
                </c:pt>
                <c:pt idx="4">
                  <c:v>2.1675102956739023E-2</c:v>
                </c:pt>
                <c:pt idx="5">
                  <c:v>2.6119728943854392E-2</c:v>
                </c:pt>
                <c:pt idx="6">
                  <c:v>2.3679217746643388E-2</c:v>
                </c:pt>
                <c:pt idx="7">
                  <c:v>2.5353150134844515E-2</c:v>
                </c:pt>
                <c:pt idx="8">
                  <c:v>3.4343317304907028E-2</c:v>
                </c:pt>
              </c:numCache>
            </c:numRef>
          </c:val>
          <c:smooth val="0"/>
          <c:extLst xmlns:c16r2="http://schemas.microsoft.com/office/drawing/2015/06/chart">
            <c:ext xmlns:c16="http://schemas.microsoft.com/office/drawing/2014/chart" uri="{C3380CC4-5D6E-409C-BE32-E72D297353CC}">
              <c16:uniqueId val="{0000000C-15F5-4055-866A-95614E29C845}"/>
            </c:ext>
          </c:extLst>
        </c:ser>
        <c:ser>
          <c:idx val="13"/>
          <c:order val="13"/>
          <c:tx>
            <c:strRef>
              <c:f>Ratios!$A$269</c:f>
              <c:strCache>
                <c:ptCount val="1"/>
                <c:pt idx="0">
                  <c:v>Hauraki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Ratios!$B$269:$J$269</c:f>
              <c:numCache>
                <c:formatCode>0.0%</c:formatCode>
                <c:ptCount val="9"/>
                <c:pt idx="0">
                  <c:v>3.6136687598721018E-2</c:v>
                </c:pt>
                <c:pt idx="1">
                  <c:v>3.6586726157278315E-2</c:v>
                </c:pt>
                <c:pt idx="2">
                  <c:v>3.6730155314035562E-2</c:v>
                </c:pt>
                <c:pt idx="3">
                  <c:v>3.1519219458187697E-2</c:v>
                </c:pt>
                <c:pt idx="4">
                  <c:v>3.2434426779365477E-2</c:v>
                </c:pt>
                <c:pt idx="5">
                  <c:v>3.0960657548487758E-2</c:v>
                </c:pt>
                <c:pt idx="6">
                  <c:v>3.125984748219568E-2</c:v>
                </c:pt>
                <c:pt idx="7">
                  <c:v>3.165678665281435E-2</c:v>
                </c:pt>
                <c:pt idx="8">
                  <c:v>3.1988626266216347E-2</c:v>
                </c:pt>
              </c:numCache>
            </c:numRef>
          </c:val>
          <c:smooth val="0"/>
          <c:extLst xmlns:c16r2="http://schemas.microsoft.com/office/drawing/2015/06/chart">
            <c:ext xmlns:c16="http://schemas.microsoft.com/office/drawing/2014/chart" uri="{C3380CC4-5D6E-409C-BE32-E72D297353CC}">
              <c16:uniqueId val="{0000000D-15F5-4055-866A-95614E29C845}"/>
            </c:ext>
          </c:extLst>
        </c:ser>
        <c:ser>
          <c:idx val="14"/>
          <c:order val="14"/>
          <c:tx>
            <c:strRef>
              <c:f>Ratios!$A$270</c:f>
              <c:strCache>
                <c:ptCount val="1"/>
                <c:pt idx="0">
                  <c:v>Hawke's Bay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Ratios!$B$270:$J$270</c:f>
              <c:numCache>
                <c:formatCode>0.0%</c:formatCode>
                <c:ptCount val="9"/>
                <c:pt idx="0">
                  <c:v>5.68620356970575E-2</c:v>
                </c:pt>
                <c:pt idx="1">
                  <c:v>5.5000855822445294E-2</c:v>
                </c:pt>
                <c:pt idx="2">
                  <c:v>3.6179763128008302E-2</c:v>
                </c:pt>
                <c:pt idx="3">
                  <c:v>3.7473903966597E-2</c:v>
                </c:pt>
                <c:pt idx="4">
                  <c:v>3.8987825736995774E-2</c:v>
                </c:pt>
                <c:pt idx="5">
                  <c:v>3.045562388030798E-2</c:v>
                </c:pt>
                <c:pt idx="6">
                  <c:v>3.1857908091344811E-2</c:v>
                </c:pt>
                <c:pt idx="7">
                  <c:v>3.3606557377049207E-2</c:v>
                </c:pt>
                <c:pt idx="8">
                  <c:v>8.28266807648248E-3</c:v>
                </c:pt>
              </c:numCache>
            </c:numRef>
          </c:val>
          <c:smooth val="0"/>
          <c:extLst xmlns:c16r2="http://schemas.microsoft.com/office/drawing/2015/06/chart">
            <c:ext xmlns:c16="http://schemas.microsoft.com/office/drawing/2014/chart" uri="{C3380CC4-5D6E-409C-BE32-E72D297353CC}">
              <c16:uniqueId val="{0000000E-15F5-4055-866A-95614E29C845}"/>
            </c:ext>
          </c:extLst>
        </c:ser>
        <c:ser>
          <c:idx val="15"/>
          <c:order val="15"/>
          <c:tx>
            <c:strRef>
              <c:f>Ratios!$A$271</c:f>
              <c:strCache>
                <c:ptCount val="1"/>
                <c:pt idx="0">
                  <c:v>Horowhenua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Ratios!$B$271:$J$271</c:f>
              <c:numCache>
                <c:formatCode>0.0%</c:formatCode>
                <c:ptCount val="9"/>
                <c:pt idx="0">
                  <c:v>5.4598594614762685E-2</c:v>
                </c:pt>
                <c:pt idx="1">
                  <c:v>7.3412347426145441E-2</c:v>
                </c:pt>
                <c:pt idx="2">
                  <c:v>3.9661612832344595E-2</c:v>
                </c:pt>
                <c:pt idx="3">
                  <c:v>4.1794356969248714E-2</c:v>
                </c:pt>
                <c:pt idx="4">
                  <c:v>4.6482730638535363E-2</c:v>
                </c:pt>
                <c:pt idx="5">
                  <c:v>4.7204788329658021E-2</c:v>
                </c:pt>
                <c:pt idx="6">
                  <c:v>4.7552933009371801E-2</c:v>
                </c:pt>
                <c:pt idx="7">
                  <c:v>4.5482659597967823E-2</c:v>
                </c:pt>
                <c:pt idx="8">
                  <c:v>2.9178727629994405E-2</c:v>
                </c:pt>
              </c:numCache>
            </c:numRef>
          </c:val>
          <c:smooth val="0"/>
          <c:extLst xmlns:c16r2="http://schemas.microsoft.com/office/drawing/2015/06/chart">
            <c:ext xmlns:c16="http://schemas.microsoft.com/office/drawing/2014/chart" uri="{C3380CC4-5D6E-409C-BE32-E72D297353CC}">
              <c16:uniqueId val="{0000000F-15F5-4055-866A-95614E29C845}"/>
            </c:ext>
          </c:extLst>
        </c:ser>
        <c:ser>
          <c:idx val="16"/>
          <c:order val="16"/>
          <c:tx>
            <c:strRef>
              <c:f>Ratios!$A$272</c:f>
              <c:strCache>
                <c:ptCount val="1"/>
                <c:pt idx="0">
                  <c:v>Hurunui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Ratios!$B$272:$J$272</c:f>
              <c:numCache>
                <c:formatCode>0.0%</c:formatCode>
                <c:ptCount val="9"/>
                <c:pt idx="0">
                  <c:v>6.8672037422037313E-2</c:v>
                </c:pt>
                <c:pt idx="1">
                  <c:v>6.85148033315095E-2</c:v>
                </c:pt>
                <c:pt idx="2">
                  <c:v>6.8559399180700975E-2</c:v>
                </c:pt>
                <c:pt idx="3">
                  <c:v>6.8526702518502791E-2</c:v>
                </c:pt>
                <c:pt idx="4">
                  <c:v>3.8568865856089207E-2</c:v>
                </c:pt>
                <c:pt idx="5">
                  <c:v>3.8240092121677449E-2</c:v>
                </c:pt>
                <c:pt idx="6">
                  <c:v>3.8264245112990425E-2</c:v>
                </c:pt>
                <c:pt idx="7">
                  <c:v>3.8411892998620134E-2</c:v>
                </c:pt>
                <c:pt idx="8">
                  <c:v>3.8148306900985807E-2</c:v>
                </c:pt>
              </c:numCache>
            </c:numRef>
          </c:val>
          <c:smooth val="0"/>
          <c:extLst xmlns:c16r2="http://schemas.microsoft.com/office/drawing/2015/06/chart">
            <c:ext xmlns:c16="http://schemas.microsoft.com/office/drawing/2014/chart" uri="{C3380CC4-5D6E-409C-BE32-E72D297353CC}">
              <c16:uniqueId val="{00000010-15F5-4055-866A-95614E29C845}"/>
            </c:ext>
          </c:extLst>
        </c:ser>
        <c:ser>
          <c:idx val="17"/>
          <c:order val="17"/>
          <c:tx>
            <c:strRef>
              <c:f>Ratios!$A$273</c:f>
              <c:strCache>
                <c:ptCount val="1"/>
                <c:pt idx="0">
                  <c:v>Hutt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Ratios!$B$273:$J$273</c:f>
              <c:numCache>
                <c:formatCode>0.0%</c:formatCode>
                <c:ptCount val="9"/>
                <c:pt idx="0">
                  <c:v>3.7004839013762947E-2</c:v>
                </c:pt>
                <c:pt idx="1">
                  <c:v>2.8997949639924414E-2</c:v>
                </c:pt>
                <c:pt idx="2">
                  <c:v>3.0006478336834341E-2</c:v>
                </c:pt>
                <c:pt idx="3">
                  <c:v>3.1000142945633025E-2</c:v>
                </c:pt>
                <c:pt idx="4">
                  <c:v>3.1001589825119247E-2</c:v>
                </c:pt>
                <c:pt idx="5">
                  <c:v>3.199691595990739E-2</c:v>
                </c:pt>
                <c:pt idx="6">
                  <c:v>3.3002927609003585E-2</c:v>
                </c:pt>
                <c:pt idx="7">
                  <c:v>3.3992094861660105E-2</c:v>
                </c:pt>
                <c:pt idx="8">
                  <c:v>3.4005140217320484E-2</c:v>
                </c:pt>
              </c:numCache>
            </c:numRef>
          </c:val>
          <c:smooth val="0"/>
          <c:extLst xmlns:c16r2="http://schemas.microsoft.com/office/drawing/2015/06/chart">
            <c:ext xmlns:c16="http://schemas.microsoft.com/office/drawing/2014/chart" uri="{C3380CC4-5D6E-409C-BE32-E72D297353CC}">
              <c16:uniqueId val="{00000011-15F5-4055-866A-95614E29C845}"/>
            </c:ext>
          </c:extLst>
        </c:ser>
        <c:ser>
          <c:idx val="18"/>
          <c:order val="18"/>
          <c:tx>
            <c:strRef>
              <c:f>Ratios!$A$274</c:f>
              <c:strCache>
                <c:ptCount val="1"/>
                <c:pt idx="0">
                  <c:v>Invercargill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Ratios!$B$274:$J$274</c:f>
              <c:numCache>
                <c:formatCode>0.0%</c:formatCode>
                <c:ptCount val="9"/>
                <c:pt idx="0">
                  <c:v>2.3281996813595329E-2</c:v>
                </c:pt>
                <c:pt idx="1">
                  <c:v>5.3891345415291392E-2</c:v>
                </c:pt>
                <c:pt idx="2">
                  <c:v>5.304627021490349E-2</c:v>
                </c:pt>
                <c:pt idx="3">
                  <c:v>3.6980920314253707E-2</c:v>
                </c:pt>
                <c:pt idx="4">
                  <c:v>3.557191045691499E-2</c:v>
                </c:pt>
                <c:pt idx="5">
                  <c:v>4.1491752164294793E-2</c:v>
                </c:pt>
                <c:pt idx="6">
                  <c:v>3.858440233479965E-2</c:v>
                </c:pt>
                <c:pt idx="7">
                  <c:v>3.4832039679216775E-2</c:v>
                </c:pt>
                <c:pt idx="8">
                  <c:v>2.5878837864334425E-2</c:v>
                </c:pt>
              </c:numCache>
            </c:numRef>
          </c:val>
          <c:smooth val="0"/>
          <c:extLst xmlns:c16r2="http://schemas.microsoft.com/office/drawing/2015/06/chart">
            <c:ext xmlns:c16="http://schemas.microsoft.com/office/drawing/2014/chart" uri="{C3380CC4-5D6E-409C-BE32-E72D297353CC}">
              <c16:uniqueId val="{00000012-15F5-4055-866A-95614E29C845}"/>
            </c:ext>
          </c:extLst>
        </c:ser>
        <c:ser>
          <c:idx val="19"/>
          <c:order val="19"/>
          <c:tx>
            <c:strRef>
              <c:f>Ratios!$A$275</c:f>
              <c:strCache>
                <c:ptCount val="1"/>
                <c:pt idx="0">
                  <c:v>Kaikoura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Ratios!$B$275:$J$275</c:f>
              <c:numCache>
                <c:formatCode>0.0%</c:formatCode>
                <c:ptCount val="9"/>
                <c:pt idx="0">
                  <c:v>5.29929743867259E-2</c:v>
                </c:pt>
                <c:pt idx="1">
                  <c:v>3.0717201005449279E-2</c:v>
                </c:pt>
                <c:pt idx="2">
                  <c:v>1.0295747847447245E-2</c:v>
                </c:pt>
                <c:pt idx="3">
                  <c:v>5.7016574402821707E-2</c:v>
                </c:pt>
                <c:pt idx="4">
                  <c:v>4.3132109321770251E-2</c:v>
                </c:pt>
                <c:pt idx="5">
                  <c:v>1.8910340524775471E-2</c:v>
                </c:pt>
                <c:pt idx="6">
                  <c:v>1.6693233287327747E-2</c:v>
                </c:pt>
                <c:pt idx="7">
                  <c:v>2.5697326600260029E-2</c:v>
                </c:pt>
                <c:pt idx="8">
                  <c:v>1.3946849146922125E-2</c:v>
                </c:pt>
              </c:numCache>
            </c:numRef>
          </c:val>
          <c:smooth val="0"/>
          <c:extLst xmlns:c16r2="http://schemas.microsoft.com/office/drawing/2015/06/chart">
            <c:ext xmlns:c16="http://schemas.microsoft.com/office/drawing/2014/chart" uri="{C3380CC4-5D6E-409C-BE32-E72D297353CC}">
              <c16:uniqueId val="{00000013-15F5-4055-866A-95614E29C845}"/>
            </c:ext>
          </c:extLst>
        </c:ser>
        <c:ser>
          <c:idx val="20"/>
          <c:order val="20"/>
          <c:tx>
            <c:strRef>
              <c:f>Ratios!$A$276</c:f>
              <c:strCache>
                <c:ptCount val="1"/>
                <c:pt idx="0">
                  <c:v>Kaipara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Ratios!$B$276:$J$276</c:f>
              <c:numCache>
                <c:formatCode>0.0%</c:formatCode>
                <c:ptCount val="9"/>
                <c:pt idx="0">
                  <c:v>3.4299500017481943E-2</c:v>
                </c:pt>
                <c:pt idx="1">
                  <c:v>3.6238252991684039E-2</c:v>
                </c:pt>
                <c:pt idx="2">
                  <c:v>3.6536830429960254E-2</c:v>
                </c:pt>
                <c:pt idx="3">
                  <c:v>3.4462138855668067E-2</c:v>
                </c:pt>
                <c:pt idx="4">
                  <c:v>3.3466183942316485E-2</c:v>
                </c:pt>
                <c:pt idx="5">
                  <c:v>3.6592186994024001E-2</c:v>
                </c:pt>
                <c:pt idx="6">
                  <c:v>3.5726456889696667E-2</c:v>
                </c:pt>
                <c:pt idx="7">
                  <c:v>3.5015080888401329E-2</c:v>
                </c:pt>
                <c:pt idx="8">
                  <c:v>3.4227885659787516E-2</c:v>
                </c:pt>
              </c:numCache>
            </c:numRef>
          </c:val>
          <c:smooth val="0"/>
          <c:extLst xmlns:c16r2="http://schemas.microsoft.com/office/drawing/2015/06/chart">
            <c:ext xmlns:c16="http://schemas.microsoft.com/office/drawing/2014/chart" uri="{C3380CC4-5D6E-409C-BE32-E72D297353CC}">
              <c16:uniqueId val="{00000014-15F5-4055-866A-95614E29C845}"/>
            </c:ext>
          </c:extLst>
        </c:ser>
        <c:ser>
          <c:idx val="21"/>
          <c:order val="21"/>
          <c:tx>
            <c:strRef>
              <c:f>Ratios!$A$277</c:f>
              <c:strCache>
                <c:ptCount val="1"/>
                <c:pt idx="0">
                  <c:v>Kawerau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Ratios!$B$277:$J$277</c:f>
              <c:numCache>
                <c:formatCode>0.0%</c:formatCode>
                <c:ptCount val="9"/>
                <c:pt idx="0">
                  <c:v>2.5298602647317203E-2</c:v>
                </c:pt>
                <c:pt idx="1">
                  <c:v>4.4499905455808175E-2</c:v>
                </c:pt>
                <c:pt idx="2">
                  <c:v>3.0408159376316579E-2</c:v>
                </c:pt>
                <c:pt idx="3">
                  <c:v>2.4174333841909812E-2</c:v>
                </c:pt>
                <c:pt idx="4">
                  <c:v>2.3597710350971024E-2</c:v>
                </c:pt>
                <c:pt idx="5">
                  <c:v>2.7598183772934437E-2</c:v>
                </c:pt>
                <c:pt idx="6">
                  <c:v>3.1762002905055597E-2</c:v>
                </c:pt>
                <c:pt idx="7">
                  <c:v>2.6742896230426361E-2</c:v>
                </c:pt>
                <c:pt idx="8">
                  <c:v>2.5156853336166352E-2</c:v>
                </c:pt>
              </c:numCache>
            </c:numRef>
          </c:val>
          <c:smooth val="0"/>
          <c:extLst xmlns:c16r2="http://schemas.microsoft.com/office/drawing/2015/06/chart">
            <c:ext xmlns:c16="http://schemas.microsoft.com/office/drawing/2014/chart" uri="{C3380CC4-5D6E-409C-BE32-E72D297353CC}">
              <c16:uniqueId val="{00000015-15F5-4055-866A-95614E29C845}"/>
            </c:ext>
          </c:extLst>
        </c:ser>
        <c:ser>
          <c:idx val="22"/>
          <c:order val="22"/>
          <c:tx>
            <c:strRef>
              <c:f>Ratios!$A$278</c:f>
              <c:strCache>
                <c:ptCount val="1"/>
                <c:pt idx="0">
                  <c:v>Mackenzie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Ratios!$B$278:$J$278</c:f>
              <c:numCache>
                <c:formatCode>0.0%</c:formatCode>
                <c:ptCount val="9"/>
                <c:pt idx="0">
                  <c:v>5.9986987638256384E-2</c:v>
                </c:pt>
                <c:pt idx="1">
                  <c:v>5.9906702676160162E-2</c:v>
                </c:pt>
                <c:pt idx="2">
                  <c:v>6.0111188325225884E-2</c:v>
                </c:pt>
                <c:pt idx="3">
                  <c:v>6.0198841909756329E-2</c:v>
                </c:pt>
                <c:pt idx="4">
                  <c:v>-6.5952184666117075E-3</c:v>
                </c:pt>
                <c:pt idx="5">
                  <c:v>6.7738589211618239E-2</c:v>
                </c:pt>
                <c:pt idx="6">
                  <c:v>1.3310016516078882E-2</c:v>
                </c:pt>
                <c:pt idx="7">
                  <c:v>7.2866730584850714E-3</c:v>
                </c:pt>
                <c:pt idx="8">
                  <c:v>5.8442794593565495E-2</c:v>
                </c:pt>
              </c:numCache>
            </c:numRef>
          </c:val>
          <c:smooth val="0"/>
          <c:extLst xmlns:c16r2="http://schemas.microsoft.com/office/drawing/2015/06/chart">
            <c:ext xmlns:c16="http://schemas.microsoft.com/office/drawing/2014/chart" uri="{C3380CC4-5D6E-409C-BE32-E72D297353CC}">
              <c16:uniqueId val="{00000016-15F5-4055-866A-95614E29C845}"/>
            </c:ext>
          </c:extLst>
        </c:ser>
        <c:ser>
          <c:idx val="23"/>
          <c:order val="23"/>
          <c:tx>
            <c:strRef>
              <c:f>Ratios!$A$279</c:f>
              <c:strCache>
                <c:ptCount val="1"/>
                <c:pt idx="0">
                  <c:v>Manawatu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Ratios!$B$279:$J$279</c:f>
              <c:numCache>
                <c:formatCode>0.0%</c:formatCode>
                <c:ptCount val="9"/>
                <c:pt idx="0">
                  <c:v>5.9013434234734596E-2</c:v>
                </c:pt>
                <c:pt idx="1">
                  <c:v>4.0580850296653148E-2</c:v>
                </c:pt>
                <c:pt idx="2">
                  <c:v>2.4161285241770303E-2</c:v>
                </c:pt>
                <c:pt idx="3">
                  <c:v>3.8047490157480324E-2</c:v>
                </c:pt>
                <c:pt idx="4">
                  <c:v>2.4563690776022939E-2</c:v>
                </c:pt>
                <c:pt idx="5">
                  <c:v>2.2760136502978812E-2</c:v>
                </c:pt>
                <c:pt idx="6">
                  <c:v>3.8314717941467569E-2</c:v>
                </c:pt>
                <c:pt idx="7">
                  <c:v>3.1944444444444553E-2</c:v>
                </c:pt>
                <c:pt idx="8">
                  <c:v>2.6126197450716537E-2</c:v>
                </c:pt>
              </c:numCache>
            </c:numRef>
          </c:val>
          <c:smooth val="0"/>
          <c:extLst xmlns:c16r2="http://schemas.microsoft.com/office/drawing/2015/06/chart">
            <c:ext xmlns:c16="http://schemas.microsoft.com/office/drawing/2014/chart" uri="{C3380CC4-5D6E-409C-BE32-E72D297353CC}">
              <c16:uniqueId val="{00000017-15F5-4055-866A-95614E29C845}"/>
            </c:ext>
          </c:extLst>
        </c:ser>
        <c:ser>
          <c:idx val="24"/>
          <c:order val="24"/>
          <c:tx>
            <c:strRef>
              <c:f>Ratios!$A$280</c:f>
              <c:strCache>
                <c:ptCount val="1"/>
                <c:pt idx="0">
                  <c:v>Manawatu-Wanganui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Ratios!$B$280:$J$280</c:f>
              <c:numCache>
                <c:formatCode>0.0%</c:formatCode>
                <c:ptCount val="9"/>
                <c:pt idx="0">
                  <c:v>3.4888208505930551E-2</c:v>
                </c:pt>
                <c:pt idx="1">
                  <c:v>4.4924545657956783E-2</c:v>
                </c:pt>
                <c:pt idx="2">
                  <c:v>2.9931001665477019E-2</c:v>
                </c:pt>
                <c:pt idx="3">
                  <c:v>2.7605802993901252E-2</c:v>
                </c:pt>
                <c:pt idx="4">
                  <c:v>1.7759593552593156E-2</c:v>
                </c:pt>
                <c:pt idx="5">
                  <c:v>2.5401453404899188E-2</c:v>
                </c:pt>
                <c:pt idx="6">
                  <c:v>2.291967343773571E-2</c:v>
                </c:pt>
                <c:pt idx="7">
                  <c:v>2.7312738223092659E-2</c:v>
                </c:pt>
                <c:pt idx="8">
                  <c:v>2.0211544768776735E-2</c:v>
                </c:pt>
              </c:numCache>
            </c:numRef>
          </c:val>
          <c:smooth val="0"/>
          <c:extLst xmlns:c16r2="http://schemas.microsoft.com/office/drawing/2015/06/chart">
            <c:ext xmlns:c16="http://schemas.microsoft.com/office/drawing/2014/chart" uri="{C3380CC4-5D6E-409C-BE32-E72D297353CC}">
              <c16:uniqueId val="{00000018-15F5-4055-866A-95614E29C845}"/>
            </c:ext>
          </c:extLst>
        </c:ser>
        <c:ser>
          <c:idx val="25"/>
          <c:order val="25"/>
          <c:tx>
            <c:strRef>
              <c:f>Ratios!$A$281</c:f>
              <c:strCache>
                <c:ptCount val="1"/>
                <c:pt idx="0">
                  <c:v>Marlborough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Ratios!$B$281:$J$281</c:f>
              <c:numCache>
                <c:formatCode>0.0%</c:formatCode>
                <c:ptCount val="9"/>
                <c:pt idx="0">
                  <c:v>4.967983367983364E-2</c:v>
                </c:pt>
                <c:pt idx="1">
                  <c:v>5.262073773608833E-2</c:v>
                </c:pt>
                <c:pt idx="2">
                  <c:v>5.1841705176644215E-2</c:v>
                </c:pt>
                <c:pt idx="3">
                  <c:v>4.4106072098115234E-2</c:v>
                </c:pt>
                <c:pt idx="4">
                  <c:v>8.5746789292616477E-2</c:v>
                </c:pt>
                <c:pt idx="5">
                  <c:v>3.9121378526794093E-2</c:v>
                </c:pt>
                <c:pt idx="6">
                  <c:v>2.4394392205457249E-2</c:v>
                </c:pt>
                <c:pt idx="7">
                  <c:v>3.1391570408671576E-2</c:v>
                </c:pt>
                <c:pt idx="8">
                  <c:v>3.1057043314284494E-2</c:v>
                </c:pt>
              </c:numCache>
            </c:numRef>
          </c:val>
          <c:smooth val="0"/>
          <c:extLst xmlns:c16r2="http://schemas.microsoft.com/office/drawing/2015/06/chart">
            <c:ext xmlns:c16="http://schemas.microsoft.com/office/drawing/2014/chart" uri="{C3380CC4-5D6E-409C-BE32-E72D297353CC}">
              <c16:uniqueId val="{00000019-15F5-4055-866A-95614E29C845}"/>
            </c:ext>
          </c:extLst>
        </c:ser>
        <c:ser>
          <c:idx val="26"/>
          <c:order val="26"/>
          <c:tx>
            <c:strRef>
              <c:f>Ratios!$A$282</c:f>
              <c:strCache>
                <c:ptCount val="1"/>
                <c:pt idx="0">
                  <c:v>Masterton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Ratios!$B$282:$J$282</c:f>
              <c:numCache>
                <c:formatCode>0.0%</c:formatCode>
                <c:ptCount val="9"/>
                <c:pt idx="0">
                  <c:v>3.5956657212991461E-2</c:v>
                </c:pt>
                <c:pt idx="1">
                  <c:v>3.7158155745352417E-2</c:v>
                </c:pt>
                <c:pt idx="2">
                  <c:v>3.5073166529939082E-2</c:v>
                </c:pt>
                <c:pt idx="3">
                  <c:v>3.7026287912285571E-2</c:v>
                </c:pt>
                <c:pt idx="4">
                  <c:v>4.2334193863139191E-2</c:v>
                </c:pt>
                <c:pt idx="5">
                  <c:v>3.4785353676406894E-2</c:v>
                </c:pt>
                <c:pt idx="6">
                  <c:v>3.3593831065599211E-2</c:v>
                </c:pt>
                <c:pt idx="7">
                  <c:v>2.9827297785792961E-2</c:v>
                </c:pt>
                <c:pt idx="8">
                  <c:v>2.620380196505101E-2</c:v>
                </c:pt>
              </c:numCache>
            </c:numRef>
          </c:val>
          <c:smooth val="0"/>
          <c:extLst xmlns:c16r2="http://schemas.microsoft.com/office/drawing/2015/06/chart">
            <c:ext xmlns:c16="http://schemas.microsoft.com/office/drawing/2014/chart" uri="{C3380CC4-5D6E-409C-BE32-E72D297353CC}">
              <c16:uniqueId val="{0000001A-15F5-4055-866A-95614E29C845}"/>
            </c:ext>
          </c:extLst>
        </c:ser>
        <c:ser>
          <c:idx val="27"/>
          <c:order val="27"/>
          <c:tx>
            <c:strRef>
              <c:f>Ratios!$A$283</c:f>
              <c:strCache>
                <c:ptCount val="1"/>
                <c:pt idx="0">
                  <c:v>Matamata-Piako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Ratios!$B$283:$J$283</c:f>
              <c:numCache>
                <c:formatCode>0.0%</c:formatCode>
                <c:ptCount val="9"/>
                <c:pt idx="0">
                  <c:v>4.4229085529692291E-2</c:v>
                </c:pt>
                <c:pt idx="1">
                  <c:v>4.6143171041979958E-2</c:v>
                </c:pt>
                <c:pt idx="2">
                  <c:v>3.6590758346230379E-2</c:v>
                </c:pt>
                <c:pt idx="3">
                  <c:v>3.3059613949024236E-2</c:v>
                </c:pt>
                <c:pt idx="4">
                  <c:v>3.3240425312274224E-2</c:v>
                </c:pt>
                <c:pt idx="5">
                  <c:v>2.4652812468778151E-2</c:v>
                </c:pt>
                <c:pt idx="6">
                  <c:v>3.5272895692660233E-2</c:v>
                </c:pt>
                <c:pt idx="7">
                  <c:v>3.6802448787379261E-2</c:v>
                </c:pt>
                <c:pt idx="8">
                  <c:v>2.4527059251016281E-2</c:v>
                </c:pt>
              </c:numCache>
            </c:numRef>
          </c:val>
          <c:smooth val="0"/>
          <c:extLst xmlns:c16r2="http://schemas.microsoft.com/office/drawing/2015/06/chart">
            <c:ext xmlns:c16="http://schemas.microsoft.com/office/drawing/2014/chart" uri="{C3380CC4-5D6E-409C-BE32-E72D297353CC}">
              <c16:uniqueId val="{0000001B-15F5-4055-866A-95614E29C845}"/>
            </c:ext>
          </c:extLst>
        </c:ser>
        <c:ser>
          <c:idx val="28"/>
          <c:order val="28"/>
          <c:tx>
            <c:strRef>
              <c:f>Ratios!$A$284</c:f>
              <c:strCache>
                <c:ptCount val="1"/>
                <c:pt idx="0">
                  <c:v>Napier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Ratios!$B$284:$J$284</c:f>
              <c:numCache>
                <c:formatCode>0.0%</c:formatCode>
                <c:ptCount val="9"/>
                <c:pt idx="0">
                  <c:v>4.3374141133815325E-2</c:v>
                </c:pt>
                <c:pt idx="1">
                  <c:v>5.0515884081597573E-2</c:v>
                </c:pt>
                <c:pt idx="2">
                  <c:v>4.9271041777269486E-2</c:v>
                </c:pt>
                <c:pt idx="3">
                  <c:v>4.4485959483916204E-2</c:v>
                </c:pt>
                <c:pt idx="4">
                  <c:v>4.0411380023475552E-2</c:v>
                </c:pt>
                <c:pt idx="5">
                  <c:v>4.1062282869524624E-2</c:v>
                </c:pt>
                <c:pt idx="6">
                  <c:v>3.3284596198503547E-2</c:v>
                </c:pt>
                <c:pt idx="7">
                  <c:v>2.1591476610620886E-2</c:v>
                </c:pt>
                <c:pt idx="8">
                  <c:v>4.45353365815504E-2</c:v>
                </c:pt>
              </c:numCache>
            </c:numRef>
          </c:val>
          <c:smooth val="0"/>
          <c:extLst xmlns:c16r2="http://schemas.microsoft.com/office/drawing/2015/06/chart">
            <c:ext xmlns:c16="http://schemas.microsoft.com/office/drawing/2014/chart" uri="{C3380CC4-5D6E-409C-BE32-E72D297353CC}">
              <c16:uniqueId val="{0000001C-15F5-4055-866A-95614E29C845}"/>
            </c:ext>
          </c:extLst>
        </c:ser>
        <c:ser>
          <c:idx val="29"/>
          <c:order val="29"/>
          <c:tx>
            <c:strRef>
              <c:f>Ratios!$A$285</c:f>
              <c:strCache>
                <c:ptCount val="1"/>
                <c:pt idx="0">
                  <c:v>Northland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Ratios!$B$285:$J$285</c:f>
              <c:numCache>
                <c:formatCode>0.0%</c:formatCode>
                <c:ptCount val="9"/>
                <c:pt idx="0">
                  <c:v>3.4239710155589131E-2</c:v>
                </c:pt>
                <c:pt idx="1">
                  <c:v>1.9571576490198694E-2</c:v>
                </c:pt>
                <c:pt idx="2">
                  <c:v>-3.6251791191237226E-2</c:v>
                </c:pt>
                <c:pt idx="3">
                  <c:v>2.4745363631356598E-2</c:v>
                </c:pt>
                <c:pt idx="4">
                  <c:v>2.6197478711324163E-2</c:v>
                </c:pt>
                <c:pt idx="5">
                  <c:v>2.6781171081396993E-2</c:v>
                </c:pt>
                <c:pt idx="6">
                  <c:v>3.0506952626279782E-2</c:v>
                </c:pt>
                <c:pt idx="7">
                  <c:v>2.96108129503736E-2</c:v>
                </c:pt>
                <c:pt idx="8">
                  <c:v>2.8540783852947449E-2</c:v>
                </c:pt>
              </c:numCache>
            </c:numRef>
          </c:val>
          <c:smooth val="0"/>
          <c:extLst xmlns:c16r2="http://schemas.microsoft.com/office/drawing/2015/06/chart">
            <c:ext xmlns:c16="http://schemas.microsoft.com/office/drawing/2014/chart" uri="{C3380CC4-5D6E-409C-BE32-E72D297353CC}">
              <c16:uniqueId val="{0000001D-15F5-4055-866A-95614E29C845}"/>
            </c:ext>
          </c:extLst>
        </c:ser>
        <c:ser>
          <c:idx val="30"/>
          <c:order val="30"/>
          <c:tx>
            <c:strRef>
              <c:f>Ratios!$A$286</c:f>
              <c:strCache>
                <c:ptCount val="1"/>
                <c:pt idx="0">
                  <c:v>Otago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Ratios!$B$286:$J$286</c:f>
              <c:numCache>
                <c:formatCode>0.0%</c:formatCode>
                <c:ptCount val="9"/>
                <c:pt idx="0">
                  <c:v>6.7700401495223606E-2</c:v>
                </c:pt>
                <c:pt idx="1">
                  <c:v>6.3926348547717948E-2</c:v>
                </c:pt>
                <c:pt idx="2">
                  <c:v>2.7483241925654989E-2</c:v>
                </c:pt>
                <c:pt idx="3">
                  <c:v>3.3983749481050873E-2</c:v>
                </c:pt>
                <c:pt idx="4">
                  <c:v>1.9960995755420541E-2</c:v>
                </c:pt>
                <c:pt idx="5">
                  <c:v>4.1558879766055545E-2</c:v>
                </c:pt>
                <c:pt idx="6">
                  <c:v>4.6703741698612466E-2</c:v>
                </c:pt>
                <c:pt idx="7">
                  <c:v>2.8783658310120641E-2</c:v>
                </c:pt>
                <c:pt idx="8">
                  <c:v>2.2362615322904178E-2</c:v>
                </c:pt>
              </c:numCache>
            </c:numRef>
          </c:val>
          <c:smooth val="0"/>
          <c:extLst xmlns:c16r2="http://schemas.microsoft.com/office/drawing/2015/06/chart">
            <c:ext xmlns:c16="http://schemas.microsoft.com/office/drawing/2014/chart" uri="{C3380CC4-5D6E-409C-BE32-E72D297353CC}">
              <c16:uniqueId val="{0000001E-15F5-4055-866A-95614E29C845}"/>
            </c:ext>
          </c:extLst>
        </c:ser>
        <c:ser>
          <c:idx val="31"/>
          <c:order val="31"/>
          <c:tx>
            <c:strRef>
              <c:f>Ratios!$A$287</c:f>
              <c:strCache>
                <c:ptCount val="1"/>
                <c:pt idx="0">
                  <c:v>Otorohanga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Ratios!$B$287:$J$287</c:f>
              <c:numCache>
                <c:formatCode>0.0%</c:formatCode>
                <c:ptCount val="9"/>
                <c:pt idx="0">
                  <c:v>2.7713212944752375E-2</c:v>
                </c:pt>
                <c:pt idx="1">
                  <c:v>2.1224773834377153E-2</c:v>
                </c:pt>
                <c:pt idx="2">
                  <c:v>2.7001703577512748E-2</c:v>
                </c:pt>
                <c:pt idx="3">
                  <c:v>3.2761051671228225E-2</c:v>
                </c:pt>
                <c:pt idx="4">
                  <c:v>3.3327979441053701E-2</c:v>
                </c:pt>
                <c:pt idx="5">
                  <c:v>2.634646770809046E-2</c:v>
                </c:pt>
                <c:pt idx="6">
                  <c:v>2.2414054217779755E-2</c:v>
                </c:pt>
                <c:pt idx="7">
                  <c:v>1.8960154051251621E-2</c:v>
                </c:pt>
                <c:pt idx="8">
                  <c:v>2.2386974850995722E-2</c:v>
                </c:pt>
              </c:numCache>
            </c:numRef>
          </c:val>
          <c:smooth val="0"/>
          <c:extLst xmlns:c16r2="http://schemas.microsoft.com/office/drawing/2015/06/chart">
            <c:ext xmlns:c16="http://schemas.microsoft.com/office/drawing/2014/chart" uri="{C3380CC4-5D6E-409C-BE32-E72D297353CC}">
              <c16:uniqueId val="{0000001F-15F5-4055-866A-95614E29C845}"/>
            </c:ext>
          </c:extLst>
        </c:ser>
        <c:ser>
          <c:idx val="32"/>
          <c:order val="32"/>
          <c:tx>
            <c:strRef>
              <c:f>Ratios!$A$288</c:f>
              <c:strCache>
                <c:ptCount val="1"/>
                <c:pt idx="0">
                  <c:v>Palmerston North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Ratios!$B$288:$J$288</c:f>
              <c:numCache>
                <c:formatCode>0.0%</c:formatCode>
                <c:ptCount val="9"/>
                <c:pt idx="0">
                  <c:v>3.8394691104439937E-2</c:v>
                </c:pt>
                <c:pt idx="1">
                  <c:v>4.4290463036658956E-2</c:v>
                </c:pt>
                <c:pt idx="2">
                  <c:v>4.2613763730105392E-2</c:v>
                </c:pt>
                <c:pt idx="3">
                  <c:v>4.519361011373646E-2</c:v>
                </c:pt>
                <c:pt idx="4">
                  <c:v>3.7767675313187921E-2</c:v>
                </c:pt>
                <c:pt idx="5">
                  <c:v>2.9941128664591865E-2</c:v>
                </c:pt>
                <c:pt idx="6">
                  <c:v>3.1014540170709815E-2</c:v>
                </c:pt>
                <c:pt idx="7">
                  <c:v>3.5868286946295624E-2</c:v>
                </c:pt>
                <c:pt idx="8">
                  <c:v>3.4608280398251923E-2</c:v>
                </c:pt>
              </c:numCache>
            </c:numRef>
          </c:val>
          <c:smooth val="0"/>
          <c:extLst xmlns:c16r2="http://schemas.microsoft.com/office/drawing/2015/06/chart">
            <c:ext xmlns:c16="http://schemas.microsoft.com/office/drawing/2014/chart" uri="{C3380CC4-5D6E-409C-BE32-E72D297353CC}">
              <c16:uniqueId val="{00000020-15F5-4055-866A-95614E29C845}"/>
            </c:ext>
          </c:extLst>
        </c:ser>
        <c:ser>
          <c:idx val="33"/>
          <c:order val="33"/>
          <c:tx>
            <c:strRef>
              <c:f>Ratios!$A$289</c:f>
              <c:strCache>
                <c:ptCount val="1"/>
                <c:pt idx="0">
                  <c:v>Porirua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Ratios!$B$289:$J$289</c:f>
              <c:numCache>
                <c:formatCode>0.0%</c:formatCode>
                <c:ptCount val="9"/>
                <c:pt idx="0">
                  <c:v>6.0296022201665078E-2</c:v>
                </c:pt>
                <c:pt idx="1">
                  <c:v>6.0304664188870927E-2</c:v>
                </c:pt>
                <c:pt idx="2">
                  <c:v>6.650209824734632E-2</c:v>
                </c:pt>
                <c:pt idx="3">
                  <c:v>6.5996975588680007E-2</c:v>
                </c:pt>
                <c:pt idx="4">
                  <c:v>7.7196994919155326E-2</c:v>
                </c:pt>
                <c:pt idx="5">
                  <c:v>6.7001720060201997E-2</c:v>
                </c:pt>
                <c:pt idx="6">
                  <c:v>5.2001209037555673E-2</c:v>
                </c:pt>
                <c:pt idx="7">
                  <c:v>3.4202870790484896E-2</c:v>
                </c:pt>
                <c:pt idx="8">
                  <c:v>2.9992591563643201E-2</c:v>
                </c:pt>
              </c:numCache>
            </c:numRef>
          </c:val>
          <c:smooth val="0"/>
          <c:extLst xmlns:c16r2="http://schemas.microsoft.com/office/drawing/2015/06/chart">
            <c:ext xmlns:c16="http://schemas.microsoft.com/office/drawing/2014/chart" uri="{C3380CC4-5D6E-409C-BE32-E72D297353CC}">
              <c16:uniqueId val="{00000021-15F5-4055-866A-95614E29C845}"/>
            </c:ext>
          </c:extLst>
        </c:ser>
        <c:ser>
          <c:idx val="34"/>
          <c:order val="34"/>
          <c:tx>
            <c:strRef>
              <c:f>Ratios!$A$290</c:f>
              <c:strCache>
                <c:ptCount val="1"/>
                <c:pt idx="0">
                  <c:v>Rangitikei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Ratios!$B$290:$J$290</c:f>
              <c:numCache>
                <c:formatCode>0.0%</c:formatCode>
                <c:ptCount val="9"/>
                <c:pt idx="0">
                  <c:v>1.9619589636064028E-2</c:v>
                </c:pt>
                <c:pt idx="1">
                  <c:v>3.4077555816686145E-2</c:v>
                </c:pt>
                <c:pt idx="2">
                  <c:v>5.8712121212121104E-3</c:v>
                </c:pt>
                <c:pt idx="3">
                  <c:v>2.1511956317077807E-2</c:v>
                </c:pt>
                <c:pt idx="4">
                  <c:v>3.5804801622045135E-2</c:v>
                </c:pt>
                <c:pt idx="5">
                  <c:v>2.3667586084171299E-2</c:v>
                </c:pt>
                <c:pt idx="6">
                  <c:v>4.3068231203824414E-2</c:v>
                </c:pt>
                <c:pt idx="7">
                  <c:v>4.0831632015332797E-2</c:v>
                </c:pt>
                <c:pt idx="8">
                  <c:v>5.5642288138986196E-3</c:v>
                </c:pt>
              </c:numCache>
            </c:numRef>
          </c:val>
          <c:smooth val="0"/>
          <c:extLst xmlns:c16r2="http://schemas.microsoft.com/office/drawing/2015/06/chart">
            <c:ext xmlns:c16="http://schemas.microsoft.com/office/drawing/2014/chart" uri="{C3380CC4-5D6E-409C-BE32-E72D297353CC}">
              <c16:uniqueId val="{00000022-15F5-4055-866A-95614E29C845}"/>
            </c:ext>
          </c:extLst>
        </c:ser>
        <c:ser>
          <c:idx val="35"/>
          <c:order val="35"/>
          <c:tx>
            <c:strRef>
              <c:f>Ratios!$A$291</c:f>
              <c:strCache>
                <c:ptCount val="1"/>
                <c:pt idx="0">
                  <c:v>Rotorua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Ratios!$B$291:$J$291</c:f>
              <c:numCache>
                <c:formatCode>0.0%</c:formatCode>
                <c:ptCount val="9"/>
                <c:pt idx="0">
                  <c:v>2.8091006893254278E-2</c:v>
                </c:pt>
                <c:pt idx="1">
                  <c:v>2.9080433041366316E-2</c:v>
                </c:pt>
                <c:pt idx="2">
                  <c:v>3.0078963556247507E-2</c:v>
                </c:pt>
                <c:pt idx="3">
                  <c:v>3.2076828391405465E-2</c:v>
                </c:pt>
                <c:pt idx="4">
                  <c:v>4.4128239948042713E-2</c:v>
                </c:pt>
                <c:pt idx="5">
                  <c:v>3.3724638664585749E-2</c:v>
                </c:pt>
                <c:pt idx="6">
                  <c:v>3.569865651393811E-2</c:v>
                </c:pt>
                <c:pt idx="7">
                  <c:v>3.6707617226699796E-2</c:v>
                </c:pt>
                <c:pt idx="8">
                  <c:v>3.8699027939108621E-2</c:v>
                </c:pt>
              </c:numCache>
            </c:numRef>
          </c:val>
          <c:smooth val="0"/>
          <c:extLst xmlns:c16r2="http://schemas.microsoft.com/office/drawing/2015/06/chart">
            <c:ext xmlns:c16="http://schemas.microsoft.com/office/drawing/2014/chart" uri="{C3380CC4-5D6E-409C-BE32-E72D297353CC}">
              <c16:uniqueId val="{00000023-15F5-4055-866A-95614E29C845}"/>
            </c:ext>
          </c:extLst>
        </c:ser>
        <c:ser>
          <c:idx val="36"/>
          <c:order val="36"/>
          <c:tx>
            <c:strRef>
              <c:f>Ratios!$A$292</c:f>
              <c:strCache>
                <c:ptCount val="1"/>
                <c:pt idx="0">
                  <c:v>South Taranaki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Ratios!$B$292:$J$292</c:f>
              <c:numCache>
                <c:formatCode>0.0%</c:formatCode>
                <c:ptCount val="9"/>
                <c:pt idx="0">
                  <c:v>2.833859970064867E-2</c:v>
                </c:pt>
                <c:pt idx="1">
                  <c:v>2.8236892324611018E-2</c:v>
                </c:pt>
                <c:pt idx="2">
                  <c:v>2.827933312362374E-2</c:v>
                </c:pt>
                <c:pt idx="3">
                  <c:v>2.4993116950656091E-2</c:v>
                </c:pt>
                <c:pt idx="4">
                  <c:v>2.4592610278756144E-2</c:v>
                </c:pt>
                <c:pt idx="5">
                  <c:v>2.2371103990678654E-2</c:v>
                </c:pt>
                <c:pt idx="6">
                  <c:v>2.0257564533591621E-2</c:v>
                </c:pt>
                <c:pt idx="7">
                  <c:v>2.3457789941076168E-2</c:v>
                </c:pt>
                <c:pt idx="8">
                  <c:v>2.1064694807498174E-2</c:v>
                </c:pt>
              </c:numCache>
            </c:numRef>
          </c:val>
          <c:smooth val="0"/>
          <c:extLst xmlns:c16r2="http://schemas.microsoft.com/office/drawing/2015/06/chart">
            <c:ext xmlns:c16="http://schemas.microsoft.com/office/drawing/2014/chart" uri="{C3380CC4-5D6E-409C-BE32-E72D297353CC}">
              <c16:uniqueId val="{00000024-15F5-4055-866A-95614E29C845}"/>
            </c:ext>
          </c:extLst>
        </c:ser>
        <c:ser>
          <c:idx val="37"/>
          <c:order val="37"/>
          <c:tx>
            <c:strRef>
              <c:f>Ratios!$A$293</c:f>
              <c:strCache>
                <c:ptCount val="1"/>
                <c:pt idx="0">
                  <c:v>South Waikato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Ratios!$B$293:$J$293</c:f>
              <c:numCache>
                <c:formatCode>0.0%</c:formatCode>
                <c:ptCount val="9"/>
                <c:pt idx="0">
                  <c:v>3.3380773709406064E-2</c:v>
                </c:pt>
                <c:pt idx="1">
                  <c:v>2.5207629063895398E-2</c:v>
                </c:pt>
                <c:pt idx="2">
                  <c:v>2.9309993893751329E-2</c:v>
                </c:pt>
                <c:pt idx="3">
                  <c:v>2.7882143563377593E-2</c:v>
                </c:pt>
                <c:pt idx="4">
                  <c:v>1.7391304347825987E-2</c:v>
                </c:pt>
                <c:pt idx="5">
                  <c:v>2.7456319491717673E-2</c:v>
                </c:pt>
                <c:pt idx="6">
                  <c:v>1.3582155477031899E-2</c:v>
                </c:pt>
                <c:pt idx="7">
                  <c:v>2.5565602643715657E-2</c:v>
                </c:pt>
                <c:pt idx="8">
                  <c:v>3.1443645763252093E-2</c:v>
                </c:pt>
              </c:numCache>
            </c:numRef>
          </c:val>
          <c:smooth val="0"/>
          <c:extLst xmlns:c16r2="http://schemas.microsoft.com/office/drawing/2015/06/chart">
            <c:ext xmlns:c16="http://schemas.microsoft.com/office/drawing/2014/chart" uri="{C3380CC4-5D6E-409C-BE32-E72D297353CC}">
              <c16:uniqueId val="{00000025-15F5-4055-866A-95614E29C845}"/>
            </c:ext>
          </c:extLst>
        </c:ser>
        <c:ser>
          <c:idx val="38"/>
          <c:order val="38"/>
          <c:tx>
            <c:strRef>
              <c:f>Ratios!$A$294</c:f>
              <c:strCache>
                <c:ptCount val="1"/>
                <c:pt idx="0">
                  <c:v>South Wairarapa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Ratios!$B$294:$J$294</c:f>
              <c:numCache>
                <c:formatCode>0.0%</c:formatCode>
                <c:ptCount val="9"/>
                <c:pt idx="0">
                  <c:v>3.1085991118288359E-2</c:v>
                </c:pt>
                <c:pt idx="1">
                  <c:v>3.750978856695375E-2</c:v>
                </c:pt>
                <c:pt idx="2">
                  <c:v>2.9662616046494117E-2</c:v>
                </c:pt>
                <c:pt idx="3">
                  <c:v>2.1990910423691501E-2</c:v>
                </c:pt>
                <c:pt idx="4">
                  <c:v>1.4632047052072883E-2</c:v>
                </c:pt>
                <c:pt idx="5">
                  <c:v>3.9092322918139466E-2</c:v>
                </c:pt>
                <c:pt idx="6">
                  <c:v>2.0749710864684578E-2</c:v>
                </c:pt>
                <c:pt idx="7">
                  <c:v>1.5462543321780764E-2</c:v>
                </c:pt>
                <c:pt idx="8">
                  <c:v>2.2381202415332035E-2</c:v>
                </c:pt>
              </c:numCache>
            </c:numRef>
          </c:val>
          <c:smooth val="0"/>
          <c:extLst xmlns:c16r2="http://schemas.microsoft.com/office/drawing/2015/06/chart">
            <c:ext xmlns:c16="http://schemas.microsoft.com/office/drawing/2014/chart" uri="{C3380CC4-5D6E-409C-BE32-E72D297353CC}">
              <c16:uniqueId val="{00000026-15F5-4055-866A-95614E29C845}"/>
            </c:ext>
          </c:extLst>
        </c:ser>
        <c:ser>
          <c:idx val="39"/>
          <c:order val="39"/>
          <c:tx>
            <c:strRef>
              <c:f>Ratios!$A$295</c:f>
              <c:strCache>
                <c:ptCount val="1"/>
                <c:pt idx="0">
                  <c:v>Southland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Ratios!$B$295:$J$295</c:f>
              <c:numCache>
                <c:formatCode>0.0%</c:formatCode>
                <c:ptCount val="9"/>
                <c:pt idx="0">
                  <c:v>3.1791976084841966E-2</c:v>
                </c:pt>
                <c:pt idx="1">
                  <c:v>3.3571707788176308E-2</c:v>
                </c:pt>
                <c:pt idx="2">
                  <c:v>3.501746423724672E-2</c:v>
                </c:pt>
                <c:pt idx="3">
                  <c:v>3.3660769941749269E-2</c:v>
                </c:pt>
                <c:pt idx="4">
                  <c:v>3.5829399654806693E-2</c:v>
                </c:pt>
                <c:pt idx="5">
                  <c:v>3.4590058620412645E-2</c:v>
                </c:pt>
                <c:pt idx="6">
                  <c:v>3.386048316677992E-2</c:v>
                </c:pt>
                <c:pt idx="7">
                  <c:v>3.492867867867866E-2</c:v>
                </c:pt>
                <c:pt idx="8">
                  <c:v>3.5926080412034711E-2</c:v>
                </c:pt>
              </c:numCache>
            </c:numRef>
          </c:val>
          <c:smooth val="0"/>
          <c:extLst xmlns:c16r2="http://schemas.microsoft.com/office/drawing/2015/06/chart">
            <c:ext xmlns:c16="http://schemas.microsoft.com/office/drawing/2014/chart" uri="{C3380CC4-5D6E-409C-BE32-E72D297353CC}">
              <c16:uniqueId val="{00000027-15F5-4055-866A-95614E29C845}"/>
            </c:ext>
          </c:extLst>
        </c:ser>
        <c:ser>
          <c:idx val="40"/>
          <c:order val="40"/>
          <c:tx>
            <c:strRef>
              <c:f>Ratios!$A$296</c:f>
              <c:strCache>
                <c:ptCount val="1"/>
                <c:pt idx="0">
                  <c:v>Southland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Ratios!$B$296:$J$296</c:f>
              <c:numCache>
                <c:formatCode>0.0%</c:formatCode>
                <c:ptCount val="9"/>
                <c:pt idx="0">
                  <c:v>5.3902455708324748E-2</c:v>
                </c:pt>
                <c:pt idx="1">
                  <c:v>6.6463295904459097E-2</c:v>
                </c:pt>
                <c:pt idx="2">
                  <c:v>4.4245633254214489E-2</c:v>
                </c:pt>
                <c:pt idx="3">
                  <c:v>3.1064226599836875E-2</c:v>
                </c:pt>
                <c:pt idx="4">
                  <c:v>3.1202306257418932E-2</c:v>
                </c:pt>
                <c:pt idx="5">
                  <c:v>3.1354492133969236E-2</c:v>
                </c:pt>
                <c:pt idx="6">
                  <c:v>3.220834440605902E-2</c:v>
                </c:pt>
                <c:pt idx="7">
                  <c:v>3.2233149683332574E-2</c:v>
                </c:pt>
                <c:pt idx="8">
                  <c:v>3.2922631815234249E-2</c:v>
                </c:pt>
              </c:numCache>
            </c:numRef>
          </c:val>
          <c:smooth val="0"/>
          <c:extLst xmlns:c16r2="http://schemas.microsoft.com/office/drawing/2015/06/chart">
            <c:ext xmlns:c16="http://schemas.microsoft.com/office/drawing/2014/chart" uri="{C3380CC4-5D6E-409C-BE32-E72D297353CC}">
              <c16:uniqueId val="{00000028-15F5-4055-866A-95614E29C845}"/>
            </c:ext>
          </c:extLst>
        </c:ser>
        <c:ser>
          <c:idx val="41"/>
          <c:order val="41"/>
          <c:tx>
            <c:strRef>
              <c:f>Ratios!$A$297</c:f>
              <c:strCache>
                <c:ptCount val="1"/>
                <c:pt idx="0">
                  <c:v>Stratford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Ratios!$B$297:$J$297</c:f>
              <c:numCache>
                <c:formatCode>0.0%</c:formatCode>
                <c:ptCount val="9"/>
                <c:pt idx="0">
                  <c:v>3.2690854119425516E-2</c:v>
                </c:pt>
                <c:pt idx="1">
                  <c:v>4.0530649588289114E-2</c:v>
                </c:pt>
                <c:pt idx="2">
                  <c:v>4.440341158885075E-2</c:v>
                </c:pt>
                <c:pt idx="3">
                  <c:v>4.4704495706347824E-2</c:v>
                </c:pt>
                <c:pt idx="4">
                  <c:v>4.1502135546780616E-2</c:v>
                </c:pt>
                <c:pt idx="5">
                  <c:v>3.4741566078613451E-2</c:v>
                </c:pt>
                <c:pt idx="6">
                  <c:v>3.0135347341658569E-2</c:v>
                </c:pt>
                <c:pt idx="7">
                  <c:v>4.1303716608594554E-2</c:v>
                </c:pt>
                <c:pt idx="8">
                  <c:v>3.896828163123045E-2</c:v>
                </c:pt>
              </c:numCache>
            </c:numRef>
          </c:val>
          <c:smooth val="0"/>
          <c:extLst xmlns:c16r2="http://schemas.microsoft.com/office/drawing/2015/06/chart">
            <c:ext xmlns:c16="http://schemas.microsoft.com/office/drawing/2014/chart" uri="{C3380CC4-5D6E-409C-BE32-E72D297353CC}">
              <c16:uniqueId val="{00000029-15F5-4055-866A-95614E29C845}"/>
            </c:ext>
          </c:extLst>
        </c:ser>
        <c:ser>
          <c:idx val="42"/>
          <c:order val="42"/>
          <c:tx>
            <c:strRef>
              <c:f>Ratios!$A$298</c:f>
              <c:strCache>
                <c:ptCount val="1"/>
                <c:pt idx="0">
                  <c:v>Tararua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Ratios!$B$298:$J$298</c:f>
              <c:numCache>
                <c:formatCode>0.0%</c:formatCode>
                <c:ptCount val="9"/>
                <c:pt idx="0">
                  <c:v>2.9064708870558009E-2</c:v>
                </c:pt>
                <c:pt idx="1">
                  <c:v>3.5178142921008071E-2</c:v>
                </c:pt>
                <c:pt idx="2">
                  <c:v>2.5872696783491245E-2</c:v>
                </c:pt>
                <c:pt idx="3">
                  <c:v>2.4506756387931761E-2</c:v>
                </c:pt>
                <c:pt idx="4">
                  <c:v>3.1276426813504399E-2</c:v>
                </c:pt>
                <c:pt idx="5">
                  <c:v>2.4299310641836547E-2</c:v>
                </c:pt>
                <c:pt idx="6">
                  <c:v>2.3662809384274341E-2</c:v>
                </c:pt>
                <c:pt idx="7">
                  <c:v>3.0022102472688328E-2</c:v>
                </c:pt>
                <c:pt idx="8">
                  <c:v>1.6911199838200774E-2</c:v>
                </c:pt>
              </c:numCache>
            </c:numRef>
          </c:val>
          <c:smooth val="0"/>
          <c:extLst xmlns:c16r2="http://schemas.microsoft.com/office/drawing/2015/06/chart">
            <c:ext xmlns:c16="http://schemas.microsoft.com/office/drawing/2014/chart" uri="{C3380CC4-5D6E-409C-BE32-E72D297353CC}">
              <c16:uniqueId val="{0000002A-15F5-4055-866A-95614E29C845}"/>
            </c:ext>
          </c:extLst>
        </c:ser>
        <c:ser>
          <c:idx val="43"/>
          <c:order val="43"/>
          <c:tx>
            <c:strRef>
              <c:f>Ratios!$A$299</c:f>
              <c:strCache>
                <c:ptCount val="1"/>
                <c:pt idx="0">
                  <c:v>Tasman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Ratios!$B$299:$J$299</c:f>
              <c:numCache>
                <c:formatCode>0.0%</c:formatCode>
                <c:ptCount val="9"/>
                <c:pt idx="0">
                  <c:v>4.1293327045508033E-2</c:v>
                </c:pt>
                <c:pt idx="1">
                  <c:v>3.4447620934642931E-2</c:v>
                </c:pt>
                <c:pt idx="2">
                  <c:v>4.1331472664587032E-2</c:v>
                </c:pt>
                <c:pt idx="3">
                  <c:v>4.0834023097237049E-2</c:v>
                </c:pt>
                <c:pt idx="4">
                  <c:v>3.9585463450347858E-2</c:v>
                </c:pt>
                <c:pt idx="5">
                  <c:v>4.2182206734096672E-2</c:v>
                </c:pt>
                <c:pt idx="6">
                  <c:v>4.0731204343419147E-2</c:v>
                </c:pt>
                <c:pt idx="7">
                  <c:v>3.990954582601014E-2</c:v>
                </c:pt>
                <c:pt idx="8">
                  <c:v>3.1100632993153354E-2</c:v>
                </c:pt>
              </c:numCache>
            </c:numRef>
          </c:val>
          <c:smooth val="0"/>
          <c:extLst xmlns:c16r2="http://schemas.microsoft.com/office/drawing/2015/06/chart">
            <c:ext xmlns:c16="http://schemas.microsoft.com/office/drawing/2014/chart" uri="{C3380CC4-5D6E-409C-BE32-E72D297353CC}">
              <c16:uniqueId val="{0000002B-15F5-4055-866A-95614E29C845}"/>
            </c:ext>
          </c:extLst>
        </c:ser>
        <c:ser>
          <c:idx val="44"/>
          <c:order val="44"/>
          <c:tx>
            <c:strRef>
              <c:f>Ratios!$A$300</c:f>
              <c:strCache>
                <c:ptCount val="1"/>
                <c:pt idx="0">
                  <c:v>Taupo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Ratios!$B$300:$J$300</c:f>
              <c:numCache>
                <c:formatCode>0.0%</c:formatCode>
                <c:ptCount val="9"/>
                <c:pt idx="0">
                  <c:v>2.8294663959255617E-2</c:v>
                </c:pt>
                <c:pt idx="1">
                  <c:v>2.9927810689197587E-2</c:v>
                </c:pt>
                <c:pt idx="2">
                  <c:v>2.890100737062129E-2</c:v>
                </c:pt>
                <c:pt idx="3">
                  <c:v>2.9738811669467013E-2</c:v>
                </c:pt>
                <c:pt idx="4">
                  <c:v>3.1579571918062266E-2</c:v>
                </c:pt>
                <c:pt idx="5">
                  <c:v>2.878670232651781E-2</c:v>
                </c:pt>
                <c:pt idx="6">
                  <c:v>2.7450103427069994E-2</c:v>
                </c:pt>
                <c:pt idx="7">
                  <c:v>2.6349439547284748E-2</c:v>
                </c:pt>
                <c:pt idx="8">
                  <c:v>2.5832018979708105E-2</c:v>
                </c:pt>
              </c:numCache>
            </c:numRef>
          </c:val>
          <c:smooth val="0"/>
          <c:extLst xmlns:c16r2="http://schemas.microsoft.com/office/drawing/2015/06/chart">
            <c:ext xmlns:c16="http://schemas.microsoft.com/office/drawing/2014/chart" uri="{C3380CC4-5D6E-409C-BE32-E72D297353CC}">
              <c16:uniqueId val="{0000002C-15F5-4055-866A-95614E29C845}"/>
            </c:ext>
          </c:extLst>
        </c:ser>
        <c:ser>
          <c:idx val="45"/>
          <c:order val="45"/>
          <c:tx>
            <c:strRef>
              <c:f>Ratios!$A$301</c:f>
              <c:strCache>
                <c:ptCount val="1"/>
                <c:pt idx="0">
                  <c:v>Tauranga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Ratios!$B$301:$J$301</c:f>
              <c:numCache>
                <c:formatCode>0.0%</c:formatCode>
                <c:ptCount val="9"/>
                <c:pt idx="0">
                  <c:v>4.1784472189556388E-2</c:v>
                </c:pt>
                <c:pt idx="1">
                  <c:v>5.084420107116272E-2</c:v>
                </c:pt>
                <c:pt idx="2">
                  <c:v>4.639575810211638E-2</c:v>
                </c:pt>
                <c:pt idx="3">
                  <c:v>5.8026093540683776E-2</c:v>
                </c:pt>
                <c:pt idx="4">
                  <c:v>5.3756485597500792E-2</c:v>
                </c:pt>
                <c:pt idx="5">
                  <c:v>3.8508757036321173E-2</c:v>
                </c:pt>
                <c:pt idx="6">
                  <c:v>4.6009897441379399E-2</c:v>
                </c:pt>
                <c:pt idx="7">
                  <c:v>3.4764469666001441E-2</c:v>
                </c:pt>
                <c:pt idx="8">
                  <c:v>3.4438886661902757E-2</c:v>
                </c:pt>
              </c:numCache>
            </c:numRef>
          </c:val>
          <c:smooth val="0"/>
          <c:extLst xmlns:c16r2="http://schemas.microsoft.com/office/drawing/2015/06/chart">
            <c:ext xmlns:c16="http://schemas.microsoft.com/office/drawing/2014/chart" uri="{C3380CC4-5D6E-409C-BE32-E72D297353CC}">
              <c16:uniqueId val="{0000002D-15F5-4055-866A-95614E29C845}"/>
            </c:ext>
          </c:extLst>
        </c:ser>
        <c:ser>
          <c:idx val="46"/>
          <c:order val="46"/>
          <c:tx>
            <c:strRef>
              <c:f>Ratios!$A$302</c:f>
              <c:strCache>
                <c:ptCount val="1"/>
                <c:pt idx="0">
                  <c:v>Thames-Coromandel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Ratios!$B$302:$J$302</c:f>
              <c:numCache>
                <c:formatCode>0.0%</c:formatCode>
                <c:ptCount val="9"/>
                <c:pt idx="0">
                  <c:v>3.1320691949434432E-2</c:v>
                </c:pt>
                <c:pt idx="1">
                  <c:v>4.140122252149081E-2</c:v>
                </c:pt>
                <c:pt idx="2">
                  <c:v>1.5998141551804235E-2</c:v>
                </c:pt>
                <c:pt idx="3">
                  <c:v>2.5547612151883392E-2</c:v>
                </c:pt>
                <c:pt idx="4">
                  <c:v>2.4703102008055922E-2</c:v>
                </c:pt>
                <c:pt idx="5">
                  <c:v>1.7029053828636176E-2</c:v>
                </c:pt>
                <c:pt idx="6">
                  <c:v>1.6601297867788523E-2</c:v>
                </c:pt>
                <c:pt idx="7">
                  <c:v>2.5014380111954448E-2</c:v>
                </c:pt>
                <c:pt idx="8">
                  <c:v>2.7524568174974728E-2</c:v>
                </c:pt>
              </c:numCache>
            </c:numRef>
          </c:val>
          <c:smooth val="0"/>
          <c:extLst xmlns:c16r2="http://schemas.microsoft.com/office/drawing/2015/06/chart">
            <c:ext xmlns:c16="http://schemas.microsoft.com/office/drawing/2014/chart" uri="{C3380CC4-5D6E-409C-BE32-E72D297353CC}">
              <c16:uniqueId val="{0000002E-15F5-4055-866A-95614E29C845}"/>
            </c:ext>
          </c:extLst>
        </c:ser>
        <c:ser>
          <c:idx val="47"/>
          <c:order val="47"/>
          <c:tx>
            <c:strRef>
              <c:f>Ratios!$A$303</c:f>
              <c:strCache>
                <c:ptCount val="1"/>
                <c:pt idx="0">
                  <c:v>Upper Hutt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Ratios!$B$303:$J$303</c:f>
              <c:numCache>
                <c:formatCode>0.0%</c:formatCode>
                <c:ptCount val="9"/>
                <c:pt idx="0">
                  <c:v>5.4431528709044663E-2</c:v>
                </c:pt>
                <c:pt idx="1">
                  <c:v>5.2815728090636505E-2</c:v>
                </c:pt>
                <c:pt idx="2">
                  <c:v>4.6341720736403413E-2</c:v>
                </c:pt>
                <c:pt idx="3">
                  <c:v>5.0414660583297577E-2</c:v>
                </c:pt>
                <c:pt idx="4">
                  <c:v>3.0860790477790223E-2</c:v>
                </c:pt>
                <c:pt idx="5">
                  <c:v>3.6105873315175563E-2</c:v>
                </c:pt>
                <c:pt idx="6">
                  <c:v>3.5948593511278881E-2</c:v>
                </c:pt>
                <c:pt idx="7">
                  <c:v>3.8691767155374368E-2</c:v>
                </c:pt>
                <c:pt idx="8">
                  <c:v>3.2573289902280145E-2</c:v>
                </c:pt>
              </c:numCache>
            </c:numRef>
          </c:val>
          <c:smooth val="0"/>
          <c:extLst xmlns:c16r2="http://schemas.microsoft.com/office/drawing/2015/06/chart">
            <c:ext xmlns:c16="http://schemas.microsoft.com/office/drawing/2014/chart" uri="{C3380CC4-5D6E-409C-BE32-E72D297353CC}">
              <c16:uniqueId val="{0000002F-15F5-4055-866A-95614E29C845}"/>
            </c:ext>
          </c:extLst>
        </c:ser>
        <c:ser>
          <c:idx val="48"/>
          <c:order val="48"/>
          <c:tx>
            <c:strRef>
              <c:f>Ratios!$A$304</c:f>
              <c:strCache>
                <c:ptCount val="1"/>
                <c:pt idx="0">
                  <c:v>Waikato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Ratios!$B$304:$J$304</c:f>
              <c:numCache>
                <c:formatCode>0.0%</c:formatCode>
                <c:ptCount val="9"/>
                <c:pt idx="0">
                  <c:v>3.3878488216484204E-2</c:v>
                </c:pt>
                <c:pt idx="1">
                  <c:v>4.8914080170041174E-2</c:v>
                </c:pt>
                <c:pt idx="2">
                  <c:v>4.0398004780214158E-2</c:v>
                </c:pt>
                <c:pt idx="3">
                  <c:v>4.0564836317327213E-2</c:v>
                </c:pt>
                <c:pt idx="4">
                  <c:v>3.6763735406692755E-2</c:v>
                </c:pt>
                <c:pt idx="5">
                  <c:v>3.4858286944344785E-2</c:v>
                </c:pt>
                <c:pt idx="6">
                  <c:v>3.4019615517954849E-2</c:v>
                </c:pt>
                <c:pt idx="7">
                  <c:v>3.4803863250451483E-2</c:v>
                </c:pt>
                <c:pt idx="8">
                  <c:v>3.7270456421994336E-2</c:v>
                </c:pt>
              </c:numCache>
            </c:numRef>
          </c:val>
          <c:smooth val="0"/>
          <c:extLst xmlns:c16r2="http://schemas.microsoft.com/office/drawing/2015/06/chart">
            <c:ext xmlns:c16="http://schemas.microsoft.com/office/drawing/2014/chart" uri="{C3380CC4-5D6E-409C-BE32-E72D297353CC}">
              <c16:uniqueId val="{00000030-15F5-4055-866A-95614E29C845}"/>
            </c:ext>
          </c:extLst>
        </c:ser>
        <c:ser>
          <c:idx val="49"/>
          <c:order val="49"/>
          <c:tx>
            <c:strRef>
              <c:f>Ratios!$A$305</c:f>
              <c:strCache>
                <c:ptCount val="1"/>
                <c:pt idx="0">
                  <c:v>Waikato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Ratios!$B$305:$J$305</c:f>
              <c:numCache>
                <c:formatCode>0.0%</c:formatCode>
                <c:ptCount val="9"/>
                <c:pt idx="0">
                  <c:v>5.6638139674143329E-3</c:v>
                </c:pt>
                <c:pt idx="1">
                  <c:v>1.8768917778990701E-2</c:v>
                </c:pt>
                <c:pt idx="2">
                  <c:v>3.5945205479452014E-2</c:v>
                </c:pt>
                <c:pt idx="3">
                  <c:v>2.4883340973471002E-2</c:v>
                </c:pt>
                <c:pt idx="4">
                  <c:v>1.6159368763905668E-2</c:v>
                </c:pt>
                <c:pt idx="5">
                  <c:v>2.4852431633240357E-2</c:v>
                </c:pt>
                <c:pt idx="6">
                  <c:v>3.2531248279279668E-2</c:v>
                </c:pt>
                <c:pt idx="7">
                  <c:v>3.132499280069112E-2</c:v>
                </c:pt>
                <c:pt idx="8">
                  <c:v>2.5678414825845985E-2</c:v>
                </c:pt>
              </c:numCache>
            </c:numRef>
          </c:val>
          <c:smooth val="0"/>
          <c:extLst xmlns:c16r2="http://schemas.microsoft.com/office/drawing/2015/06/chart">
            <c:ext xmlns:c16="http://schemas.microsoft.com/office/drawing/2014/chart" uri="{C3380CC4-5D6E-409C-BE32-E72D297353CC}">
              <c16:uniqueId val="{00000031-15F5-4055-866A-95614E29C845}"/>
            </c:ext>
          </c:extLst>
        </c:ser>
        <c:ser>
          <c:idx val="50"/>
          <c:order val="50"/>
          <c:tx>
            <c:strRef>
              <c:f>Ratios!$A$306</c:f>
              <c:strCache>
                <c:ptCount val="1"/>
                <c:pt idx="0">
                  <c:v>Waimakariri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Ratios!$B$306:$J$306</c:f>
              <c:numCache>
                <c:formatCode>0.0%</c:formatCode>
                <c:ptCount val="9"/>
                <c:pt idx="0">
                  <c:v>8.2026710164134986E-2</c:v>
                </c:pt>
                <c:pt idx="1">
                  <c:v>5.8283711464536037E-2</c:v>
                </c:pt>
                <c:pt idx="2">
                  <c:v>5.3952030768682935E-2</c:v>
                </c:pt>
                <c:pt idx="3">
                  <c:v>5.1055059046138718E-2</c:v>
                </c:pt>
                <c:pt idx="4">
                  <c:v>5.3718676160930956E-2</c:v>
                </c:pt>
                <c:pt idx="5">
                  <c:v>6.023949355503011E-2</c:v>
                </c:pt>
                <c:pt idx="6">
                  <c:v>6.0960520257826945E-2</c:v>
                </c:pt>
                <c:pt idx="7">
                  <c:v>4.7409175356992739E-2</c:v>
                </c:pt>
                <c:pt idx="8">
                  <c:v>4.8279969444696258E-2</c:v>
                </c:pt>
              </c:numCache>
            </c:numRef>
          </c:val>
          <c:smooth val="0"/>
          <c:extLst xmlns:c16r2="http://schemas.microsoft.com/office/drawing/2015/06/chart">
            <c:ext xmlns:c16="http://schemas.microsoft.com/office/drawing/2014/chart" uri="{C3380CC4-5D6E-409C-BE32-E72D297353CC}">
              <c16:uniqueId val="{00000032-15F5-4055-866A-95614E29C845}"/>
            </c:ext>
          </c:extLst>
        </c:ser>
        <c:ser>
          <c:idx val="51"/>
          <c:order val="51"/>
          <c:tx>
            <c:strRef>
              <c:f>Ratios!$A$307</c:f>
              <c:strCache>
                <c:ptCount val="1"/>
                <c:pt idx="0">
                  <c:v>Waimate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Ratios!$B$307:$J$307</c:f>
              <c:numCache>
                <c:formatCode>0.0%</c:formatCode>
                <c:ptCount val="9"/>
                <c:pt idx="0">
                  <c:v>3.7848377107466469E-2</c:v>
                </c:pt>
                <c:pt idx="1">
                  <c:v>4.9176704608244082E-2</c:v>
                </c:pt>
                <c:pt idx="2">
                  <c:v>4.8240994312197083E-2</c:v>
                </c:pt>
                <c:pt idx="3">
                  <c:v>3.9790996784565991E-2</c:v>
                </c:pt>
                <c:pt idx="4">
                  <c:v>3.0344027831465059E-2</c:v>
                </c:pt>
                <c:pt idx="5">
                  <c:v>1.9320952916901168E-2</c:v>
                </c:pt>
                <c:pt idx="6">
                  <c:v>2.5211630474788471E-2</c:v>
                </c:pt>
                <c:pt idx="7">
                  <c:v>3.0335666846167619E-2</c:v>
                </c:pt>
                <c:pt idx="8">
                  <c:v>2.7961672473867605E-2</c:v>
                </c:pt>
              </c:numCache>
            </c:numRef>
          </c:val>
          <c:smooth val="0"/>
          <c:extLst xmlns:c16r2="http://schemas.microsoft.com/office/drawing/2015/06/chart">
            <c:ext xmlns:c16="http://schemas.microsoft.com/office/drawing/2014/chart" uri="{C3380CC4-5D6E-409C-BE32-E72D297353CC}">
              <c16:uniqueId val="{00000033-15F5-4055-866A-95614E29C845}"/>
            </c:ext>
          </c:extLst>
        </c:ser>
        <c:ser>
          <c:idx val="52"/>
          <c:order val="52"/>
          <c:tx>
            <c:strRef>
              <c:f>Ratios!$A$308</c:f>
              <c:strCache>
                <c:ptCount val="1"/>
                <c:pt idx="0">
                  <c:v>Waipa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Ratios!$B$308:$J$308</c:f>
              <c:numCache>
                <c:formatCode>0.0%</c:formatCode>
                <c:ptCount val="9"/>
                <c:pt idx="0">
                  <c:v>5.1615160859961096E-2</c:v>
                </c:pt>
                <c:pt idx="1">
                  <c:v>5.220140174281962E-2</c:v>
                </c:pt>
                <c:pt idx="2">
                  <c:v>5.2793864763900133E-2</c:v>
                </c:pt>
                <c:pt idx="3">
                  <c:v>2.7016371282667428E-2</c:v>
                </c:pt>
                <c:pt idx="4">
                  <c:v>4.8242326746247954E-2</c:v>
                </c:pt>
                <c:pt idx="5">
                  <c:v>4.1418157720344517E-2</c:v>
                </c:pt>
                <c:pt idx="6">
                  <c:v>5.0086240099134205E-2</c:v>
                </c:pt>
                <c:pt idx="7">
                  <c:v>2.9884544236779886E-2</c:v>
                </c:pt>
                <c:pt idx="8">
                  <c:v>3.1773559196060841E-2</c:v>
                </c:pt>
              </c:numCache>
            </c:numRef>
          </c:val>
          <c:smooth val="0"/>
          <c:extLst xmlns:c16r2="http://schemas.microsoft.com/office/drawing/2015/06/chart">
            <c:ext xmlns:c16="http://schemas.microsoft.com/office/drawing/2014/chart" uri="{C3380CC4-5D6E-409C-BE32-E72D297353CC}">
              <c16:uniqueId val="{00000034-15F5-4055-866A-95614E29C845}"/>
            </c:ext>
          </c:extLst>
        </c:ser>
        <c:ser>
          <c:idx val="53"/>
          <c:order val="53"/>
          <c:tx>
            <c:strRef>
              <c:f>Ratios!$A$309</c:f>
              <c:strCache>
                <c:ptCount val="1"/>
                <c:pt idx="0">
                  <c:v>Wairoa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Ratios!$B$309:$J$309</c:f>
              <c:numCache>
                <c:formatCode>0.0%</c:formatCode>
                <c:ptCount val="9"/>
                <c:pt idx="0">
                  <c:v>4.9611948391873328E-2</c:v>
                </c:pt>
                <c:pt idx="1">
                  <c:v>5.7598941714046781E-2</c:v>
                </c:pt>
                <c:pt idx="2">
                  <c:v>5.9848903664617703E-2</c:v>
                </c:pt>
                <c:pt idx="3">
                  <c:v>5.6009926567098578E-2</c:v>
                </c:pt>
                <c:pt idx="4">
                  <c:v>5.5978020433079312E-2</c:v>
                </c:pt>
                <c:pt idx="5">
                  <c:v>2.4141981561118353E-2</c:v>
                </c:pt>
                <c:pt idx="6">
                  <c:v>3.3893868755095369E-2</c:v>
                </c:pt>
                <c:pt idx="7">
                  <c:v>3.807187921351507E-2</c:v>
                </c:pt>
                <c:pt idx="8">
                  <c:v>3.5698673706805462E-2</c:v>
                </c:pt>
              </c:numCache>
            </c:numRef>
          </c:val>
          <c:smooth val="0"/>
          <c:extLst xmlns:c16r2="http://schemas.microsoft.com/office/drawing/2015/06/chart">
            <c:ext xmlns:c16="http://schemas.microsoft.com/office/drawing/2014/chart" uri="{C3380CC4-5D6E-409C-BE32-E72D297353CC}">
              <c16:uniqueId val="{00000035-15F5-4055-866A-95614E29C845}"/>
            </c:ext>
          </c:extLst>
        </c:ser>
        <c:ser>
          <c:idx val="54"/>
          <c:order val="54"/>
          <c:tx>
            <c:strRef>
              <c:f>Ratios!$A$310</c:f>
              <c:strCache>
                <c:ptCount val="1"/>
                <c:pt idx="0">
                  <c:v>Waitaki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Ratios!$B$310:$J$310</c:f>
              <c:numCache>
                <c:formatCode>0.0%</c:formatCode>
                <c:ptCount val="9"/>
                <c:pt idx="0">
                  <c:v>2.1047723715322819E-2</c:v>
                </c:pt>
                <c:pt idx="1">
                  <c:v>2.0646465964317073E-2</c:v>
                </c:pt>
                <c:pt idx="2">
                  <c:v>4.179982104052149E-2</c:v>
                </c:pt>
                <c:pt idx="3">
                  <c:v>1.2147239263803788E-2</c:v>
                </c:pt>
                <c:pt idx="4">
                  <c:v>2.6578979270214464E-2</c:v>
                </c:pt>
                <c:pt idx="5">
                  <c:v>2.7366929412806718E-2</c:v>
                </c:pt>
                <c:pt idx="6">
                  <c:v>2.3477011494252853E-2</c:v>
                </c:pt>
                <c:pt idx="7">
                  <c:v>3.3411011595586348E-2</c:v>
                </c:pt>
                <c:pt idx="8">
                  <c:v>2.5457114135898129E-2</c:v>
                </c:pt>
              </c:numCache>
            </c:numRef>
          </c:val>
          <c:smooth val="0"/>
          <c:extLst xmlns:c16r2="http://schemas.microsoft.com/office/drawing/2015/06/chart">
            <c:ext xmlns:c16="http://schemas.microsoft.com/office/drawing/2014/chart" uri="{C3380CC4-5D6E-409C-BE32-E72D297353CC}">
              <c16:uniqueId val="{00000036-15F5-4055-866A-95614E29C845}"/>
            </c:ext>
          </c:extLst>
        </c:ser>
        <c:ser>
          <c:idx val="55"/>
          <c:order val="55"/>
          <c:tx>
            <c:strRef>
              <c:f>Ratios!$A$311</c:f>
              <c:strCache>
                <c:ptCount val="1"/>
                <c:pt idx="0">
                  <c:v>Waitomo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Ratios!$B$311:$J$311</c:f>
              <c:numCache>
                <c:formatCode>0.0%</c:formatCode>
                <c:ptCount val="9"/>
                <c:pt idx="0">
                  <c:v>3.9388145315487622E-2</c:v>
                </c:pt>
                <c:pt idx="1">
                  <c:v>3.8946704509618346E-2</c:v>
                </c:pt>
                <c:pt idx="2">
                  <c:v>3.8852633176506224E-2</c:v>
                </c:pt>
                <c:pt idx="3">
                  <c:v>3.9590942293644904E-2</c:v>
                </c:pt>
                <c:pt idx="4">
                  <c:v>3.5600524639310516E-2</c:v>
                </c:pt>
                <c:pt idx="5">
                  <c:v>3.7407273385200002E-2</c:v>
                </c:pt>
                <c:pt idx="6">
                  <c:v>2.7643339873555606E-2</c:v>
                </c:pt>
                <c:pt idx="7">
                  <c:v>1.9008019008019073E-2</c:v>
                </c:pt>
                <c:pt idx="8">
                  <c:v>1.211641753757764E-2</c:v>
                </c:pt>
              </c:numCache>
            </c:numRef>
          </c:val>
          <c:smooth val="0"/>
          <c:extLst xmlns:c16r2="http://schemas.microsoft.com/office/drawing/2015/06/chart">
            <c:ext xmlns:c16="http://schemas.microsoft.com/office/drawing/2014/chart" uri="{C3380CC4-5D6E-409C-BE32-E72D297353CC}">
              <c16:uniqueId val="{00000037-15F5-4055-866A-95614E29C845}"/>
            </c:ext>
          </c:extLst>
        </c:ser>
        <c:ser>
          <c:idx val="56"/>
          <c:order val="56"/>
          <c:tx>
            <c:strRef>
              <c:f>Ratios!$A$312</c:f>
              <c:strCache>
                <c:ptCount val="1"/>
                <c:pt idx="0">
                  <c:v>Wanganui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Ratios!$B$312:$J$312</c:f>
              <c:numCache>
                <c:formatCode>0.0%</c:formatCode>
                <c:ptCount val="9"/>
                <c:pt idx="0">
                  <c:v>3.9938150550610896E-2</c:v>
                </c:pt>
                <c:pt idx="1">
                  <c:v>3.7805983680870403E-2</c:v>
                </c:pt>
                <c:pt idx="2">
                  <c:v>0.15483532803354594</c:v>
                </c:pt>
                <c:pt idx="3">
                  <c:v>3.7520613643584388E-2</c:v>
                </c:pt>
                <c:pt idx="4">
                  <c:v>4.4504717325050569E-2</c:v>
                </c:pt>
                <c:pt idx="5">
                  <c:v>2.6413882645297315E-2</c:v>
                </c:pt>
                <c:pt idx="6">
                  <c:v>2.0905591599678974E-2</c:v>
                </c:pt>
                <c:pt idx="7">
                  <c:v>2.636627674598313E-2</c:v>
                </c:pt>
                <c:pt idx="8">
                  <c:v>2.2015395199709298E-2</c:v>
                </c:pt>
              </c:numCache>
            </c:numRef>
          </c:val>
          <c:smooth val="0"/>
          <c:extLst xmlns:c16r2="http://schemas.microsoft.com/office/drawing/2015/06/chart">
            <c:ext xmlns:c16="http://schemas.microsoft.com/office/drawing/2014/chart" uri="{C3380CC4-5D6E-409C-BE32-E72D297353CC}">
              <c16:uniqueId val="{00000038-15F5-4055-866A-95614E29C845}"/>
            </c:ext>
          </c:extLst>
        </c:ser>
        <c:ser>
          <c:idx val="57"/>
          <c:order val="57"/>
          <c:tx>
            <c:strRef>
              <c:f>Ratios!$A$313</c:f>
              <c:strCache>
                <c:ptCount val="1"/>
                <c:pt idx="0">
                  <c:v>Wellington City</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Ratios!$B$313:$J$313</c:f>
              <c:numCache>
                <c:formatCode>0.0%</c:formatCode>
                <c:ptCount val="9"/>
                <c:pt idx="0">
                  <c:v>4.806077362342065E-2</c:v>
                </c:pt>
                <c:pt idx="1">
                  <c:v>6.5351305088984235E-2</c:v>
                </c:pt>
                <c:pt idx="2">
                  <c:v>7.3184520070615822E-2</c:v>
                </c:pt>
                <c:pt idx="3">
                  <c:v>4.3161367634057202E-2</c:v>
                </c:pt>
                <c:pt idx="4">
                  <c:v>5.2210377107757777E-2</c:v>
                </c:pt>
                <c:pt idx="5">
                  <c:v>4.025988605427866E-2</c:v>
                </c:pt>
                <c:pt idx="6">
                  <c:v>3.9327676680471102E-2</c:v>
                </c:pt>
                <c:pt idx="7">
                  <c:v>4.8394214395481194E-2</c:v>
                </c:pt>
                <c:pt idx="8">
                  <c:v>2.7471371092540942E-2</c:v>
                </c:pt>
              </c:numCache>
            </c:numRef>
          </c:val>
          <c:smooth val="0"/>
          <c:extLst xmlns:c16r2="http://schemas.microsoft.com/office/drawing/2015/06/chart">
            <c:ext xmlns:c16="http://schemas.microsoft.com/office/drawing/2014/chart" uri="{C3380CC4-5D6E-409C-BE32-E72D297353CC}">
              <c16:uniqueId val="{00000039-15F5-4055-866A-95614E29C845}"/>
            </c:ext>
          </c:extLst>
        </c:ser>
        <c:ser>
          <c:idx val="58"/>
          <c:order val="58"/>
          <c:tx>
            <c:strRef>
              <c:f>Ratios!$A$314</c:f>
              <c:strCache>
                <c:ptCount val="1"/>
                <c:pt idx="0">
                  <c:v>Wellington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Ratios!$B$314:$J$314</c:f>
              <c:numCache>
                <c:formatCode>0.0%</c:formatCode>
                <c:ptCount val="9"/>
                <c:pt idx="0">
                  <c:v>0.11035006218450505</c:v>
                </c:pt>
                <c:pt idx="1">
                  <c:v>8.8445795139146188E-2</c:v>
                </c:pt>
                <c:pt idx="2">
                  <c:v>5.6046550341258161E-2</c:v>
                </c:pt>
                <c:pt idx="3">
                  <c:v>5.6797907784903012E-2</c:v>
                </c:pt>
                <c:pt idx="4">
                  <c:v>1.8394217991484219E-2</c:v>
                </c:pt>
                <c:pt idx="5">
                  <c:v>3.3194634000199619E-2</c:v>
                </c:pt>
                <c:pt idx="6">
                  <c:v>2.2701058695413945E-2</c:v>
                </c:pt>
                <c:pt idx="7">
                  <c:v>3.7274594553725615E-2</c:v>
                </c:pt>
                <c:pt idx="8">
                  <c:v>4.5872562716394283E-2</c:v>
                </c:pt>
              </c:numCache>
            </c:numRef>
          </c:val>
          <c:smooth val="0"/>
          <c:extLst xmlns:c16r2="http://schemas.microsoft.com/office/drawing/2015/06/chart">
            <c:ext xmlns:c16="http://schemas.microsoft.com/office/drawing/2014/chart" uri="{C3380CC4-5D6E-409C-BE32-E72D297353CC}">
              <c16:uniqueId val="{0000003A-15F5-4055-866A-95614E29C845}"/>
            </c:ext>
          </c:extLst>
        </c:ser>
        <c:ser>
          <c:idx val="59"/>
          <c:order val="59"/>
          <c:tx>
            <c:strRef>
              <c:f>Ratios!$A$315</c:f>
              <c:strCache>
                <c:ptCount val="1"/>
                <c:pt idx="0">
                  <c:v>West Coast Regional</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Ratios!$B$315:$J$315</c:f>
              <c:numCache>
                <c:formatCode>0.0%</c:formatCode>
                <c:ptCount val="9"/>
                <c:pt idx="0">
                  <c:v>-8.5765851489859046E-2</c:v>
                </c:pt>
                <c:pt idx="1">
                  <c:v>2.2011462368508594E-2</c:v>
                </c:pt>
                <c:pt idx="2">
                  <c:v>2.3664771718736599E-2</c:v>
                </c:pt>
                <c:pt idx="3">
                  <c:v>2.4675698765218801E-2</c:v>
                </c:pt>
                <c:pt idx="4">
                  <c:v>2.5855031788704519E-2</c:v>
                </c:pt>
                <c:pt idx="5">
                  <c:v>2.7923237809404311E-2</c:v>
                </c:pt>
                <c:pt idx="6">
                  <c:v>2.6426276673639171E-2</c:v>
                </c:pt>
                <c:pt idx="7">
                  <c:v>1.4344352192804166E-2</c:v>
                </c:pt>
                <c:pt idx="8">
                  <c:v>2.3812640460876278E-2</c:v>
                </c:pt>
              </c:numCache>
            </c:numRef>
          </c:val>
          <c:smooth val="0"/>
          <c:extLst xmlns:c16r2="http://schemas.microsoft.com/office/drawing/2015/06/chart">
            <c:ext xmlns:c16="http://schemas.microsoft.com/office/drawing/2014/chart" uri="{C3380CC4-5D6E-409C-BE32-E72D297353CC}">
              <c16:uniqueId val="{0000003B-15F5-4055-866A-95614E29C845}"/>
            </c:ext>
          </c:extLst>
        </c:ser>
        <c:ser>
          <c:idx val="60"/>
          <c:order val="60"/>
          <c:tx>
            <c:strRef>
              <c:f>Ratios!$A$316</c:f>
              <c:strCache>
                <c:ptCount val="1"/>
                <c:pt idx="0">
                  <c:v>Western Bay of Plenty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Ratios!$B$316:$J$316</c:f>
              <c:numCache>
                <c:formatCode>0.0%</c:formatCode>
                <c:ptCount val="9"/>
                <c:pt idx="0">
                  <c:v>5.4163662581110383E-2</c:v>
                </c:pt>
                <c:pt idx="1">
                  <c:v>3.7018038813370957E-2</c:v>
                </c:pt>
                <c:pt idx="2">
                  <c:v>3.5476779334982167E-2</c:v>
                </c:pt>
                <c:pt idx="3">
                  <c:v>3.415514450253454E-2</c:v>
                </c:pt>
                <c:pt idx="4">
                  <c:v>2.9716690617942909E-2</c:v>
                </c:pt>
                <c:pt idx="5">
                  <c:v>2.9905796740268054E-2</c:v>
                </c:pt>
                <c:pt idx="6">
                  <c:v>3.2279920631079762E-2</c:v>
                </c:pt>
                <c:pt idx="7">
                  <c:v>4.2123769338959116E-2</c:v>
                </c:pt>
                <c:pt idx="8">
                  <c:v>4.4020064331826259E-2</c:v>
                </c:pt>
              </c:numCache>
            </c:numRef>
          </c:val>
          <c:smooth val="0"/>
          <c:extLst xmlns:c16r2="http://schemas.microsoft.com/office/drawing/2015/06/chart">
            <c:ext xmlns:c16="http://schemas.microsoft.com/office/drawing/2014/chart" uri="{C3380CC4-5D6E-409C-BE32-E72D297353CC}">
              <c16:uniqueId val="{0000003C-15F5-4055-866A-95614E29C845}"/>
            </c:ext>
          </c:extLst>
        </c:ser>
        <c:ser>
          <c:idx val="61"/>
          <c:order val="61"/>
          <c:tx>
            <c:strRef>
              <c:f>Ratios!$A$317</c:f>
              <c:strCache>
                <c:ptCount val="1"/>
                <c:pt idx="0">
                  <c:v>Whakatane District</c:v>
                </c:pt>
              </c:strCache>
            </c:strRef>
          </c:tx>
          <c:spPr>
            <a:ln w="19050">
              <a:solidFill>
                <a:schemeClr val="bg1">
                  <a:lumMod val="85000"/>
                </a:schemeClr>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Ratios!$B$317:$J$317</c:f>
              <c:numCache>
                <c:formatCode>0.0%</c:formatCode>
                <c:ptCount val="9"/>
                <c:pt idx="0">
                  <c:v>3.8228484161781262E-2</c:v>
                </c:pt>
                <c:pt idx="1">
                  <c:v>3.5302491103202938E-2</c:v>
                </c:pt>
                <c:pt idx="2">
                  <c:v>2.3557449928961027E-2</c:v>
                </c:pt>
                <c:pt idx="3">
                  <c:v>3.4119912237495997E-2</c:v>
                </c:pt>
                <c:pt idx="4">
                  <c:v>3.4985927689976215E-2</c:v>
                </c:pt>
                <c:pt idx="5">
                  <c:v>1.3366523030581945E-2</c:v>
                </c:pt>
                <c:pt idx="6">
                  <c:v>2.0889668696459918E-2</c:v>
                </c:pt>
                <c:pt idx="7">
                  <c:v>3.2937703459571033E-2</c:v>
                </c:pt>
                <c:pt idx="8">
                  <c:v>3.3101045296167309E-2</c:v>
                </c:pt>
              </c:numCache>
            </c:numRef>
          </c:val>
          <c:smooth val="0"/>
          <c:extLst xmlns:c16r2="http://schemas.microsoft.com/office/drawing/2015/06/chart">
            <c:ext xmlns:c16="http://schemas.microsoft.com/office/drawing/2014/chart" uri="{C3380CC4-5D6E-409C-BE32-E72D297353CC}">
              <c16:uniqueId val="{0000003D-15F5-4055-866A-95614E29C845}"/>
            </c:ext>
          </c:extLst>
        </c:ser>
        <c:ser>
          <c:idx val="62"/>
          <c:order val="62"/>
          <c:tx>
            <c:strRef>
              <c:f>Ratios!$A$318</c:f>
              <c:strCache>
                <c:ptCount val="1"/>
                <c:pt idx="0">
                  <c:v>Hamilton City</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Ratios!$B$318:$J$318</c:f>
              <c:numCache>
                <c:formatCode>0.0%</c:formatCode>
                <c:ptCount val="9"/>
                <c:pt idx="0">
                  <c:v>4.585042463458322E-2</c:v>
                </c:pt>
                <c:pt idx="1">
                  <c:v>4.584279904157551E-2</c:v>
                </c:pt>
                <c:pt idx="2">
                  <c:v>4.1832827149082208E-2</c:v>
                </c:pt>
                <c:pt idx="3">
                  <c:v>4.600877081801813E-2</c:v>
                </c:pt>
                <c:pt idx="4">
                  <c:v>4.6002568825125989E-2</c:v>
                </c:pt>
                <c:pt idx="5">
                  <c:v>4.6000845646369193E-2</c:v>
                </c:pt>
                <c:pt idx="6">
                  <c:v>4.6015582171869074E-2</c:v>
                </c:pt>
                <c:pt idx="7">
                  <c:v>4.5997638974912824E-2</c:v>
                </c:pt>
                <c:pt idx="8">
                  <c:v>4.6009413431853829E-2</c:v>
                </c:pt>
              </c:numCache>
            </c:numRef>
          </c:val>
          <c:smooth val="0"/>
          <c:extLst xmlns:c16r2="http://schemas.microsoft.com/office/drawing/2015/06/chart">
            <c:ext xmlns:c16="http://schemas.microsoft.com/office/drawing/2014/chart" uri="{C3380CC4-5D6E-409C-BE32-E72D297353CC}">
              <c16:uniqueId val="{0000003E-15F5-4055-866A-95614E29C845}"/>
            </c:ext>
          </c:extLst>
        </c:ser>
        <c:ser>
          <c:idx val="63"/>
          <c:order val="63"/>
          <c:tx>
            <c:strRef>
              <c:f>Ratios!$A$319</c:f>
              <c:strCache>
                <c:ptCount val="1"/>
                <c:pt idx="0">
                  <c:v>Dunedin City</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Ratios!$B$319:$J$319</c:f>
              <c:numCache>
                <c:formatCode>0.0%</c:formatCode>
                <c:ptCount val="9"/>
                <c:pt idx="0">
                  <c:v>4.9765857484486586E-2</c:v>
                </c:pt>
                <c:pt idx="1">
                  <c:v>5.01534562448267E-2</c:v>
                </c:pt>
                <c:pt idx="2">
                  <c:v>4.0713408849952559E-2</c:v>
                </c:pt>
                <c:pt idx="3">
                  <c:v>3.9750678596561784E-2</c:v>
                </c:pt>
                <c:pt idx="4">
                  <c:v>4.5502011138613963E-2</c:v>
                </c:pt>
                <c:pt idx="5">
                  <c:v>2.3052498535713228E-2</c:v>
                </c:pt>
                <c:pt idx="6">
                  <c:v>3.8690081598707904E-2</c:v>
                </c:pt>
                <c:pt idx="7">
                  <c:v>2.290054190793378E-2</c:v>
                </c:pt>
                <c:pt idx="8">
                  <c:v>2.5813807068592931E-2</c:v>
                </c:pt>
              </c:numCache>
            </c:numRef>
          </c:val>
          <c:smooth val="0"/>
          <c:extLst xmlns:c16r2="http://schemas.microsoft.com/office/drawing/2015/06/chart">
            <c:ext xmlns:c16="http://schemas.microsoft.com/office/drawing/2014/chart" uri="{C3380CC4-5D6E-409C-BE32-E72D297353CC}">
              <c16:uniqueId val="{0000003F-15F5-4055-866A-95614E29C845}"/>
            </c:ext>
          </c:extLst>
        </c:ser>
        <c:ser>
          <c:idx val="64"/>
          <c:order val="64"/>
          <c:tx>
            <c:strRef>
              <c:f>Ratios!$A$320</c:f>
              <c:strCache>
                <c:ptCount val="1"/>
                <c:pt idx="0">
                  <c:v>Westland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Ratios!$B$320:$J$320</c:f>
              <c:numCache>
                <c:formatCode>0.0%</c:formatCode>
                <c:ptCount val="9"/>
                <c:pt idx="0">
                  <c:v>6.7838265516658725E-2</c:v>
                </c:pt>
                <c:pt idx="1">
                  <c:v>6.7308409018461024E-2</c:v>
                </c:pt>
                <c:pt idx="2">
                  <c:v>4.9777227193500195E-2</c:v>
                </c:pt>
                <c:pt idx="3">
                  <c:v>2.4066263759661588E-2</c:v>
                </c:pt>
                <c:pt idx="4">
                  <c:v>-3.0198680873408934E-2</c:v>
                </c:pt>
                <c:pt idx="5">
                  <c:v>3.1746104089484195E-2</c:v>
                </c:pt>
                <c:pt idx="6">
                  <c:v>2.1448928843904369E-2</c:v>
                </c:pt>
                <c:pt idx="7">
                  <c:v>2.4324012740854162E-2</c:v>
                </c:pt>
                <c:pt idx="8">
                  <c:v>1.2255983181534758E-2</c:v>
                </c:pt>
              </c:numCache>
            </c:numRef>
          </c:val>
          <c:smooth val="0"/>
          <c:extLst xmlns:c16r2="http://schemas.microsoft.com/office/drawing/2015/06/chart">
            <c:ext xmlns:c16="http://schemas.microsoft.com/office/drawing/2014/chart" uri="{C3380CC4-5D6E-409C-BE32-E72D297353CC}">
              <c16:uniqueId val="{00000040-15F5-4055-866A-95614E29C845}"/>
            </c:ext>
          </c:extLst>
        </c:ser>
        <c:ser>
          <c:idx val="65"/>
          <c:order val="65"/>
          <c:tx>
            <c:strRef>
              <c:f>Ratios!$A$321</c:f>
              <c:strCache>
                <c:ptCount val="1"/>
                <c:pt idx="0">
                  <c:v>Nelson City</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Ratios!$B$321:$J$321</c:f>
              <c:numCache>
                <c:formatCode>0.0%</c:formatCode>
                <c:ptCount val="9"/>
                <c:pt idx="0">
                  <c:v>4.9171726257402071E-2</c:v>
                </c:pt>
                <c:pt idx="1">
                  <c:v>4.431306708580407E-2</c:v>
                </c:pt>
                <c:pt idx="2">
                  <c:v>3.3043151071507904E-2</c:v>
                </c:pt>
                <c:pt idx="3">
                  <c:v>3.8343736030860498E-2</c:v>
                </c:pt>
                <c:pt idx="4">
                  <c:v>2.5272254731572019E-2</c:v>
                </c:pt>
                <c:pt idx="5">
                  <c:v>3.8925694379646103E-2</c:v>
                </c:pt>
                <c:pt idx="6">
                  <c:v>3.7227752413741433E-2</c:v>
                </c:pt>
                <c:pt idx="7">
                  <c:v>3.4592737978410115E-2</c:v>
                </c:pt>
                <c:pt idx="8">
                  <c:v>4.0661747269455484E-2</c:v>
                </c:pt>
              </c:numCache>
            </c:numRef>
          </c:val>
          <c:smooth val="0"/>
          <c:extLst xmlns:c16r2="http://schemas.microsoft.com/office/drawing/2015/06/chart">
            <c:ext xmlns:c16="http://schemas.microsoft.com/office/drawing/2014/chart" uri="{C3380CC4-5D6E-409C-BE32-E72D297353CC}">
              <c16:uniqueId val="{00000041-15F5-4055-866A-95614E29C845}"/>
            </c:ext>
          </c:extLst>
        </c:ser>
        <c:ser>
          <c:idx val="66"/>
          <c:order val="66"/>
          <c:tx>
            <c:strRef>
              <c:f>Ratios!$A$322</c:f>
              <c:strCache>
                <c:ptCount val="1"/>
                <c:pt idx="0">
                  <c:v>Gisborne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Ratios!$B$322:$J$322</c:f>
              <c:numCache>
                <c:formatCode>0.0%</c:formatCode>
                <c:ptCount val="9"/>
                <c:pt idx="0">
                  <c:v>2.0200087992807481E-2</c:v>
                </c:pt>
                <c:pt idx="1">
                  <c:v>1.9893874336714523E-2</c:v>
                </c:pt>
                <c:pt idx="2">
                  <c:v>2.4818913850792379E-2</c:v>
                </c:pt>
                <c:pt idx="3">
                  <c:v>2.4756027554535098E-2</c:v>
                </c:pt>
                <c:pt idx="4">
                  <c:v>2.5453399621875317E-2</c:v>
                </c:pt>
                <c:pt idx="5">
                  <c:v>3.0284407115299228E-2</c:v>
                </c:pt>
                <c:pt idx="6">
                  <c:v>2.980845705196189E-2</c:v>
                </c:pt>
                <c:pt idx="7">
                  <c:v>2.9717945004907431E-2</c:v>
                </c:pt>
                <c:pt idx="8">
                  <c:v>3.0438451201600047E-2</c:v>
                </c:pt>
              </c:numCache>
            </c:numRef>
          </c:val>
          <c:smooth val="0"/>
          <c:extLst xmlns:c16r2="http://schemas.microsoft.com/office/drawing/2015/06/chart">
            <c:ext xmlns:c16="http://schemas.microsoft.com/office/drawing/2014/chart" uri="{C3380CC4-5D6E-409C-BE32-E72D297353CC}">
              <c16:uniqueId val="{00000042-15F5-4055-866A-95614E29C845}"/>
            </c:ext>
          </c:extLst>
        </c:ser>
        <c:ser>
          <c:idx val="67"/>
          <c:order val="67"/>
          <c:tx>
            <c:strRef>
              <c:f>Ratios!$A$323</c:f>
              <c:strCache>
                <c:ptCount val="1"/>
                <c:pt idx="0">
                  <c:v>Auckland (Group)</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Ratios!$B$323:$J$323</c:f>
              <c:numCache>
                <c:formatCode>0.0%</c:formatCode>
                <c:ptCount val="9"/>
                <c:pt idx="0">
                  <c:v>4.7810955786322218E-2</c:v>
                </c:pt>
                <c:pt idx="1">
                  <c:v>4.8894253080225658E-2</c:v>
                </c:pt>
                <c:pt idx="2">
                  <c:v>1.3531943134219793E-2</c:v>
                </c:pt>
                <c:pt idx="3">
                  <c:v>5.2704023037762004E-2</c:v>
                </c:pt>
                <c:pt idx="4">
                  <c:v>5.4848239616459127E-2</c:v>
                </c:pt>
                <c:pt idx="5">
                  <c:v>5.282629366944791E-2</c:v>
                </c:pt>
                <c:pt idx="6">
                  <c:v>5.255922155483761E-2</c:v>
                </c:pt>
                <c:pt idx="7">
                  <c:v>5.2300418865816711E-2</c:v>
                </c:pt>
                <c:pt idx="8">
                  <c:v>5.1135523765273083E-2</c:v>
                </c:pt>
              </c:numCache>
            </c:numRef>
          </c:val>
          <c:smooth val="0"/>
          <c:extLst xmlns:c16r2="http://schemas.microsoft.com/office/drawing/2015/06/chart">
            <c:ext xmlns:c16="http://schemas.microsoft.com/office/drawing/2014/chart" uri="{C3380CC4-5D6E-409C-BE32-E72D297353CC}">
              <c16:uniqueId val="{00000043-15F5-4055-866A-95614E29C845}"/>
            </c:ext>
          </c:extLst>
        </c:ser>
        <c:ser>
          <c:idx val="68"/>
          <c:order val="68"/>
          <c:tx>
            <c:strRef>
              <c:f>Ratios!$A$324</c:f>
              <c:strCache>
                <c:ptCount val="1"/>
                <c:pt idx="0">
                  <c:v>Opotiki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Ratios!$B$324:$J$324</c:f>
              <c:numCache>
                <c:formatCode>0.0%</c:formatCode>
                <c:ptCount val="9"/>
                <c:pt idx="0">
                  <c:v>5.7025218733916638E-2</c:v>
                </c:pt>
                <c:pt idx="1">
                  <c:v>6.3005161164670476E-2</c:v>
                </c:pt>
                <c:pt idx="2">
                  <c:v>6.009527299377071E-2</c:v>
                </c:pt>
                <c:pt idx="3">
                  <c:v>5.9453854130660178E-2</c:v>
                </c:pt>
                <c:pt idx="4">
                  <c:v>5.1223491027732493E-2</c:v>
                </c:pt>
                <c:pt idx="5">
                  <c:v>4.748603351955305E-2</c:v>
                </c:pt>
                <c:pt idx="6">
                  <c:v>5.4888888888888987E-2</c:v>
                </c:pt>
                <c:pt idx="7">
                  <c:v>5.9897479109613183E-2</c:v>
                </c:pt>
                <c:pt idx="8">
                  <c:v>4.0612163773684928E-2</c:v>
                </c:pt>
              </c:numCache>
            </c:numRef>
          </c:val>
          <c:smooth val="0"/>
          <c:extLst xmlns:c16r2="http://schemas.microsoft.com/office/drawing/2015/06/chart">
            <c:ext xmlns:c16="http://schemas.microsoft.com/office/drawing/2014/chart" uri="{C3380CC4-5D6E-409C-BE32-E72D297353CC}">
              <c16:uniqueId val="{00000044-15F5-4055-866A-95614E29C845}"/>
            </c:ext>
          </c:extLst>
        </c:ser>
        <c:ser>
          <c:idx val="69"/>
          <c:order val="69"/>
          <c:tx>
            <c:strRef>
              <c:f>Ratios!$A$325</c:f>
              <c:strCache>
                <c:ptCount val="1"/>
                <c:pt idx="0">
                  <c:v>Kapiti Coast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Ratios!$B$325:$J$325</c:f>
              <c:numCache>
                <c:formatCode>0.0%</c:formatCode>
                <c:ptCount val="9"/>
                <c:pt idx="0">
                  <c:v>5.5345531528806946E-2</c:v>
                </c:pt>
                <c:pt idx="1">
                  <c:v>6.0589933064499668E-2</c:v>
                </c:pt>
                <c:pt idx="2">
                  <c:v>6.1702661494219546E-2</c:v>
                </c:pt>
                <c:pt idx="3">
                  <c:v>6.3915651699691045E-2</c:v>
                </c:pt>
                <c:pt idx="4">
                  <c:v>6.5765642620373876E-2</c:v>
                </c:pt>
                <c:pt idx="5">
                  <c:v>5.4396793587174308E-2</c:v>
                </c:pt>
                <c:pt idx="6">
                  <c:v>5.6684101690791966E-2</c:v>
                </c:pt>
                <c:pt idx="7">
                  <c:v>5.3269252906642084E-2</c:v>
                </c:pt>
                <c:pt idx="8">
                  <c:v>5.2624388644498588E-2</c:v>
                </c:pt>
              </c:numCache>
            </c:numRef>
          </c:val>
          <c:smooth val="0"/>
          <c:extLst xmlns:c16r2="http://schemas.microsoft.com/office/drawing/2015/06/chart">
            <c:ext xmlns:c16="http://schemas.microsoft.com/office/drawing/2014/chart" uri="{C3380CC4-5D6E-409C-BE32-E72D297353CC}">
              <c16:uniqueId val="{00000045-15F5-4055-866A-95614E29C845}"/>
            </c:ext>
          </c:extLst>
        </c:ser>
        <c:ser>
          <c:idx val="70"/>
          <c:order val="70"/>
          <c:tx>
            <c:strRef>
              <c:f>Ratios!$A$326</c:f>
              <c:strCache>
                <c:ptCount val="1"/>
                <c:pt idx="0">
                  <c:v>Ruapehu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Ratios!$B$326:$J$326</c:f>
              <c:numCache>
                <c:formatCode>0.0%</c:formatCode>
                <c:ptCount val="9"/>
                <c:pt idx="0">
                  <c:v>5.3520027321071417E-2</c:v>
                </c:pt>
                <c:pt idx="1">
                  <c:v>3.0054644808743092E-2</c:v>
                </c:pt>
                <c:pt idx="2">
                  <c:v>4.5407543946410112E-2</c:v>
                </c:pt>
                <c:pt idx="3">
                  <c:v>2.799638756289502E-2</c:v>
                </c:pt>
                <c:pt idx="4">
                  <c:v>2.6439089692101847E-2</c:v>
                </c:pt>
                <c:pt idx="5">
                  <c:v>2.8977828496902447E-2</c:v>
                </c:pt>
                <c:pt idx="6">
                  <c:v>3.0261021111419151E-2</c:v>
                </c:pt>
                <c:pt idx="7">
                  <c:v>2.8295721041097899E-2</c:v>
                </c:pt>
                <c:pt idx="8">
                  <c:v>3.3499084009421587E-2</c:v>
                </c:pt>
              </c:numCache>
            </c:numRef>
          </c:val>
          <c:smooth val="0"/>
          <c:extLst xmlns:c16r2="http://schemas.microsoft.com/office/drawing/2015/06/chart">
            <c:ext xmlns:c16="http://schemas.microsoft.com/office/drawing/2014/chart" uri="{C3380CC4-5D6E-409C-BE32-E72D297353CC}">
              <c16:uniqueId val="{00000046-15F5-4055-866A-95614E29C845}"/>
            </c:ext>
          </c:extLst>
        </c:ser>
        <c:ser>
          <c:idx val="71"/>
          <c:order val="71"/>
          <c:tx>
            <c:strRef>
              <c:f>Ratios!$A$327</c:f>
              <c:strCache>
                <c:ptCount val="1"/>
                <c:pt idx="0">
                  <c:v>Timaru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Ratios!$B$327:$J$327</c:f>
              <c:numCache>
                <c:formatCode>0.0%</c:formatCode>
                <c:ptCount val="9"/>
                <c:pt idx="0">
                  <c:v>5.3313229457208955E-2</c:v>
                </c:pt>
                <c:pt idx="1">
                  <c:v>7.1572642206826353E-2</c:v>
                </c:pt>
                <c:pt idx="2">
                  <c:v>5.6713249869879023E-2</c:v>
                </c:pt>
                <c:pt idx="3">
                  <c:v>4.103704044530132E-2</c:v>
                </c:pt>
                <c:pt idx="4">
                  <c:v>5.1887156438916282E-2</c:v>
                </c:pt>
                <c:pt idx="5">
                  <c:v>1.6514880790427844E-2</c:v>
                </c:pt>
                <c:pt idx="6">
                  <c:v>4.2540613292527452E-2</c:v>
                </c:pt>
                <c:pt idx="7">
                  <c:v>3.3120451003102902E-2</c:v>
                </c:pt>
                <c:pt idx="8">
                  <c:v>2.6885838815449814E-2</c:v>
                </c:pt>
              </c:numCache>
            </c:numRef>
          </c:val>
          <c:smooth val="0"/>
          <c:extLst xmlns:c16r2="http://schemas.microsoft.com/office/drawing/2015/06/chart">
            <c:ext xmlns:c16="http://schemas.microsoft.com/office/drawing/2014/chart" uri="{C3380CC4-5D6E-409C-BE32-E72D297353CC}">
              <c16:uniqueId val="{00000047-15F5-4055-866A-95614E29C845}"/>
            </c:ext>
          </c:extLst>
        </c:ser>
        <c:ser>
          <c:idx val="72"/>
          <c:order val="72"/>
          <c:tx>
            <c:strRef>
              <c:f>Ratios!$A$328</c:f>
              <c:strCache>
                <c:ptCount val="1"/>
                <c:pt idx="0">
                  <c:v>Central Hawke's Bay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Ratios!$B$328:$J$328</c:f>
              <c:numCache>
                <c:formatCode>0.0%</c:formatCode>
                <c:ptCount val="9"/>
                <c:pt idx="0">
                  <c:v>2.3829223895416085E-2</c:v>
                </c:pt>
                <c:pt idx="1">
                  <c:v>2.3813372124346754E-2</c:v>
                </c:pt>
                <c:pt idx="2">
                  <c:v>2.4417197284639203E-2</c:v>
                </c:pt>
                <c:pt idx="3">
                  <c:v>2.7225561206143833E-2</c:v>
                </c:pt>
                <c:pt idx="4">
                  <c:v>2.5403810571585694E-2</c:v>
                </c:pt>
                <c:pt idx="5">
                  <c:v>2.9797610338941682E-2</c:v>
                </c:pt>
                <c:pt idx="6">
                  <c:v>3.1255919681757893E-2</c:v>
                </c:pt>
                <c:pt idx="7">
                  <c:v>3.1410727406318895E-2</c:v>
                </c:pt>
                <c:pt idx="8">
                  <c:v>3.5129118432769335E-2</c:v>
                </c:pt>
              </c:numCache>
            </c:numRef>
          </c:val>
          <c:smooth val="0"/>
          <c:extLst xmlns:c16r2="http://schemas.microsoft.com/office/drawing/2015/06/chart">
            <c:ext xmlns:c16="http://schemas.microsoft.com/office/drawing/2014/chart" uri="{C3380CC4-5D6E-409C-BE32-E72D297353CC}">
              <c16:uniqueId val="{00000048-15F5-4055-866A-95614E29C845}"/>
            </c:ext>
          </c:extLst>
        </c:ser>
        <c:ser>
          <c:idx val="73"/>
          <c:order val="73"/>
          <c:tx>
            <c:strRef>
              <c:f>Ratios!$A$329</c:f>
              <c:strCache>
                <c:ptCount val="1"/>
                <c:pt idx="0">
                  <c:v>New Plymouth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Ratios!$B$329:$J$329</c:f>
              <c:numCache>
                <c:formatCode>0.0%</c:formatCode>
                <c:ptCount val="9"/>
                <c:pt idx="0">
                  <c:v>4.6548743183933983E-2</c:v>
                </c:pt>
                <c:pt idx="1">
                  <c:v>3.6472232812301497E-2</c:v>
                </c:pt>
                <c:pt idx="2">
                  <c:v>3.4207945071113244E-2</c:v>
                </c:pt>
                <c:pt idx="3">
                  <c:v>3.1416716064019079E-2</c:v>
                </c:pt>
                <c:pt idx="4">
                  <c:v>3.137931034482766E-2</c:v>
                </c:pt>
                <c:pt idx="5">
                  <c:v>1.827705338236929E-2</c:v>
                </c:pt>
                <c:pt idx="6">
                  <c:v>1.6745102331180872E-2</c:v>
                </c:pt>
                <c:pt idx="7">
                  <c:v>4.4671689989235652E-2</c:v>
                </c:pt>
                <c:pt idx="8">
                  <c:v>4.1318907779495095E-2</c:v>
                </c:pt>
              </c:numCache>
            </c:numRef>
          </c:val>
          <c:smooth val="0"/>
          <c:extLst xmlns:c16r2="http://schemas.microsoft.com/office/drawing/2015/06/chart">
            <c:ext xmlns:c16="http://schemas.microsoft.com/office/drawing/2014/chart" uri="{C3380CC4-5D6E-409C-BE32-E72D297353CC}">
              <c16:uniqueId val="{00000049-15F5-4055-866A-95614E29C845}"/>
            </c:ext>
          </c:extLst>
        </c:ser>
        <c:ser>
          <c:idx val="74"/>
          <c:order val="74"/>
          <c:tx>
            <c:strRef>
              <c:f>Ratios!$A$330</c:f>
              <c:strCache>
                <c:ptCount val="1"/>
                <c:pt idx="0">
                  <c:v>Queenstown-Lakes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Ratios!$B$330:$J$330</c:f>
              <c:numCache>
                <c:formatCode>0.0%</c:formatCode>
                <c:ptCount val="9"/>
                <c:pt idx="0">
                  <c:v>5.3341621585296206E-2</c:v>
                </c:pt>
                <c:pt idx="1">
                  <c:v>4.8614766256758646E-2</c:v>
                </c:pt>
                <c:pt idx="2">
                  <c:v>2.5918320784850568E-2</c:v>
                </c:pt>
                <c:pt idx="3">
                  <c:v>1.9303473735711396E-2</c:v>
                </c:pt>
                <c:pt idx="4">
                  <c:v>1.7628834489680223E-2</c:v>
                </c:pt>
                <c:pt idx="5">
                  <c:v>8.5759615796920929E-3</c:v>
                </c:pt>
                <c:pt idx="6">
                  <c:v>2.8612729050635499E-2</c:v>
                </c:pt>
                <c:pt idx="7">
                  <c:v>1.3336639938276607E-2</c:v>
                </c:pt>
                <c:pt idx="8">
                  <c:v>3.2019034670292212E-2</c:v>
                </c:pt>
              </c:numCache>
            </c:numRef>
          </c:val>
          <c:smooth val="0"/>
          <c:extLst xmlns:c16r2="http://schemas.microsoft.com/office/drawing/2015/06/chart">
            <c:ext xmlns:c16="http://schemas.microsoft.com/office/drawing/2014/chart" uri="{C3380CC4-5D6E-409C-BE32-E72D297353CC}">
              <c16:uniqueId val="{0000004A-15F5-4055-866A-95614E29C845}"/>
            </c:ext>
          </c:extLst>
        </c:ser>
        <c:ser>
          <c:idx val="75"/>
          <c:order val="75"/>
          <c:tx>
            <c:strRef>
              <c:f>Ratios!$A$331</c:f>
              <c:strCache>
                <c:ptCount val="1"/>
                <c:pt idx="0">
                  <c:v>Selwyn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Ratios!$B$331:$J$331</c:f>
              <c:numCache>
                <c:formatCode>0.0%</c:formatCode>
                <c:ptCount val="9"/>
                <c:pt idx="0">
                  <c:v>0.10137288257421462</c:v>
                </c:pt>
                <c:pt idx="1">
                  <c:v>8.190480334145489E-2</c:v>
                </c:pt>
                <c:pt idx="2">
                  <c:v>7.0596987915468645E-2</c:v>
                </c:pt>
                <c:pt idx="3">
                  <c:v>6.8402073473067482E-2</c:v>
                </c:pt>
                <c:pt idx="4">
                  <c:v>5.72724396160742E-2</c:v>
                </c:pt>
                <c:pt idx="5">
                  <c:v>5.6780393721734601E-2</c:v>
                </c:pt>
                <c:pt idx="6">
                  <c:v>5.8166428043235463E-2</c:v>
                </c:pt>
                <c:pt idx="7">
                  <c:v>5.8953847983822971E-2</c:v>
                </c:pt>
                <c:pt idx="8">
                  <c:v>5.8465901910953244E-2</c:v>
                </c:pt>
              </c:numCache>
            </c:numRef>
          </c:val>
          <c:smooth val="0"/>
          <c:extLst xmlns:c16r2="http://schemas.microsoft.com/office/drawing/2015/06/chart">
            <c:ext xmlns:c16="http://schemas.microsoft.com/office/drawing/2014/chart" uri="{C3380CC4-5D6E-409C-BE32-E72D297353CC}">
              <c16:uniqueId val="{0000004B-15F5-4055-866A-95614E29C845}"/>
            </c:ext>
          </c:extLst>
        </c:ser>
        <c:ser>
          <c:idx val="76"/>
          <c:order val="76"/>
          <c:tx>
            <c:strRef>
              <c:f>Ratios!$A$332</c:f>
              <c:strCache>
                <c:ptCount val="1"/>
                <c:pt idx="0">
                  <c:v>Whangarei District</c:v>
                </c:pt>
              </c:strCache>
            </c:strRef>
          </c:tx>
          <c:spPr>
            <a:ln w="19050">
              <a:solidFill>
                <a:schemeClr val="accent2"/>
              </a:solidFill>
            </a:ln>
          </c:spPr>
          <c:marker>
            <c:symbol val="none"/>
          </c:marker>
          <c:cat>
            <c:numRef>
              <c:f>Ratios!$B$255:$J$255</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Ratios!$B$332:$J$332</c:f>
              <c:numCache>
                <c:formatCode>0.0%</c:formatCode>
                <c:ptCount val="9"/>
                <c:pt idx="0">
                  <c:v>5.7272185824895683E-2</c:v>
                </c:pt>
                <c:pt idx="1">
                  <c:v>4.4762162283963125E-2</c:v>
                </c:pt>
                <c:pt idx="2">
                  <c:v>5.4900734382245409E-2</c:v>
                </c:pt>
                <c:pt idx="3">
                  <c:v>5.3321338758152592E-2</c:v>
                </c:pt>
                <c:pt idx="4">
                  <c:v>5.4542984141772832E-2</c:v>
                </c:pt>
                <c:pt idx="5">
                  <c:v>5.6470761471773878E-2</c:v>
                </c:pt>
                <c:pt idx="6">
                  <c:v>5.8060525811453489E-2</c:v>
                </c:pt>
                <c:pt idx="7">
                  <c:v>5.9880288821742234E-2</c:v>
                </c:pt>
                <c:pt idx="8">
                  <c:v>6.168629400615222E-2</c:v>
                </c:pt>
              </c:numCache>
            </c:numRef>
          </c:val>
          <c:smooth val="0"/>
          <c:extLst xmlns:c16r2="http://schemas.microsoft.com/office/drawing/2015/06/chart">
            <c:ext xmlns:c16="http://schemas.microsoft.com/office/drawing/2014/chart" uri="{C3380CC4-5D6E-409C-BE32-E72D297353CC}">
              <c16:uniqueId val="{0000004C-15F5-4055-866A-95614E29C845}"/>
            </c:ext>
          </c:extLst>
        </c:ser>
        <c:dLbls>
          <c:showLegendKey val="0"/>
          <c:showVal val="0"/>
          <c:showCatName val="0"/>
          <c:showSerName val="0"/>
          <c:showPercent val="0"/>
          <c:showBubbleSize val="0"/>
        </c:dLbls>
        <c:marker val="1"/>
        <c:smooth val="0"/>
        <c:axId val="119456896"/>
        <c:axId val="119458432"/>
      </c:lineChart>
      <c:catAx>
        <c:axId val="119456896"/>
        <c:scaling>
          <c:orientation val="minMax"/>
        </c:scaling>
        <c:delete val="0"/>
        <c:axPos val="b"/>
        <c:numFmt formatCode="General" sourceLinked="1"/>
        <c:majorTickMark val="out"/>
        <c:minorTickMark val="none"/>
        <c:tickLblPos val="nextTo"/>
        <c:crossAx val="119458432"/>
        <c:crosses val="autoZero"/>
        <c:auto val="1"/>
        <c:lblAlgn val="ctr"/>
        <c:lblOffset val="100"/>
        <c:noMultiLvlLbl val="0"/>
      </c:catAx>
      <c:valAx>
        <c:axId val="119458432"/>
        <c:scaling>
          <c:orientation val="minMax"/>
          <c:max val="0.15000000000000002"/>
          <c:min val="-5.000000000000001E-2"/>
        </c:scaling>
        <c:delete val="0"/>
        <c:axPos val="l"/>
        <c:majorGridlines/>
        <c:numFmt formatCode="0.0%" sourceLinked="1"/>
        <c:majorTickMark val="out"/>
        <c:minorTickMark val="none"/>
        <c:tickLblPos val="nextTo"/>
        <c:crossAx val="119456896"/>
        <c:crosses val="autoZero"/>
        <c:crossBetween val="between"/>
      </c:valAx>
    </c:plotArea>
    <c:plotVisOnly val="1"/>
    <c:dispBlanksAs val="gap"/>
    <c:showDLblsOverMax val="0"/>
  </c:chart>
  <c:spPr>
    <a:ln w="15875"/>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266091146189671E-2"/>
          <c:y val="6.6431608474585083E-2"/>
          <c:w val="0.89470495677922213"/>
          <c:h val="0.77122159135263413"/>
        </c:manualLayout>
      </c:layout>
      <c:lineChart>
        <c:grouping val="standard"/>
        <c:varyColors val="0"/>
        <c:ser>
          <c:idx val="0"/>
          <c:order val="0"/>
          <c:tx>
            <c:strRef>
              <c:f>Stormwater!$A$39</c:f>
              <c:strCache>
                <c:ptCount val="1"/>
                <c:pt idx="0">
                  <c:v>Rural Operating</c:v>
                </c:pt>
              </c:strCache>
            </c:strRef>
          </c:tx>
          <c:marker>
            <c:symbol val="none"/>
          </c:marker>
          <c:cat>
            <c:numRef>
              <c:f>Stormwater!$B$38:$L$38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Stormwater!$B$39:$L$39</c:f>
              <c:numCache>
                <c:formatCode>General</c:formatCode>
                <c:ptCount val="11"/>
                <c:pt idx="0">
                  <c:v>42.107360588109565</c:v>
                </c:pt>
                <c:pt idx="1">
                  <c:v>45.594056438970014</c:v>
                </c:pt>
                <c:pt idx="2">
                  <c:v>48.498302423253229</c:v>
                </c:pt>
                <c:pt idx="3">
                  <c:v>56.001355392488257</c:v>
                </c:pt>
                <c:pt idx="4">
                  <c:v>56.585360962067625</c:v>
                </c:pt>
                <c:pt idx="5">
                  <c:v>59.960961868041316</c:v>
                </c:pt>
                <c:pt idx="6">
                  <c:v>58.873682132430837</c:v>
                </c:pt>
                <c:pt idx="7">
                  <c:v>59.725337411064629</c:v>
                </c:pt>
                <c:pt idx="8">
                  <c:v>60.717966242558532</c:v>
                </c:pt>
                <c:pt idx="9">
                  <c:v>61.778941953282548</c:v>
                </c:pt>
                <c:pt idx="10">
                  <c:v>63.465326420995915</c:v>
                </c:pt>
              </c:numCache>
            </c:numRef>
          </c:val>
          <c:smooth val="0"/>
          <c:extLst xmlns:c16r2="http://schemas.microsoft.com/office/drawing/2015/06/chart">
            <c:ext xmlns:c16="http://schemas.microsoft.com/office/drawing/2014/chart" uri="{C3380CC4-5D6E-409C-BE32-E72D297353CC}">
              <c16:uniqueId val="{00000000-3F28-433E-895F-8C2BA97D1328}"/>
            </c:ext>
          </c:extLst>
        </c:ser>
        <c:ser>
          <c:idx val="1"/>
          <c:order val="1"/>
          <c:tx>
            <c:strRef>
              <c:f>Stormwater!$A$40</c:f>
              <c:strCache>
                <c:ptCount val="1"/>
                <c:pt idx="0">
                  <c:v>Rural Capital</c:v>
                </c:pt>
              </c:strCache>
            </c:strRef>
          </c:tx>
          <c:spPr>
            <a:ln>
              <a:solidFill>
                <a:schemeClr val="bg2"/>
              </a:solidFill>
            </a:ln>
          </c:spPr>
          <c:marker>
            <c:symbol val="none"/>
          </c:marker>
          <c:cat>
            <c:numRef>
              <c:f>Stormwater!$B$38:$L$38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Stormwater!$B$40:$L$40</c:f>
              <c:numCache>
                <c:formatCode>General</c:formatCode>
                <c:ptCount val="11"/>
                <c:pt idx="0">
                  <c:v>11.274669256593123</c:v>
                </c:pt>
                <c:pt idx="1">
                  <c:v>26.91171911147606</c:v>
                </c:pt>
                <c:pt idx="2">
                  <c:v>40.251139114819516</c:v>
                </c:pt>
                <c:pt idx="3">
                  <c:v>36.156516886342878</c:v>
                </c:pt>
                <c:pt idx="4">
                  <c:v>42.679118609902147</c:v>
                </c:pt>
                <c:pt idx="5">
                  <c:v>35.019931015772741</c:v>
                </c:pt>
                <c:pt idx="6">
                  <c:v>35.154396505465741</c:v>
                </c:pt>
                <c:pt idx="7">
                  <c:v>25.855903234994184</c:v>
                </c:pt>
                <c:pt idx="8">
                  <c:v>39.997258504421154</c:v>
                </c:pt>
                <c:pt idx="9">
                  <c:v>36.029189830776644</c:v>
                </c:pt>
                <c:pt idx="10">
                  <c:v>38.209336349639734</c:v>
                </c:pt>
              </c:numCache>
            </c:numRef>
          </c:val>
          <c:smooth val="0"/>
          <c:extLst xmlns:c16r2="http://schemas.microsoft.com/office/drawing/2015/06/chart">
            <c:ext xmlns:c16="http://schemas.microsoft.com/office/drawing/2014/chart" uri="{C3380CC4-5D6E-409C-BE32-E72D297353CC}">
              <c16:uniqueId val="{00000001-3F28-433E-895F-8C2BA97D1328}"/>
            </c:ext>
          </c:extLst>
        </c:ser>
        <c:ser>
          <c:idx val="2"/>
          <c:order val="2"/>
          <c:tx>
            <c:strRef>
              <c:f>Stormwater!$A$41</c:f>
              <c:strCache>
                <c:ptCount val="1"/>
                <c:pt idx="0">
                  <c:v>Urban Operating</c:v>
                </c:pt>
              </c:strCache>
            </c:strRef>
          </c:tx>
          <c:spPr>
            <a:ln>
              <a:solidFill>
                <a:schemeClr val="accent2">
                  <a:lumMod val="75000"/>
                </a:schemeClr>
              </a:solidFill>
            </a:ln>
          </c:spPr>
          <c:marker>
            <c:symbol val="none"/>
          </c:marker>
          <c:cat>
            <c:numRef>
              <c:f>Stormwater!$B$38:$L$38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Stormwater!$B$41:$L$41</c:f>
              <c:numCache>
                <c:formatCode>General</c:formatCode>
                <c:ptCount val="11"/>
                <c:pt idx="0">
                  <c:v>52.05706400424404</c:v>
                </c:pt>
                <c:pt idx="1">
                  <c:v>57.432855960107425</c:v>
                </c:pt>
                <c:pt idx="2">
                  <c:v>68.764768142334646</c:v>
                </c:pt>
                <c:pt idx="3">
                  <c:v>59.267006622196085</c:v>
                </c:pt>
                <c:pt idx="4">
                  <c:v>58.841826064216754</c:v>
                </c:pt>
                <c:pt idx="5">
                  <c:v>56.895830812048466</c:v>
                </c:pt>
                <c:pt idx="6">
                  <c:v>58.941227759570097</c:v>
                </c:pt>
                <c:pt idx="7">
                  <c:v>56.357892184517091</c:v>
                </c:pt>
                <c:pt idx="8">
                  <c:v>57.635395605257962</c:v>
                </c:pt>
                <c:pt idx="9">
                  <c:v>57.222245600931132</c:v>
                </c:pt>
                <c:pt idx="10">
                  <c:v>57.262826790991255</c:v>
                </c:pt>
              </c:numCache>
            </c:numRef>
          </c:val>
          <c:smooth val="0"/>
          <c:extLst xmlns:c16r2="http://schemas.microsoft.com/office/drawing/2015/06/chart">
            <c:ext xmlns:c16="http://schemas.microsoft.com/office/drawing/2014/chart" uri="{C3380CC4-5D6E-409C-BE32-E72D297353CC}">
              <c16:uniqueId val="{00000002-3F28-433E-895F-8C2BA97D1328}"/>
            </c:ext>
          </c:extLst>
        </c:ser>
        <c:ser>
          <c:idx val="3"/>
          <c:order val="3"/>
          <c:tx>
            <c:strRef>
              <c:f>Stormwater!$A$42</c:f>
              <c:strCache>
                <c:ptCount val="1"/>
                <c:pt idx="0">
                  <c:v>Urban Capital</c:v>
                </c:pt>
              </c:strCache>
            </c:strRef>
          </c:tx>
          <c:spPr>
            <a:ln>
              <a:solidFill>
                <a:schemeClr val="accent2"/>
              </a:solidFill>
            </a:ln>
          </c:spPr>
          <c:marker>
            <c:symbol val="none"/>
          </c:marker>
          <c:cat>
            <c:numRef>
              <c:f>Stormwater!$B$38:$L$38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Stormwater!$B$42:$L$42</c:f>
              <c:numCache>
                <c:formatCode>General</c:formatCode>
                <c:ptCount val="11"/>
                <c:pt idx="0">
                  <c:v>54.091328285030812</c:v>
                </c:pt>
                <c:pt idx="1">
                  <c:v>58.85377162476982</c:v>
                </c:pt>
                <c:pt idx="2">
                  <c:v>82.646740386023822</c:v>
                </c:pt>
                <c:pt idx="3">
                  <c:v>78.660189137507189</c:v>
                </c:pt>
                <c:pt idx="4">
                  <c:v>81.928885790277761</c:v>
                </c:pt>
                <c:pt idx="5">
                  <c:v>74.226758867106042</c:v>
                </c:pt>
                <c:pt idx="6">
                  <c:v>93.418179088526941</c:v>
                </c:pt>
                <c:pt idx="7">
                  <c:v>104.24047101462185</c:v>
                </c:pt>
                <c:pt idx="8">
                  <c:v>115.11629896743057</c:v>
                </c:pt>
                <c:pt idx="9">
                  <c:v>105.91736260077847</c:v>
                </c:pt>
                <c:pt idx="10">
                  <c:v>86.499114665550792</c:v>
                </c:pt>
              </c:numCache>
            </c:numRef>
          </c:val>
          <c:smooth val="0"/>
          <c:extLst xmlns:c16r2="http://schemas.microsoft.com/office/drawing/2015/06/chart">
            <c:ext xmlns:c16="http://schemas.microsoft.com/office/drawing/2014/chart" uri="{C3380CC4-5D6E-409C-BE32-E72D297353CC}">
              <c16:uniqueId val="{00000003-3F28-433E-895F-8C2BA97D1328}"/>
            </c:ext>
          </c:extLst>
        </c:ser>
        <c:dLbls>
          <c:showLegendKey val="0"/>
          <c:showVal val="0"/>
          <c:showCatName val="0"/>
          <c:showSerName val="0"/>
          <c:showPercent val="0"/>
          <c:showBubbleSize val="0"/>
        </c:dLbls>
        <c:marker val="1"/>
        <c:smooth val="0"/>
        <c:axId val="123916672"/>
        <c:axId val="123918208"/>
      </c:lineChart>
      <c:catAx>
        <c:axId val="123916672"/>
        <c:scaling>
          <c:orientation val="minMax"/>
        </c:scaling>
        <c:delete val="0"/>
        <c:axPos val="b"/>
        <c:numFmt formatCode="General" sourceLinked="1"/>
        <c:majorTickMark val="out"/>
        <c:minorTickMark val="none"/>
        <c:tickLblPos val="nextTo"/>
        <c:crossAx val="123918208"/>
        <c:crosses val="autoZero"/>
        <c:auto val="1"/>
        <c:lblAlgn val="ctr"/>
        <c:lblOffset val="100"/>
        <c:noMultiLvlLbl val="0"/>
      </c:catAx>
      <c:valAx>
        <c:axId val="123918208"/>
        <c:scaling>
          <c:orientation val="minMax"/>
        </c:scaling>
        <c:delete val="0"/>
        <c:axPos val="l"/>
        <c:majorGridlines/>
        <c:numFmt formatCode="&quot;$&quot;#,##0" sourceLinked="0"/>
        <c:majorTickMark val="out"/>
        <c:minorTickMark val="none"/>
        <c:tickLblPos val="nextTo"/>
        <c:crossAx val="1239166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9073961908607"/>
          <c:y val="7.8840985750948792E-2"/>
          <c:w val="0.87819772528433948"/>
          <c:h val="0.75458533365419134"/>
        </c:manualLayout>
      </c:layout>
      <c:lineChart>
        <c:grouping val="standard"/>
        <c:varyColors val="0"/>
        <c:ser>
          <c:idx val="0"/>
          <c:order val="0"/>
          <c:tx>
            <c:strRef>
              <c:f>Other!$A$39</c:f>
              <c:strCache>
                <c:ptCount val="1"/>
                <c:pt idx="0">
                  <c:v>Rural Operating</c:v>
                </c:pt>
              </c:strCache>
            </c:strRef>
          </c:tx>
          <c:marker>
            <c:symbol val="none"/>
          </c:marker>
          <c:cat>
            <c:numRef>
              <c:f>Other!$B$38:$L$38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Other!$B$39:$L$39</c:f>
              <c:numCache>
                <c:formatCode>General</c:formatCode>
                <c:ptCount val="11"/>
                <c:pt idx="0">
                  <c:v>617.0924027113997</c:v>
                </c:pt>
                <c:pt idx="1">
                  <c:v>596.2405987370754</c:v>
                </c:pt>
                <c:pt idx="2">
                  <c:v>704.27823012634622</c:v>
                </c:pt>
                <c:pt idx="3">
                  <c:v>685.4964003213048</c:v>
                </c:pt>
                <c:pt idx="4">
                  <c:v>683.45178684878476</c:v>
                </c:pt>
                <c:pt idx="5">
                  <c:v>698.10518879504457</c:v>
                </c:pt>
                <c:pt idx="6">
                  <c:v>700.54845033498054</c:v>
                </c:pt>
                <c:pt idx="7">
                  <c:v>700.7394126023562</c:v>
                </c:pt>
                <c:pt idx="8">
                  <c:v>717.74533745606539</c:v>
                </c:pt>
                <c:pt idx="9">
                  <c:v>717.58143658411598</c:v>
                </c:pt>
                <c:pt idx="10">
                  <c:v>721.77152789293245</c:v>
                </c:pt>
              </c:numCache>
            </c:numRef>
          </c:val>
          <c:smooth val="0"/>
          <c:extLst xmlns:c16r2="http://schemas.microsoft.com/office/drawing/2015/06/chart">
            <c:ext xmlns:c16="http://schemas.microsoft.com/office/drawing/2014/chart" uri="{C3380CC4-5D6E-409C-BE32-E72D297353CC}">
              <c16:uniqueId val="{00000000-DD99-464E-B621-BEBA05820B87}"/>
            </c:ext>
          </c:extLst>
        </c:ser>
        <c:ser>
          <c:idx val="1"/>
          <c:order val="1"/>
          <c:tx>
            <c:strRef>
              <c:f>Other!$A$40</c:f>
              <c:strCache>
                <c:ptCount val="1"/>
                <c:pt idx="0">
                  <c:v>Rural Capital</c:v>
                </c:pt>
              </c:strCache>
            </c:strRef>
          </c:tx>
          <c:spPr>
            <a:ln>
              <a:solidFill>
                <a:schemeClr val="bg2"/>
              </a:solidFill>
            </a:ln>
          </c:spPr>
          <c:marker>
            <c:symbol val="none"/>
          </c:marker>
          <c:cat>
            <c:numRef>
              <c:f>Other!$B$38:$L$38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Other!$B$40:$L$40</c:f>
              <c:numCache>
                <c:formatCode>General</c:formatCode>
                <c:ptCount val="11"/>
                <c:pt idx="0">
                  <c:v>244.25199692552172</c:v>
                </c:pt>
                <c:pt idx="1">
                  <c:v>226.98308361291294</c:v>
                </c:pt>
                <c:pt idx="2">
                  <c:v>238.52439756504782</c:v>
                </c:pt>
                <c:pt idx="3">
                  <c:v>933.01505484270706</c:v>
                </c:pt>
                <c:pt idx="4">
                  <c:v>814.85557303295843</c:v>
                </c:pt>
                <c:pt idx="5">
                  <c:v>506.83092648502577</c:v>
                </c:pt>
                <c:pt idx="6">
                  <c:v>127.54226867415275</c:v>
                </c:pt>
                <c:pt idx="7">
                  <c:v>414.33847231284892</c:v>
                </c:pt>
                <c:pt idx="8">
                  <c:v>188.02113035555254</c:v>
                </c:pt>
                <c:pt idx="9">
                  <c:v>211.30909568678854</c:v>
                </c:pt>
                <c:pt idx="10">
                  <c:v>284.5139914216328</c:v>
                </c:pt>
              </c:numCache>
            </c:numRef>
          </c:val>
          <c:smooth val="0"/>
          <c:extLst xmlns:c16r2="http://schemas.microsoft.com/office/drawing/2015/06/chart">
            <c:ext xmlns:c16="http://schemas.microsoft.com/office/drawing/2014/chart" uri="{C3380CC4-5D6E-409C-BE32-E72D297353CC}">
              <c16:uniqueId val="{00000001-DD99-464E-B621-BEBA05820B87}"/>
            </c:ext>
          </c:extLst>
        </c:ser>
        <c:ser>
          <c:idx val="2"/>
          <c:order val="2"/>
          <c:tx>
            <c:strRef>
              <c:f>Other!$A$41</c:f>
              <c:strCache>
                <c:ptCount val="1"/>
                <c:pt idx="0">
                  <c:v>Urban Operating</c:v>
                </c:pt>
              </c:strCache>
            </c:strRef>
          </c:tx>
          <c:spPr>
            <a:ln>
              <a:solidFill>
                <a:schemeClr val="accent2">
                  <a:lumMod val="75000"/>
                </a:schemeClr>
              </a:solidFill>
            </a:ln>
          </c:spPr>
          <c:marker>
            <c:symbol val="none"/>
          </c:marker>
          <c:cat>
            <c:numRef>
              <c:f>Other!$B$38:$L$38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Other!$B$41:$L$41</c:f>
              <c:numCache>
                <c:formatCode>General</c:formatCode>
                <c:ptCount val="11"/>
                <c:pt idx="0">
                  <c:v>1264.2911735553919</c:v>
                </c:pt>
                <c:pt idx="1">
                  <c:v>1204.399857447306</c:v>
                </c:pt>
                <c:pt idx="2">
                  <c:v>1402.8304600751799</c:v>
                </c:pt>
                <c:pt idx="3">
                  <c:v>1133.0113040066497</c:v>
                </c:pt>
                <c:pt idx="4">
                  <c:v>1104.5905183809202</c:v>
                </c:pt>
                <c:pt idx="5">
                  <c:v>1095.117223382744</c:v>
                </c:pt>
                <c:pt idx="6">
                  <c:v>1070.8045830412404</c:v>
                </c:pt>
                <c:pt idx="7">
                  <c:v>1070.3268004257536</c:v>
                </c:pt>
                <c:pt idx="8">
                  <c:v>1052.9206289697397</c:v>
                </c:pt>
                <c:pt idx="9">
                  <c:v>1037.8856563580064</c:v>
                </c:pt>
                <c:pt idx="10">
                  <c:v>1017.2307106833217</c:v>
                </c:pt>
              </c:numCache>
            </c:numRef>
          </c:val>
          <c:smooth val="0"/>
          <c:extLst xmlns:c16r2="http://schemas.microsoft.com/office/drawing/2015/06/chart">
            <c:ext xmlns:c16="http://schemas.microsoft.com/office/drawing/2014/chart" uri="{C3380CC4-5D6E-409C-BE32-E72D297353CC}">
              <c16:uniqueId val="{00000002-DD99-464E-B621-BEBA05820B87}"/>
            </c:ext>
          </c:extLst>
        </c:ser>
        <c:ser>
          <c:idx val="3"/>
          <c:order val="3"/>
          <c:tx>
            <c:strRef>
              <c:f>Other!$A$42</c:f>
              <c:strCache>
                <c:ptCount val="1"/>
                <c:pt idx="0">
                  <c:v>Urban Capital</c:v>
                </c:pt>
              </c:strCache>
            </c:strRef>
          </c:tx>
          <c:spPr>
            <a:ln>
              <a:solidFill>
                <a:schemeClr val="accent2"/>
              </a:solidFill>
            </a:ln>
          </c:spPr>
          <c:marker>
            <c:symbol val="none"/>
          </c:marker>
          <c:cat>
            <c:numRef>
              <c:f>Other!$B$38:$L$38</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Other!$B$42:$L$42</c:f>
              <c:numCache>
                <c:formatCode>General</c:formatCode>
                <c:ptCount val="11"/>
                <c:pt idx="0">
                  <c:v>636.25668490343639</c:v>
                </c:pt>
                <c:pt idx="1">
                  <c:v>598.1699031609968</c:v>
                </c:pt>
                <c:pt idx="2">
                  <c:v>567.95586572195305</c:v>
                </c:pt>
                <c:pt idx="3">
                  <c:v>512.52394584837566</c:v>
                </c:pt>
                <c:pt idx="4">
                  <c:v>483.75512529771549</c:v>
                </c:pt>
                <c:pt idx="5">
                  <c:v>522.61205802662835</c:v>
                </c:pt>
                <c:pt idx="6">
                  <c:v>515.80260927910706</c:v>
                </c:pt>
                <c:pt idx="7">
                  <c:v>567.72442024553629</c:v>
                </c:pt>
                <c:pt idx="8">
                  <c:v>444.96599416737189</c:v>
                </c:pt>
                <c:pt idx="9">
                  <c:v>332.32541819183803</c:v>
                </c:pt>
                <c:pt idx="10">
                  <c:v>266.3012924088701</c:v>
                </c:pt>
              </c:numCache>
            </c:numRef>
          </c:val>
          <c:smooth val="0"/>
          <c:extLst xmlns:c16r2="http://schemas.microsoft.com/office/drawing/2015/06/chart">
            <c:ext xmlns:c16="http://schemas.microsoft.com/office/drawing/2014/chart" uri="{C3380CC4-5D6E-409C-BE32-E72D297353CC}">
              <c16:uniqueId val="{00000003-DD99-464E-B621-BEBA05820B87}"/>
            </c:ext>
          </c:extLst>
        </c:ser>
        <c:dLbls>
          <c:showLegendKey val="0"/>
          <c:showVal val="0"/>
          <c:showCatName val="0"/>
          <c:showSerName val="0"/>
          <c:showPercent val="0"/>
          <c:showBubbleSize val="0"/>
        </c:dLbls>
        <c:marker val="1"/>
        <c:smooth val="0"/>
        <c:axId val="124413440"/>
        <c:axId val="124414976"/>
      </c:lineChart>
      <c:catAx>
        <c:axId val="124413440"/>
        <c:scaling>
          <c:orientation val="minMax"/>
        </c:scaling>
        <c:delete val="0"/>
        <c:axPos val="b"/>
        <c:numFmt formatCode="General" sourceLinked="1"/>
        <c:majorTickMark val="out"/>
        <c:minorTickMark val="none"/>
        <c:tickLblPos val="nextTo"/>
        <c:crossAx val="124414976"/>
        <c:crosses val="autoZero"/>
        <c:auto val="1"/>
        <c:lblAlgn val="ctr"/>
        <c:lblOffset val="100"/>
        <c:noMultiLvlLbl val="0"/>
      </c:catAx>
      <c:valAx>
        <c:axId val="124414976"/>
        <c:scaling>
          <c:orientation val="minMax"/>
        </c:scaling>
        <c:delete val="0"/>
        <c:axPos val="l"/>
        <c:majorGridlines/>
        <c:numFmt formatCode="&quot;$&quot;#,##0" sourceLinked="0"/>
        <c:majorTickMark val="out"/>
        <c:minorTickMark val="none"/>
        <c:tickLblPos val="nextTo"/>
        <c:crossAx val="12441344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16573550538947E-2"/>
          <c:y val="4.7166489211908989E-2"/>
          <c:w val="0.90154754803531967"/>
          <c:h val="0.88684144036051771"/>
        </c:manualLayout>
      </c:layout>
      <c:lineChart>
        <c:grouping val="standard"/>
        <c:varyColors val="0"/>
        <c:ser>
          <c:idx val="0"/>
          <c:order val="0"/>
          <c:tx>
            <c:strRef>
              <c:f>Ratios!$A$341</c:f>
              <c:strCache>
                <c:ptCount val="1"/>
                <c:pt idx="0">
                  <c:v>Ashburton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Ratios!$B$341:$K$341</c:f>
              <c:numCache>
                <c:formatCode>0%</c:formatCode>
                <c:ptCount val="10"/>
                <c:pt idx="0">
                  <c:v>0.58656926194678694</c:v>
                </c:pt>
                <c:pt idx="1">
                  <c:v>0.58269910301712424</c:v>
                </c:pt>
                <c:pt idx="2">
                  <c:v>0.86136573463466104</c:v>
                </c:pt>
                <c:pt idx="3">
                  <c:v>0.7200074428990092</c:v>
                </c:pt>
                <c:pt idx="4">
                  <c:v>0.65317630152606176</c:v>
                </c:pt>
                <c:pt idx="5">
                  <c:v>0.55946189161569793</c:v>
                </c:pt>
                <c:pt idx="6">
                  <c:v>0.4483237797463957</c:v>
                </c:pt>
                <c:pt idx="7">
                  <c:v>0.38722311675877974</c:v>
                </c:pt>
                <c:pt idx="8">
                  <c:v>0.29008859279708166</c:v>
                </c:pt>
                <c:pt idx="9">
                  <c:v>0.27980821422109642</c:v>
                </c:pt>
              </c:numCache>
            </c:numRef>
          </c:val>
          <c:smooth val="0"/>
          <c:extLst xmlns:c16r2="http://schemas.microsoft.com/office/drawing/2015/06/chart">
            <c:ext xmlns:c16="http://schemas.microsoft.com/office/drawing/2014/chart" uri="{C3380CC4-5D6E-409C-BE32-E72D297353CC}">
              <c16:uniqueId val="{00000000-7C85-4099-A8AE-E2DBC974CAF2}"/>
            </c:ext>
          </c:extLst>
        </c:ser>
        <c:ser>
          <c:idx val="1"/>
          <c:order val="1"/>
          <c:tx>
            <c:strRef>
              <c:f>Ratios!$A$342</c:f>
              <c:strCache>
                <c:ptCount val="1"/>
                <c:pt idx="0">
                  <c:v>Bay of Plenty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Ratios!$B$342:$K$342</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7C85-4099-A8AE-E2DBC974CAF2}"/>
            </c:ext>
          </c:extLst>
        </c:ser>
        <c:ser>
          <c:idx val="2"/>
          <c:order val="2"/>
          <c:tx>
            <c:strRef>
              <c:f>Ratios!$A$343</c:f>
              <c:strCache>
                <c:ptCount val="1"/>
                <c:pt idx="0">
                  <c:v>Buller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Ratios!$B$343:$K$343</c:f>
              <c:numCache>
                <c:formatCode>0%</c:formatCode>
                <c:ptCount val="10"/>
                <c:pt idx="0">
                  <c:v>0.62635756056808689</c:v>
                </c:pt>
                <c:pt idx="1">
                  <c:v>0.67709483498957179</c:v>
                </c:pt>
                <c:pt idx="2">
                  <c:v>0.61385310356366074</c:v>
                </c:pt>
                <c:pt idx="3">
                  <c:v>0.65198129460989418</c:v>
                </c:pt>
                <c:pt idx="4">
                  <c:v>0.64896944422166969</c:v>
                </c:pt>
                <c:pt idx="5">
                  <c:v>0.56707838110774489</c:v>
                </c:pt>
                <c:pt idx="6">
                  <c:v>0.52803417499427874</c:v>
                </c:pt>
                <c:pt idx="7">
                  <c:v>0.50592960254612962</c:v>
                </c:pt>
                <c:pt idx="8">
                  <c:v>0.42384539796921061</c:v>
                </c:pt>
                <c:pt idx="9">
                  <c:v>0.39824930447173779</c:v>
                </c:pt>
              </c:numCache>
            </c:numRef>
          </c:val>
          <c:smooth val="0"/>
          <c:extLst xmlns:c16r2="http://schemas.microsoft.com/office/drawing/2015/06/chart">
            <c:ext xmlns:c16="http://schemas.microsoft.com/office/drawing/2014/chart" uri="{C3380CC4-5D6E-409C-BE32-E72D297353CC}">
              <c16:uniqueId val="{00000002-7C85-4099-A8AE-E2DBC974CAF2}"/>
            </c:ext>
          </c:extLst>
        </c:ser>
        <c:ser>
          <c:idx val="3"/>
          <c:order val="3"/>
          <c:tx>
            <c:strRef>
              <c:f>Ratios!$A$344</c:f>
              <c:strCache>
                <c:ptCount val="1"/>
                <c:pt idx="0">
                  <c:v>Canterbury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Ratios!$B$344:$K$344</c:f>
              <c:numCache>
                <c:formatCode>0%</c:formatCode>
                <c:ptCount val="10"/>
                <c:pt idx="0">
                  <c:v>5.9886243131206017E-2</c:v>
                </c:pt>
                <c:pt idx="1">
                  <c:v>7.5997806274301985E-2</c:v>
                </c:pt>
                <c:pt idx="2">
                  <c:v>6.4703552092961844E-2</c:v>
                </c:pt>
                <c:pt idx="3">
                  <c:v>4.8314821132241295E-2</c:v>
                </c:pt>
                <c:pt idx="4">
                  <c:v>3.3646291750311745E-2</c:v>
                </c:pt>
                <c:pt idx="5">
                  <c:v>1.9117023531905874E-2</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3-7C85-4099-A8AE-E2DBC974CAF2}"/>
            </c:ext>
          </c:extLst>
        </c:ser>
        <c:ser>
          <c:idx val="4"/>
          <c:order val="4"/>
          <c:tx>
            <c:strRef>
              <c:f>Ratios!$A$345</c:f>
              <c:strCache>
                <c:ptCount val="1"/>
                <c:pt idx="0">
                  <c:v>Carterton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Ratios!$B$345:$K$345</c:f>
              <c:numCache>
                <c:formatCode>0%</c:formatCode>
                <c:ptCount val="10"/>
                <c:pt idx="0">
                  <c:v>0.29484297574610047</c:v>
                </c:pt>
                <c:pt idx="1">
                  <c:v>0.23215933655287613</c:v>
                </c:pt>
                <c:pt idx="2">
                  <c:v>0.14780149089224487</c:v>
                </c:pt>
                <c:pt idx="3">
                  <c:v>2.6732798435988095E-2</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4-7C85-4099-A8AE-E2DBC974CAF2}"/>
            </c:ext>
          </c:extLst>
        </c:ser>
        <c:ser>
          <c:idx val="5"/>
          <c:order val="5"/>
          <c:tx>
            <c:strRef>
              <c:f>Ratios!$A$346</c:f>
              <c:strCache>
                <c:ptCount val="1"/>
                <c:pt idx="0">
                  <c:v>Central Otago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Ratios!$B$346:$K$346</c:f>
              <c:numCache>
                <c:formatCode>0%</c:formatCode>
                <c:ptCount val="10"/>
                <c:pt idx="0">
                  <c:v>0</c:v>
                </c:pt>
                <c:pt idx="1">
                  <c:v>0.16781719912238455</c:v>
                </c:pt>
                <c:pt idx="2">
                  <c:v>0.35738065970088095</c:v>
                </c:pt>
                <c:pt idx="3">
                  <c:v>0.39276234079341499</c:v>
                </c:pt>
                <c:pt idx="4">
                  <c:v>0.37159752205744323</c:v>
                </c:pt>
                <c:pt idx="5">
                  <c:v>0.34438072876687587</c:v>
                </c:pt>
                <c:pt idx="6">
                  <c:v>0.28388136686009025</c:v>
                </c:pt>
                <c:pt idx="7">
                  <c:v>0.24630704028309261</c:v>
                </c:pt>
                <c:pt idx="8">
                  <c:v>0.17983817117718684</c:v>
                </c:pt>
                <c:pt idx="9">
                  <c:v>0.34198470427644495</c:v>
                </c:pt>
              </c:numCache>
            </c:numRef>
          </c:val>
          <c:smooth val="0"/>
          <c:extLst xmlns:c16r2="http://schemas.microsoft.com/office/drawing/2015/06/chart">
            <c:ext xmlns:c16="http://schemas.microsoft.com/office/drawing/2014/chart" uri="{C3380CC4-5D6E-409C-BE32-E72D297353CC}">
              <c16:uniqueId val="{00000005-7C85-4099-A8AE-E2DBC974CAF2}"/>
            </c:ext>
          </c:extLst>
        </c:ser>
        <c:ser>
          <c:idx val="6"/>
          <c:order val="6"/>
          <c:tx>
            <c:strRef>
              <c:f>Ratios!$A$347</c:f>
              <c:strCache>
                <c:ptCount val="1"/>
                <c:pt idx="0">
                  <c:v>Chatham Islands</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Ratios!$B$347:$K$347</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6-7C85-4099-A8AE-E2DBC974CAF2}"/>
            </c:ext>
          </c:extLst>
        </c:ser>
        <c:ser>
          <c:idx val="7"/>
          <c:order val="7"/>
          <c:tx>
            <c:strRef>
              <c:f>Ratios!$A$348</c:f>
              <c:strCache>
                <c:ptCount val="1"/>
                <c:pt idx="0">
                  <c:v>Christchurch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Ratios!$B$348:$K$348</c:f>
              <c:numCache>
                <c:formatCode>0%</c:formatCode>
                <c:ptCount val="10"/>
                <c:pt idx="0">
                  <c:v>1.4520211262832445</c:v>
                </c:pt>
                <c:pt idx="1">
                  <c:v>1.759552930268605</c:v>
                </c:pt>
                <c:pt idx="2">
                  <c:v>1.455050237730096</c:v>
                </c:pt>
                <c:pt idx="3">
                  <c:v>2.2950513788704812</c:v>
                </c:pt>
                <c:pt idx="4">
                  <c:v>2.4385142318821074</c:v>
                </c:pt>
                <c:pt idx="5">
                  <c:v>2.3743238729489624</c:v>
                </c:pt>
                <c:pt idx="6">
                  <c:v>2.2235906102684946</c:v>
                </c:pt>
                <c:pt idx="7">
                  <c:v>2.1616470457482491</c:v>
                </c:pt>
                <c:pt idx="8">
                  <c:v>2.1305726432395176</c:v>
                </c:pt>
                <c:pt idx="9">
                  <c:v>2.0563616293783484</c:v>
                </c:pt>
              </c:numCache>
            </c:numRef>
          </c:val>
          <c:smooth val="0"/>
          <c:extLst xmlns:c16r2="http://schemas.microsoft.com/office/drawing/2015/06/chart">
            <c:ext xmlns:c16="http://schemas.microsoft.com/office/drawing/2014/chart" uri="{C3380CC4-5D6E-409C-BE32-E72D297353CC}">
              <c16:uniqueId val="{00000007-7C85-4099-A8AE-E2DBC974CAF2}"/>
            </c:ext>
          </c:extLst>
        </c:ser>
        <c:ser>
          <c:idx val="8"/>
          <c:order val="8"/>
          <c:tx>
            <c:strRef>
              <c:f>Ratios!$A$349</c:f>
              <c:strCache>
                <c:ptCount val="1"/>
                <c:pt idx="0">
                  <c:v>Clutha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Ratios!$B$349:$K$349</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8-7C85-4099-A8AE-E2DBC974CAF2}"/>
            </c:ext>
          </c:extLst>
        </c:ser>
        <c:ser>
          <c:idx val="9"/>
          <c:order val="9"/>
          <c:tx>
            <c:strRef>
              <c:f>Ratios!$A$350</c:f>
              <c:strCache>
                <c:ptCount val="1"/>
                <c:pt idx="0">
                  <c:v>Far North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Ratios!$B$350:$K$350</c:f>
              <c:numCache>
                <c:formatCode>0%</c:formatCode>
                <c:ptCount val="10"/>
                <c:pt idx="0">
                  <c:v>0.71025546156304131</c:v>
                </c:pt>
                <c:pt idx="1">
                  <c:v>0.77082024321766307</c:v>
                </c:pt>
                <c:pt idx="2">
                  <c:v>0.91832522602002409</c:v>
                </c:pt>
                <c:pt idx="3">
                  <c:v>0.96618443241324226</c:v>
                </c:pt>
                <c:pt idx="4">
                  <c:v>0.9639945276110492</c:v>
                </c:pt>
                <c:pt idx="5">
                  <c:v>0.92378489559268473</c:v>
                </c:pt>
                <c:pt idx="6">
                  <c:v>0.8661642825115351</c:v>
                </c:pt>
                <c:pt idx="7">
                  <c:v>0.76018557983216761</c:v>
                </c:pt>
                <c:pt idx="8">
                  <c:v>0.65880429228410831</c:v>
                </c:pt>
                <c:pt idx="9">
                  <c:v>0.5951321223786038</c:v>
                </c:pt>
              </c:numCache>
            </c:numRef>
          </c:val>
          <c:smooth val="0"/>
          <c:extLst xmlns:c16r2="http://schemas.microsoft.com/office/drawing/2015/06/chart">
            <c:ext xmlns:c16="http://schemas.microsoft.com/office/drawing/2014/chart" uri="{C3380CC4-5D6E-409C-BE32-E72D297353CC}">
              <c16:uniqueId val="{00000009-7C85-4099-A8AE-E2DBC974CAF2}"/>
            </c:ext>
          </c:extLst>
        </c:ser>
        <c:ser>
          <c:idx val="10"/>
          <c:order val="10"/>
          <c:tx>
            <c:strRef>
              <c:f>Ratios!$A$351</c:f>
              <c:strCache>
                <c:ptCount val="1"/>
                <c:pt idx="0">
                  <c:v>Gore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Ratios!$B$351:$K$351</c:f>
              <c:numCache>
                <c:formatCode>0%</c:formatCode>
                <c:ptCount val="10"/>
                <c:pt idx="0">
                  <c:v>0.5217155266015201</c:v>
                </c:pt>
                <c:pt idx="1">
                  <c:v>0.73753805175038056</c:v>
                </c:pt>
                <c:pt idx="2">
                  <c:v>0.83888072004633962</c:v>
                </c:pt>
                <c:pt idx="3">
                  <c:v>0.85176243360695314</c:v>
                </c:pt>
                <c:pt idx="4">
                  <c:v>0.86761779772236569</c:v>
                </c:pt>
                <c:pt idx="5">
                  <c:v>0.84880074927719185</c:v>
                </c:pt>
                <c:pt idx="6">
                  <c:v>0.77259684361549497</c:v>
                </c:pt>
                <c:pt idx="7">
                  <c:v>0.7216179601316044</c:v>
                </c:pt>
                <c:pt idx="8">
                  <c:v>0.65177049801174025</c:v>
                </c:pt>
                <c:pt idx="9">
                  <c:v>0.60067337575847268</c:v>
                </c:pt>
              </c:numCache>
            </c:numRef>
          </c:val>
          <c:smooth val="0"/>
          <c:extLst xmlns:c16r2="http://schemas.microsoft.com/office/drawing/2015/06/chart">
            <c:ext xmlns:c16="http://schemas.microsoft.com/office/drawing/2014/chart" uri="{C3380CC4-5D6E-409C-BE32-E72D297353CC}">
              <c16:uniqueId val="{0000000A-7C85-4099-A8AE-E2DBC974CAF2}"/>
            </c:ext>
          </c:extLst>
        </c:ser>
        <c:ser>
          <c:idx val="11"/>
          <c:order val="11"/>
          <c:tx>
            <c:strRef>
              <c:f>Ratios!$A$352</c:f>
              <c:strCache>
                <c:ptCount val="1"/>
                <c:pt idx="0">
                  <c:v>Grey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Ratios!$B$352:$K$352</c:f>
              <c:numCache>
                <c:formatCode>0%</c:formatCode>
                <c:ptCount val="10"/>
                <c:pt idx="0">
                  <c:v>0.61449341208541575</c:v>
                </c:pt>
                <c:pt idx="1">
                  <c:v>0.93744393744393739</c:v>
                </c:pt>
                <c:pt idx="2">
                  <c:v>0.90860317339522845</c:v>
                </c:pt>
                <c:pt idx="3">
                  <c:v>0.83709468223086902</c:v>
                </c:pt>
                <c:pt idx="4">
                  <c:v>0.75580937376920043</c:v>
                </c:pt>
                <c:pt idx="5">
                  <c:v>0.66410434782608696</c:v>
                </c:pt>
                <c:pt idx="6">
                  <c:v>0.57701087686316632</c:v>
                </c:pt>
                <c:pt idx="7">
                  <c:v>0.49085020242914978</c:v>
                </c:pt>
                <c:pt idx="8">
                  <c:v>0.40663417701619242</c:v>
                </c:pt>
                <c:pt idx="9">
                  <c:v>0.30628883164115778</c:v>
                </c:pt>
              </c:numCache>
            </c:numRef>
          </c:val>
          <c:smooth val="0"/>
          <c:extLst xmlns:c16r2="http://schemas.microsoft.com/office/drawing/2015/06/chart">
            <c:ext xmlns:c16="http://schemas.microsoft.com/office/drawing/2014/chart" uri="{C3380CC4-5D6E-409C-BE32-E72D297353CC}">
              <c16:uniqueId val="{0000000B-7C85-4099-A8AE-E2DBC974CAF2}"/>
            </c:ext>
          </c:extLst>
        </c:ser>
        <c:ser>
          <c:idx val="12"/>
          <c:order val="12"/>
          <c:tx>
            <c:strRef>
              <c:f>Ratios!$A$353</c:f>
              <c:strCache>
                <c:ptCount val="1"/>
                <c:pt idx="0">
                  <c:v>Hastings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Ratios!$B$353:$K$353</c:f>
              <c:numCache>
                <c:formatCode>0%</c:formatCode>
                <c:ptCount val="10"/>
                <c:pt idx="0">
                  <c:v>0.77241682992145799</c:v>
                </c:pt>
                <c:pt idx="1">
                  <c:v>0.90389462041956015</c:v>
                </c:pt>
                <c:pt idx="2">
                  <c:v>0.90908839779005524</c:v>
                </c:pt>
                <c:pt idx="3">
                  <c:v>0.85704853675945758</c:v>
                </c:pt>
                <c:pt idx="4">
                  <c:v>0.80463587614599552</c:v>
                </c:pt>
                <c:pt idx="5">
                  <c:v>0.76767215112736131</c:v>
                </c:pt>
                <c:pt idx="6">
                  <c:v>0.75685896485243953</c:v>
                </c:pt>
                <c:pt idx="7">
                  <c:v>0.73396636485391886</c:v>
                </c:pt>
                <c:pt idx="8">
                  <c:v>0.69934788197988329</c:v>
                </c:pt>
                <c:pt idx="9">
                  <c:v>0.62824109688221186</c:v>
                </c:pt>
              </c:numCache>
            </c:numRef>
          </c:val>
          <c:smooth val="0"/>
          <c:extLst xmlns:c16r2="http://schemas.microsoft.com/office/drawing/2015/06/chart">
            <c:ext xmlns:c16="http://schemas.microsoft.com/office/drawing/2014/chart" uri="{C3380CC4-5D6E-409C-BE32-E72D297353CC}">
              <c16:uniqueId val="{0000000C-7C85-4099-A8AE-E2DBC974CAF2}"/>
            </c:ext>
          </c:extLst>
        </c:ser>
        <c:ser>
          <c:idx val="13"/>
          <c:order val="13"/>
          <c:tx>
            <c:strRef>
              <c:f>Ratios!$A$354</c:f>
              <c:strCache>
                <c:ptCount val="1"/>
                <c:pt idx="0">
                  <c:v>Hauraki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Ratios!$B$354:$K$354</c:f>
              <c:numCache>
                <c:formatCode>0%</c:formatCode>
                <c:ptCount val="10"/>
                <c:pt idx="0">
                  <c:v>1.3449359582542695</c:v>
                </c:pt>
                <c:pt idx="1">
                  <c:v>1.2224771276154676</c:v>
                </c:pt>
                <c:pt idx="2">
                  <c:v>1.2843750909779033</c:v>
                </c:pt>
                <c:pt idx="3">
                  <c:v>1.1621553108188041</c:v>
                </c:pt>
                <c:pt idx="4">
                  <c:v>1.0209895462755185</c:v>
                </c:pt>
                <c:pt idx="5">
                  <c:v>0.87803455952507159</c:v>
                </c:pt>
                <c:pt idx="6">
                  <c:v>0.77005223746172258</c:v>
                </c:pt>
                <c:pt idx="7">
                  <c:v>0.64473717037147915</c:v>
                </c:pt>
                <c:pt idx="8">
                  <c:v>0.50452149523671352</c:v>
                </c:pt>
                <c:pt idx="9">
                  <c:v>0.36330404217926188</c:v>
                </c:pt>
              </c:numCache>
            </c:numRef>
          </c:val>
          <c:smooth val="0"/>
          <c:extLst xmlns:c16r2="http://schemas.microsoft.com/office/drawing/2015/06/chart">
            <c:ext xmlns:c16="http://schemas.microsoft.com/office/drawing/2014/chart" uri="{C3380CC4-5D6E-409C-BE32-E72D297353CC}">
              <c16:uniqueId val="{0000000D-7C85-4099-A8AE-E2DBC974CAF2}"/>
            </c:ext>
          </c:extLst>
        </c:ser>
        <c:ser>
          <c:idx val="14"/>
          <c:order val="14"/>
          <c:tx>
            <c:strRef>
              <c:f>Ratios!$A$355</c:f>
              <c:strCache>
                <c:ptCount val="1"/>
                <c:pt idx="0">
                  <c:v>Hawke's Bay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Ratios!$B$355:$K$355</c:f>
              <c:numCache>
                <c:formatCode>0%</c:formatCode>
                <c:ptCount val="10"/>
                <c:pt idx="0">
                  <c:v>0</c:v>
                </c:pt>
                <c:pt idx="1">
                  <c:v>0</c:v>
                </c:pt>
                <c:pt idx="2">
                  <c:v>0</c:v>
                </c:pt>
                <c:pt idx="3">
                  <c:v>0</c:v>
                </c:pt>
                <c:pt idx="4">
                  <c:v>0.10406164344175883</c:v>
                </c:pt>
                <c:pt idx="5">
                  <c:v>4.2752905143680749E-2</c:v>
                </c:pt>
                <c:pt idx="6">
                  <c:v>1.0855889859448579E-2</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E-7C85-4099-A8AE-E2DBC974CAF2}"/>
            </c:ext>
          </c:extLst>
        </c:ser>
        <c:ser>
          <c:idx val="15"/>
          <c:order val="15"/>
          <c:tx>
            <c:strRef>
              <c:f>Ratios!$A$356</c:f>
              <c:strCache>
                <c:ptCount val="1"/>
                <c:pt idx="0">
                  <c:v>Horowhenua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Ratios!$B$356:$K$356</c:f>
              <c:numCache>
                <c:formatCode>0%</c:formatCode>
                <c:ptCount val="10"/>
                <c:pt idx="0">
                  <c:v>1.4450335656561337</c:v>
                </c:pt>
                <c:pt idx="1">
                  <c:v>1.5815678400196698</c:v>
                </c:pt>
                <c:pt idx="2">
                  <c:v>1.6342199012225731</c:v>
                </c:pt>
                <c:pt idx="3">
                  <c:v>1.6544133279217641</c:v>
                </c:pt>
                <c:pt idx="4">
                  <c:v>1.6888335237809791</c:v>
                </c:pt>
                <c:pt idx="5">
                  <c:v>1.6463794189079788</c:v>
                </c:pt>
                <c:pt idx="6">
                  <c:v>1.5506999328477711</c:v>
                </c:pt>
                <c:pt idx="7">
                  <c:v>1.4362877445215576</c:v>
                </c:pt>
                <c:pt idx="8">
                  <c:v>1.3414946821980249</c:v>
                </c:pt>
                <c:pt idx="9">
                  <c:v>1.2102584300299937</c:v>
                </c:pt>
              </c:numCache>
            </c:numRef>
          </c:val>
          <c:smooth val="0"/>
          <c:extLst xmlns:c16r2="http://schemas.microsoft.com/office/drawing/2015/06/chart">
            <c:ext xmlns:c16="http://schemas.microsoft.com/office/drawing/2014/chart" uri="{C3380CC4-5D6E-409C-BE32-E72D297353CC}">
              <c16:uniqueId val="{0000000F-7C85-4099-A8AE-E2DBC974CAF2}"/>
            </c:ext>
          </c:extLst>
        </c:ser>
        <c:ser>
          <c:idx val="16"/>
          <c:order val="16"/>
          <c:tx>
            <c:strRef>
              <c:f>Ratios!$A$357</c:f>
              <c:strCache>
                <c:ptCount val="1"/>
                <c:pt idx="0">
                  <c:v>Hurunui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Ratios!$B$357:$K$357</c:f>
              <c:numCache>
                <c:formatCode>0%</c:formatCode>
                <c:ptCount val="10"/>
                <c:pt idx="0">
                  <c:v>0.71277447392497717</c:v>
                </c:pt>
                <c:pt idx="1">
                  <c:v>0.82749509697101764</c:v>
                </c:pt>
                <c:pt idx="2">
                  <c:v>0.86054324331362797</c:v>
                </c:pt>
                <c:pt idx="3">
                  <c:v>0.85208865138249401</c:v>
                </c:pt>
                <c:pt idx="4">
                  <c:v>0.76423711879727863</c:v>
                </c:pt>
                <c:pt idx="5">
                  <c:v>0.68445315201106371</c:v>
                </c:pt>
                <c:pt idx="6">
                  <c:v>0.57650888497469399</c:v>
                </c:pt>
                <c:pt idx="7">
                  <c:v>0.4953347555325705</c:v>
                </c:pt>
                <c:pt idx="8">
                  <c:v>0.39093914381354344</c:v>
                </c:pt>
                <c:pt idx="9">
                  <c:v>0.38308337850589252</c:v>
                </c:pt>
              </c:numCache>
            </c:numRef>
          </c:val>
          <c:smooth val="0"/>
          <c:extLst xmlns:c16r2="http://schemas.microsoft.com/office/drawing/2015/06/chart">
            <c:ext xmlns:c16="http://schemas.microsoft.com/office/drawing/2014/chart" uri="{C3380CC4-5D6E-409C-BE32-E72D297353CC}">
              <c16:uniqueId val="{00000010-7C85-4099-A8AE-E2DBC974CAF2}"/>
            </c:ext>
          </c:extLst>
        </c:ser>
        <c:ser>
          <c:idx val="17"/>
          <c:order val="17"/>
          <c:tx>
            <c:strRef>
              <c:f>Ratios!$A$358</c:f>
              <c:strCache>
                <c:ptCount val="1"/>
                <c:pt idx="0">
                  <c:v>Hutt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Ratios!$B$358:$K$358</c:f>
              <c:numCache>
                <c:formatCode>0%</c:formatCode>
                <c:ptCount val="10"/>
                <c:pt idx="0">
                  <c:v>0.93259327535767245</c:v>
                </c:pt>
                <c:pt idx="1">
                  <c:v>0.99224184578875652</c:v>
                </c:pt>
                <c:pt idx="2">
                  <c:v>0.9382889467997203</c:v>
                </c:pt>
                <c:pt idx="3">
                  <c:v>0.85340456748775795</c:v>
                </c:pt>
                <c:pt idx="4">
                  <c:v>0.76515900378523038</c:v>
                </c:pt>
                <c:pt idx="5">
                  <c:v>0.82782781062376831</c:v>
                </c:pt>
                <c:pt idx="6">
                  <c:v>0.88562901195541355</c:v>
                </c:pt>
                <c:pt idx="7">
                  <c:v>0.824351529229578</c:v>
                </c:pt>
                <c:pt idx="8">
                  <c:v>0.75824773641715637</c:v>
                </c:pt>
                <c:pt idx="9">
                  <c:v>0.69024407969186363</c:v>
                </c:pt>
              </c:numCache>
            </c:numRef>
          </c:val>
          <c:smooth val="0"/>
          <c:extLst xmlns:c16r2="http://schemas.microsoft.com/office/drawing/2015/06/chart">
            <c:ext xmlns:c16="http://schemas.microsoft.com/office/drawing/2014/chart" uri="{C3380CC4-5D6E-409C-BE32-E72D297353CC}">
              <c16:uniqueId val="{00000011-7C85-4099-A8AE-E2DBC974CAF2}"/>
            </c:ext>
          </c:extLst>
        </c:ser>
        <c:ser>
          <c:idx val="18"/>
          <c:order val="18"/>
          <c:tx>
            <c:strRef>
              <c:f>Ratios!$A$359</c:f>
              <c:strCache>
                <c:ptCount val="1"/>
                <c:pt idx="0">
                  <c:v>Invercargill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Ratios!$B$359:$K$359</c:f>
              <c:numCache>
                <c:formatCode>0%</c:formatCode>
                <c:ptCount val="10"/>
                <c:pt idx="0">
                  <c:v>0.48553428640659074</c:v>
                </c:pt>
                <c:pt idx="1">
                  <c:v>0.521126430313262</c:v>
                </c:pt>
                <c:pt idx="2">
                  <c:v>0.52014569655544562</c:v>
                </c:pt>
                <c:pt idx="3">
                  <c:v>0.46618242951978617</c:v>
                </c:pt>
                <c:pt idx="4">
                  <c:v>0.4748530236616324</c:v>
                </c:pt>
                <c:pt idx="5">
                  <c:v>0.47000251698968032</c:v>
                </c:pt>
                <c:pt idx="6">
                  <c:v>0.43889018057816009</c:v>
                </c:pt>
                <c:pt idx="7">
                  <c:v>0.41616485019964072</c:v>
                </c:pt>
                <c:pt idx="8">
                  <c:v>0.35641284917209876</c:v>
                </c:pt>
                <c:pt idx="9">
                  <c:v>0.32646764948200607</c:v>
                </c:pt>
              </c:numCache>
            </c:numRef>
          </c:val>
          <c:smooth val="0"/>
          <c:extLst xmlns:c16r2="http://schemas.microsoft.com/office/drawing/2015/06/chart">
            <c:ext xmlns:c16="http://schemas.microsoft.com/office/drawing/2014/chart" uri="{C3380CC4-5D6E-409C-BE32-E72D297353CC}">
              <c16:uniqueId val="{00000012-7C85-4099-A8AE-E2DBC974CAF2}"/>
            </c:ext>
          </c:extLst>
        </c:ser>
        <c:ser>
          <c:idx val="19"/>
          <c:order val="19"/>
          <c:tx>
            <c:strRef>
              <c:f>Ratios!$A$360</c:f>
              <c:strCache>
                <c:ptCount val="1"/>
                <c:pt idx="0">
                  <c:v>Kaikoura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Ratios!$B$360:$K$360</c:f>
              <c:numCache>
                <c:formatCode>0%</c:formatCode>
                <c:ptCount val="10"/>
                <c:pt idx="0">
                  <c:v>0.8982191948765772</c:v>
                </c:pt>
                <c:pt idx="1">
                  <c:v>0.76614638047868944</c:v>
                </c:pt>
                <c:pt idx="2">
                  <c:v>0.8596629603125614</c:v>
                </c:pt>
                <c:pt idx="3">
                  <c:v>0.81582216517827733</c:v>
                </c:pt>
                <c:pt idx="4">
                  <c:v>1.0815178218304313</c:v>
                </c:pt>
                <c:pt idx="5">
                  <c:v>1.1583357879985656</c:v>
                </c:pt>
                <c:pt idx="6">
                  <c:v>1.1319842240318601</c:v>
                </c:pt>
                <c:pt idx="7">
                  <c:v>0.96611525495114192</c:v>
                </c:pt>
                <c:pt idx="8">
                  <c:v>0.84586271645217326</c:v>
                </c:pt>
                <c:pt idx="9">
                  <c:v>0.74422569336979005</c:v>
                </c:pt>
              </c:numCache>
            </c:numRef>
          </c:val>
          <c:smooth val="0"/>
          <c:extLst xmlns:c16r2="http://schemas.microsoft.com/office/drawing/2015/06/chart">
            <c:ext xmlns:c16="http://schemas.microsoft.com/office/drawing/2014/chart" uri="{C3380CC4-5D6E-409C-BE32-E72D297353CC}">
              <c16:uniqueId val="{00000013-7C85-4099-A8AE-E2DBC974CAF2}"/>
            </c:ext>
          </c:extLst>
        </c:ser>
        <c:ser>
          <c:idx val="20"/>
          <c:order val="20"/>
          <c:tx>
            <c:strRef>
              <c:f>Ratios!$A$361</c:f>
              <c:strCache>
                <c:ptCount val="1"/>
                <c:pt idx="0">
                  <c:v>Kaipara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Ratios!$B$361:$K$361</c:f>
              <c:numCache>
                <c:formatCode>0%</c:formatCode>
                <c:ptCount val="10"/>
                <c:pt idx="0">
                  <c:v>1.5198171389140467</c:v>
                </c:pt>
                <c:pt idx="1">
                  <c:v>1.5008885558291403</c:v>
                </c:pt>
                <c:pt idx="2">
                  <c:v>1.4322820796007689</c:v>
                </c:pt>
                <c:pt idx="3">
                  <c:v>1.263672988483904</c:v>
                </c:pt>
                <c:pt idx="4">
                  <c:v>1.101212078503224</c:v>
                </c:pt>
                <c:pt idx="5">
                  <c:v>1.0884554444626564</c:v>
                </c:pt>
                <c:pt idx="6">
                  <c:v>1.0060814054803777</c:v>
                </c:pt>
                <c:pt idx="7">
                  <c:v>0.93923506660936829</c:v>
                </c:pt>
                <c:pt idx="8">
                  <c:v>0.88790565378665642</c:v>
                </c:pt>
                <c:pt idx="9">
                  <c:v>0.84362543397196865</c:v>
                </c:pt>
              </c:numCache>
            </c:numRef>
          </c:val>
          <c:smooth val="0"/>
          <c:extLst xmlns:c16r2="http://schemas.microsoft.com/office/drawing/2015/06/chart">
            <c:ext xmlns:c16="http://schemas.microsoft.com/office/drawing/2014/chart" uri="{C3380CC4-5D6E-409C-BE32-E72D297353CC}">
              <c16:uniqueId val="{00000014-7C85-4099-A8AE-E2DBC974CAF2}"/>
            </c:ext>
          </c:extLst>
        </c:ser>
        <c:ser>
          <c:idx val="21"/>
          <c:order val="21"/>
          <c:tx>
            <c:strRef>
              <c:f>Ratios!$A$362</c:f>
              <c:strCache>
                <c:ptCount val="1"/>
                <c:pt idx="0">
                  <c:v>Kawerau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Ratios!$B$362:$K$362</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5-7C85-4099-A8AE-E2DBC974CAF2}"/>
            </c:ext>
          </c:extLst>
        </c:ser>
        <c:ser>
          <c:idx val="22"/>
          <c:order val="22"/>
          <c:tx>
            <c:strRef>
              <c:f>Ratios!$A$363</c:f>
              <c:strCache>
                <c:ptCount val="1"/>
                <c:pt idx="0">
                  <c:v>Mackenzie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Ratios!$B$363:$K$363</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6-7C85-4099-A8AE-E2DBC974CAF2}"/>
            </c:ext>
          </c:extLst>
        </c:ser>
        <c:ser>
          <c:idx val="23"/>
          <c:order val="23"/>
          <c:tx>
            <c:strRef>
              <c:f>Ratios!$A$364</c:f>
              <c:strCache>
                <c:ptCount val="1"/>
                <c:pt idx="0">
                  <c:v>Manawatu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Ratios!$B$364:$K$364</c:f>
              <c:numCache>
                <c:formatCode>0%</c:formatCode>
                <c:ptCount val="10"/>
                <c:pt idx="0">
                  <c:v>1.1750464725148269</c:v>
                </c:pt>
                <c:pt idx="1">
                  <c:v>1.2996711162700716</c:v>
                </c:pt>
                <c:pt idx="2">
                  <c:v>1.3446826917135266</c:v>
                </c:pt>
                <c:pt idx="3">
                  <c:v>1.4603320655952234</c:v>
                </c:pt>
                <c:pt idx="4">
                  <c:v>1.4769866954332973</c:v>
                </c:pt>
                <c:pt idx="5">
                  <c:v>1.4945128994994223</c:v>
                </c:pt>
                <c:pt idx="6">
                  <c:v>1.4414889565879665</c:v>
                </c:pt>
                <c:pt idx="7">
                  <c:v>1.3607519911094648</c:v>
                </c:pt>
                <c:pt idx="8">
                  <c:v>1.3546658996530463</c:v>
                </c:pt>
                <c:pt idx="9">
                  <c:v>1.2939303830680426</c:v>
                </c:pt>
              </c:numCache>
            </c:numRef>
          </c:val>
          <c:smooth val="0"/>
          <c:extLst xmlns:c16r2="http://schemas.microsoft.com/office/drawing/2015/06/chart">
            <c:ext xmlns:c16="http://schemas.microsoft.com/office/drawing/2014/chart" uri="{C3380CC4-5D6E-409C-BE32-E72D297353CC}">
              <c16:uniqueId val="{00000017-7C85-4099-A8AE-E2DBC974CAF2}"/>
            </c:ext>
          </c:extLst>
        </c:ser>
        <c:ser>
          <c:idx val="24"/>
          <c:order val="24"/>
          <c:tx>
            <c:strRef>
              <c:f>Ratios!$A$365</c:f>
              <c:strCache>
                <c:ptCount val="1"/>
                <c:pt idx="0">
                  <c:v>Manawatu-Wanganui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Ratios!$B$365:$K$365</c:f>
              <c:numCache>
                <c:formatCode>0%</c:formatCode>
                <c:ptCount val="10"/>
                <c:pt idx="0">
                  <c:v>0.36804104477611943</c:v>
                </c:pt>
                <c:pt idx="1">
                  <c:v>0.37486021427798422</c:v>
                </c:pt>
                <c:pt idx="2">
                  <c:v>0.3634342397810843</c:v>
                </c:pt>
                <c:pt idx="3">
                  <c:v>0.27404597930598529</c:v>
                </c:pt>
                <c:pt idx="4">
                  <c:v>0.1868892114175133</c:v>
                </c:pt>
                <c:pt idx="5">
                  <c:v>0.10267276132431832</c:v>
                </c:pt>
                <c:pt idx="6">
                  <c:v>2.0990387145709818E-2</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8-7C85-4099-A8AE-E2DBC974CAF2}"/>
            </c:ext>
          </c:extLst>
        </c:ser>
        <c:ser>
          <c:idx val="25"/>
          <c:order val="25"/>
          <c:tx>
            <c:strRef>
              <c:f>Ratios!$A$366</c:f>
              <c:strCache>
                <c:ptCount val="1"/>
                <c:pt idx="0">
                  <c:v>Marlborough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Ratios!$B$366:$K$366</c:f>
              <c:numCache>
                <c:formatCode>0%</c:formatCode>
                <c:ptCount val="10"/>
                <c:pt idx="0">
                  <c:v>0.39649767801857583</c:v>
                </c:pt>
                <c:pt idx="1">
                  <c:v>0.49288672622253588</c:v>
                </c:pt>
                <c:pt idx="2">
                  <c:v>0.56773452480011577</c:v>
                </c:pt>
                <c:pt idx="3">
                  <c:v>0.75273710763789559</c:v>
                </c:pt>
                <c:pt idx="4">
                  <c:v>0.82845419065845449</c:v>
                </c:pt>
                <c:pt idx="5">
                  <c:v>0.84196667253605673</c:v>
                </c:pt>
                <c:pt idx="6">
                  <c:v>0.86795427985976592</c:v>
                </c:pt>
                <c:pt idx="7">
                  <c:v>0.794897421594149</c:v>
                </c:pt>
                <c:pt idx="8">
                  <c:v>0.72283934302435338</c:v>
                </c:pt>
                <c:pt idx="9">
                  <c:v>0.65020082377987665</c:v>
                </c:pt>
              </c:numCache>
            </c:numRef>
          </c:val>
          <c:smooth val="0"/>
          <c:extLst xmlns:c16r2="http://schemas.microsoft.com/office/drawing/2015/06/chart">
            <c:ext xmlns:c16="http://schemas.microsoft.com/office/drawing/2014/chart" uri="{C3380CC4-5D6E-409C-BE32-E72D297353CC}">
              <c16:uniqueId val="{00000019-7C85-4099-A8AE-E2DBC974CAF2}"/>
            </c:ext>
          </c:extLst>
        </c:ser>
        <c:ser>
          <c:idx val="26"/>
          <c:order val="26"/>
          <c:tx>
            <c:strRef>
              <c:f>Ratios!$A$367</c:f>
              <c:strCache>
                <c:ptCount val="1"/>
                <c:pt idx="0">
                  <c:v>Masterton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Ratios!$B$367:$K$367</c:f>
              <c:numCache>
                <c:formatCode>0%</c:formatCode>
                <c:ptCount val="10"/>
                <c:pt idx="0">
                  <c:v>0.99196796123699171</c:v>
                </c:pt>
                <c:pt idx="1">
                  <c:v>1.0281602626539008</c:v>
                </c:pt>
                <c:pt idx="2">
                  <c:v>1.0693054862807783</c:v>
                </c:pt>
                <c:pt idx="3">
                  <c:v>1.0608997357042302</c:v>
                </c:pt>
                <c:pt idx="4">
                  <c:v>1.0680201208297944</c:v>
                </c:pt>
                <c:pt idx="5">
                  <c:v>0.9153144315026428</c:v>
                </c:pt>
                <c:pt idx="6">
                  <c:v>0.75502300815701684</c:v>
                </c:pt>
                <c:pt idx="7">
                  <c:v>0.5878631571333276</c:v>
                </c:pt>
                <c:pt idx="8">
                  <c:v>0.41823863036928494</c:v>
                </c:pt>
                <c:pt idx="9">
                  <c:v>0.2569123797589043</c:v>
                </c:pt>
              </c:numCache>
            </c:numRef>
          </c:val>
          <c:smooth val="0"/>
          <c:extLst xmlns:c16r2="http://schemas.microsoft.com/office/drawing/2015/06/chart">
            <c:ext xmlns:c16="http://schemas.microsoft.com/office/drawing/2014/chart" uri="{C3380CC4-5D6E-409C-BE32-E72D297353CC}">
              <c16:uniqueId val="{0000001A-7C85-4099-A8AE-E2DBC974CAF2}"/>
            </c:ext>
          </c:extLst>
        </c:ser>
        <c:ser>
          <c:idx val="27"/>
          <c:order val="27"/>
          <c:tx>
            <c:strRef>
              <c:f>Ratios!$A$368</c:f>
              <c:strCache>
                <c:ptCount val="1"/>
                <c:pt idx="0">
                  <c:v>Matamata-Piako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Ratios!$B$368:$K$368</c:f>
              <c:numCache>
                <c:formatCode>0%</c:formatCode>
                <c:ptCount val="10"/>
                <c:pt idx="0">
                  <c:v>0.75343910693095417</c:v>
                </c:pt>
                <c:pt idx="1">
                  <c:v>0.83462422333815645</c:v>
                </c:pt>
                <c:pt idx="2">
                  <c:v>0.82653228449688632</c:v>
                </c:pt>
                <c:pt idx="3">
                  <c:v>0.77305399893071425</c:v>
                </c:pt>
                <c:pt idx="4">
                  <c:v>0.78064962787745917</c:v>
                </c:pt>
                <c:pt idx="5">
                  <c:v>0.68145906875105056</c:v>
                </c:pt>
                <c:pt idx="6">
                  <c:v>0.58676904042793199</c:v>
                </c:pt>
                <c:pt idx="7">
                  <c:v>0.55303872276616384</c:v>
                </c:pt>
                <c:pt idx="8">
                  <c:v>0.48831182117342153</c:v>
                </c:pt>
                <c:pt idx="9">
                  <c:v>0.40616962315185107</c:v>
                </c:pt>
              </c:numCache>
            </c:numRef>
          </c:val>
          <c:smooth val="0"/>
          <c:extLst xmlns:c16r2="http://schemas.microsoft.com/office/drawing/2015/06/chart">
            <c:ext xmlns:c16="http://schemas.microsoft.com/office/drawing/2014/chart" uri="{C3380CC4-5D6E-409C-BE32-E72D297353CC}">
              <c16:uniqueId val="{0000001B-7C85-4099-A8AE-E2DBC974CAF2}"/>
            </c:ext>
          </c:extLst>
        </c:ser>
        <c:ser>
          <c:idx val="28"/>
          <c:order val="28"/>
          <c:tx>
            <c:strRef>
              <c:f>Ratios!$A$369</c:f>
              <c:strCache>
                <c:ptCount val="1"/>
                <c:pt idx="0">
                  <c:v>Napier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Ratios!$B$369:$K$369</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C-7C85-4099-A8AE-E2DBC974CAF2}"/>
            </c:ext>
          </c:extLst>
        </c:ser>
        <c:ser>
          <c:idx val="29"/>
          <c:order val="29"/>
          <c:tx>
            <c:strRef>
              <c:f>Ratios!$A$370</c:f>
              <c:strCache>
                <c:ptCount val="1"/>
                <c:pt idx="0">
                  <c:v>Northland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Ratios!$B$370:$K$370</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D-7C85-4099-A8AE-E2DBC974CAF2}"/>
            </c:ext>
          </c:extLst>
        </c:ser>
        <c:ser>
          <c:idx val="30"/>
          <c:order val="30"/>
          <c:tx>
            <c:strRef>
              <c:f>Ratios!$A$371</c:f>
              <c:strCache>
                <c:ptCount val="1"/>
                <c:pt idx="0">
                  <c:v>Otago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Ratios!$B$371:$K$371</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E-7C85-4099-A8AE-E2DBC974CAF2}"/>
            </c:ext>
          </c:extLst>
        </c:ser>
        <c:ser>
          <c:idx val="31"/>
          <c:order val="31"/>
          <c:tx>
            <c:strRef>
              <c:f>Ratios!$A$372</c:f>
              <c:strCache>
                <c:ptCount val="1"/>
                <c:pt idx="0">
                  <c:v>Otorohanga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Ratios!$B$372:$K$372</c:f>
              <c:numCache>
                <c:formatCode>0%</c:formatCode>
                <c:ptCount val="10"/>
                <c:pt idx="0">
                  <c:v>0.52462695620526512</c:v>
                </c:pt>
                <c:pt idx="1">
                  <c:v>0.48550259611457908</c:v>
                </c:pt>
                <c:pt idx="2">
                  <c:v>0.42307034057846998</c:v>
                </c:pt>
                <c:pt idx="3">
                  <c:v>0.3265742313805009</c:v>
                </c:pt>
                <c:pt idx="4">
                  <c:v>0.26476492340200741</c:v>
                </c:pt>
                <c:pt idx="5">
                  <c:v>0.17642842514847429</c:v>
                </c:pt>
                <c:pt idx="6">
                  <c:v>6.7988810070936156E-2</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1F-7C85-4099-A8AE-E2DBC974CAF2}"/>
            </c:ext>
          </c:extLst>
        </c:ser>
        <c:ser>
          <c:idx val="32"/>
          <c:order val="32"/>
          <c:tx>
            <c:strRef>
              <c:f>Ratios!$A$373</c:f>
              <c:strCache>
                <c:ptCount val="1"/>
                <c:pt idx="0">
                  <c:v>Palmerston North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Ratios!$B$373:$K$373</c:f>
              <c:numCache>
                <c:formatCode>0%</c:formatCode>
                <c:ptCount val="10"/>
                <c:pt idx="0">
                  <c:v>1.0209190530768406</c:v>
                </c:pt>
                <c:pt idx="1">
                  <c:v>1.0496964642292919</c:v>
                </c:pt>
                <c:pt idx="2">
                  <c:v>1.1914809857491535</c:v>
                </c:pt>
                <c:pt idx="3">
                  <c:v>1.3789771572413578</c:v>
                </c:pt>
                <c:pt idx="4">
                  <c:v>1.3966171797755353</c:v>
                </c:pt>
                <c:pt idx="5">
                  <c:v>1.3974636032757053</c:v>
                </c:pt>
                <c:pt idx="6">
                  <c:v>1.3942972929836857</c:v>
                </c:pt>
                <c:pt idx="7">
                  <c:v>1.4013942850844563</c:v>
                </c:pt>
                <c:pt idx="8">
                  <c:v>1.3462214645321116</c:v>
                </c:pt>
                <c:pt idx="9">
                  <c:v>1.3608218207580589</c:v>
                </c:pt>
              </c:numCache>
            </c:numRef>
          </c:val>
          <c:smooth val="0"/>
          <c:extLst xmlns:c16r2="http://schemas.microsoft.com/office/drawing/2015/06/chart">
            <c:ext xmlns:c16="http://schemas.microsoft.com/office/drawing/2014/chart" uri="{C3380CC4-5D6E-409C-BE32-E72D297353CC}">
              <c16:uniqueId val="{00000020-7C85-4099-A8AE-E2DBC974CAF2}"/>
            </c:ext>
          </c:extLst>
        </c:ser>
        <c:ser>
          <c:idx val="33"/>
          <c:order val="33"/>
          <c:tx>
            <c:strRef>
              <c:f>Ratios!$A$374</c:f>
              <c:strCache>
                <c:ptCount val="1"/>
                <c:pt idx="0">
                  <c:v>Porirua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Ratios!$B$374:$K$374</c:f>
              <c:numCache>
                <c:formatCode>0%</c:formatCode>
                <c:ptCount val="10"/>
                <c:pt idx="0">
                  <c:v>0.82632263380843862</c:v>
                </c:pt>
                <c:pt idx="1">
                  <c:v>0.86600980588117715</c:v>
                </c:pt>
                <c:pt idx="2">
                  <c:v>0.95340948127791136</c:v>
                </c:pt>
                <c:pt idx="3">
                  <c:v>1.1310522707238237</c:v>
                </c:pt>
                <c:pt idx="4">
                  <c:v>1.198743346972265</c:v>
                </c:pt>
                <c:pt idx="5">
                  <c:v>1.164092585006145</c:v>
                </c:pt>
                <c:pt idx="6">
                  <c:v>1.0401585025577429</c:v>
                </c:pt>
                <c:pt idx="7">
                  <c:v>0.96406898459835844</c:v>
                </c:pt>
                <c:pt idx="8">
                  <c:v>0.86742468328931466</c:v>
                </c:pt>
                <c:pt idx="9">
                  <c:v>0.72528819571227376</c:v>
                </c:pt>
              </c:numCache>
            </c:numRef>
          </c:val>
          <c:smooth val="0"/>
          <c:extLst xmlns:c16r2="http://schemas.microsoft.com/office/drawing/2015/06/chart">
            <c:ext xmlns:c16="http://schemas.microsoft.com/office/drawing/2014/chart" uri="{C3380CC4-5D6E-409C-BE32-E72D297353CC}">
              <c16:uniqueId val="{00000021-7C85-4099-A8AE-E2DBC974CAF2}"/>
            </c:ext>
          </c:extLst>
        </c:ser>
        <c:ser>
          <c:idx val="34"/>
          <c:order val="34"/>
          <c:tx>
            <c:strRef>
              <c:f>Ratios!$A$375</c:f>
              <c:strCache>
                <c:ptCount val="1"/>
                <c:pt idx="0">
                  <c:v>Rangitikei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Ratios!$B$375:$K$375</c:f>
              <c:numCache>
                <c:formatCode>0%</c:formatCode>
                <c:ptCount val="10"/>
                <c:pt idx="0">
                  <c:v>0.20235394680606239</c:v>
                </c:pt>
                <c:pt idx="1">
                  <c:v>0.39682190056639394</c:v>
                </c:pt>
                <c:pt idx="2">
                  <c:v>0.51812566697927109</c:v>
                </c:pt>
                <c:pt idx="3">
                  <c:v>0.59605339524085899</c:v>
                </c:pt>
                <c:pt idx="4">
                  <c:v>0.63158384515168431</c:v>
                </c:pt>
                <c:pt idx="5">
                  <c:v>0.58317043096448229</c:v>
                </c:pt>
                <c:pt idx="6">
                  <c:v>0.68846176350125798</c:v>
                </c:pt>
                <c:pt idx="7">
                  <c:v>0.73873588384420374</c:v>
                </c:pt>
                <c:pt idx="8">
                  <c:v>0.68602384135472372</c:v>
                </c:pt>
                <c:pt idx="9">
                  <c:v>0.7180498841187507</c:v>
                </c:pt>
              </c:numCache>
            </c:numRef>
          </c:val>
          <c:smooth val="0"/>
          <c:extLst xmlns:c16r2="http://schemas.microsoft.com/office/drawing/2015/06/chart">
            <c:ext xmlns:c16="http://schemas.microsoft.com/office/drawing/2014/chart" uri="{C3380CC4-5D6E-409C-BE32-E72D297353CC}">
              <c16:uniqueId val="{00000022-7C85-4099-A8AE-E2DBC974CAF2}"/>
            </c:ext>
          </c:extLst>
        </c:ser>
        <c:ser>
          <c:idx val="35"/>
          <c:order val="35"/>
          <c:tx>
            <c:strRef>
              <c:f>Ratios!$A$376</c:f>
              <c:strCache>
                <c:ptCount val="1"/>
                <c:pt idx="0">
                  <c:v>Rotorua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Ratios!$B$376:$K$376</c:f>
              <c:numCache>
                <c:formatCode>0%</c:formatCode>
                <c:ptCount val="10"/>
                <c:pt idx="0">
                  <c:v>1.1390999094972987</c:v>
                </c:pt>
                <c:pt idx="1">
                  <c:v>1.1515241756456764</c:v>
                </c:pt>
                <c:pt idx="2">
                  <c:v>1.1434961752587325</c:v>
                </c:pt>
                <c:pt idx="3">
                  <c:v>1.14753766237976</c:v>
                </c:pt>
                <c:pt idx="4">
                  <c:v>1.1852729239347359</c:v>
                </c:pt>
                <c:pt idx="5">
                  <c:v>1.2150229041337821</c:v>
                </c:pt>
                <c:pt idx="6">
                  <c:v>1.1795402209125327</c:v>
                </c:pt>
                <c:pt idx="7">
                  <c:v>1.0425568991120404</c:v>
                </c:pt>
                <c:pt idx="8">
                  <c:v>0.89683851713140417</c:v>
                </c:pt>
                <c:pt idx="9">
                  <c:v>0.76904912948473958</c:v>
                </c:pt>
              </c:numCache>
            </c:numRef>
          </c:val>
          <c:smooth val="0"/>
          <c:extLst xmlns:c16r2="http://schemas.microsoft.com/office/drawing/2015/06/chart">
            <c:ext xmlns:c16="http://schemas.microsoft.com/office/drawing/2014/chart" uri="{C3380CC4-5D6E-409C-BE32-E72D297353CC}">
              <c16:uniqueId val="{00000023-7C85-4099-A8AE-E2DBC974CAF2}"/>
            </c:ext>
          </c:extLst>
        </c:ser>
        <c:ser>
          <c:idx val="36"/>
          <c:order val="36"/>
          <c:tx>
            <c:strRef>
              <c:f>Ratios!$A$377</c:f>
              <c:strCache>
                <c:ptCount val="1"/>
                <c:pt idx="0">
                  <c:v>South Taranaki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Ratios!$B$377:$K$377</c:f>
              <c:numCache>
                <c:formatCode>0%</c:formatCode>
                <c:ptCount val="10"/>
                <c:pt idx="0">
                  <c:v>0</c:v>
                </c:pt>
                <c:pt idx="1">
                  <c:v>0</c:v>
                </c:pt>
                <c:pt idx="2">
                  <c:v>1.718817502931556E-2</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4-7C85-4099-A8AE-E2DBC974CAF2}"/>
            </c:ext>
          </c:extLst>
        </c:ser>
        <c:ser>
          <c:idx val="37"/>
          <c:order val="37"/>
          <c:tx>
            <c:strRef>
              <c:f>Ratios!$A$378</c:f>
              <c:strCache>
                <c:ptCount val="1"/>
                <c:pt idx="0">
                  <c:v>South Waikato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Ratios!$B$378:$K$378</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5-7C85-4099-A8AE-E2DBC974CAF2}"/>
            </c:ext>
          </c:extLst>
        </c:ser>
        <c:ser>
          <c:idx val="38"/>
          <c:order val="38"/>
          <c:tx>
            <c:strRef>
              <c:f>Ratios!$A$379</c:f>
              <c:strCache>
                <c:ptCount val="1"/>
                <c:pt idx="0">
                  <c:v>South Wairarapa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Ratios!$B$379:$K$379</c:f>
              <c:numCache>
                <c:formatCode>0%</c:formatCode>
                <c:ptCount val="10"/>
                <c:pt idx="0">
                  <c:v>0.4975301726332943</c:v>
                </c:pt>
                <c:pt idx="1">
                  <c:v>0.67534604039028823</c:v>
                </c:pt>
                <c:pt idx="2">
                  <c:v>0.57703385685560571</c:v>
                </c:pt>
                <c:pt idx="3">
                  <c:v>0.45599236033741841</c:v>
                </c:pt>
                <c:pt idx="4">
                  <c:v>0.34094202898550724</c:v>
                </c:pt>
                <c:pt idx="5">
                  <c:v>0.2246226843672707</c:v>
                </c:pt>
                <c:pt idx="6">
                  <c:v>9.243942784859395E-2</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6-7C85-4099-A8AE-E2DBC974CAF2}"/>
            </c:ext>
          </c:extLst>
        </c:ser>
        <c:ser>
          <c:idx val="39"/>
          <c:order val="39"/>
          <c:tx>
            <c:strRef>
              <c:f>Ratios!$A$380</c:f>
              <c:strCache>
                <c:ptCount val="1"/>
                <c:pt idx="0">
                  <c:v>Southland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Ratios!$B$380:$K$380</c:f>
              <c:numCache>
                <c:formatCode>0%</c:formatCode>
                <c:ptCount val="10"/>
                <c:pt idx="0">
                  <c:v>0</c:v>
                </c:pt>
                <c:pt idx="1">
                  <c:v>0</c:v>
                </c:pt>
                <c:pt idx="2">
                  <c:v>0</c:v>
                </c:pt>
                <c:pt idx="3">
                  <c:v>2.3399655162976546E-3</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7-7C85-4099-A8AE-E2DBC974CAF2}"/>
            </c:ext>
          </c:extLst>
        </c:ser>
        <c:ser>
          <c:idx val="40"/>
          <c:order val="40"/>
          <c:tx>
            <c:strRef>
              <c:f>Ratios!$A$381</c:f>
              <c:strCache>
                <c:ptCount val="1"/>
                <c:pt idx="0">
                  <c:v>Southland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Ratios!$B$381:$K$381</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8-7C85-4099-A8AE-E2DBC974CAF2}"/>
            </c:ext>
          </c:extLst>
        </c:ser>
        <c:ser>
          <c:idx val="41"/>
          <c:order val="41"/>
          <c:tx>
            <c:strRef>
              <c:f>Ratios!$A$382</c:f>
              <c:strCache>
                <c:ptCount val="1"/>
                <c:pt idx="0">
                  <c:v>Stratford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Ratios!$B$382:$K$382</c:f>
              <c:numCache>
                <c:formatCode>0%</c:formatCode>
                <c:ptCount val="10"/>
                <c:pt idx="0">
                  <c:v>0.44328799526907153</c:v>
                </c:pt>
                <c:pt idx="1">
                  <c:v>0.4559172110770654</c:v>
                </c:pt>
                <c:pt idx="2">
                  <c:v>0.53989813242784379</c:v>
                </c:pt>
                <c:pt idx="3">
                  <c:v>0.58385592538993403</c:v>
                </c:pt>
                <c:pt idx="4">
                  <c:v>0.59804940838655374</c:v>
                </c:pt>
                <c:pt idx="5">
                  <c:v>0.57775804223406357</c:v>
                </c:pt>
                <c:pt idx="6">
                  <c:v>0.51330688086712473</c:v>
                </c:pt>
                <c:pt idx="7">
                  <c:v>0.53416814076901598</c:v>
                </c:pt>
                <c:pt idx="8">
                  <c:v>0.46195480582743226</c:v>
                </c:pt>
                <c:pt idx="9">
                  <c:v>0.41232412714955707</c:v>
                </c:pt>
              </c:numCache>
            </c:numRef>
          </c:val>
          <c:smooth val="0"/>
          <c:extLst xmlns:c16r2="http://schemas.microsoft.com/office/drawing/2015/06/chart">
            <c:ext xmlns:c16="http://schemas.microsoft.com/office/drawing/2014/chart" uri="{C3380CC4-5D6E-409C-BE32-E72D297353CC}">
              <c16:uniqueId val="{00000029-7C85-4099-A8AE-E2DBC974CAF2}"/>
            </c:ext>
          </c:extLst>
        </c:ser>
        <c:ser>
          <c:idx val="42"/>
          <c:order val="42"/>
          <c:tx>
            <c:strRef>
              <c:f>Ratios!$A$383</c:f>
              <c:strCache>
                <c:ptCount val="1"/>
                <c:pt idx="0">
                  <c:v>Tararua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Ratios!$B$383:$K$383</c:f>
              <c:numCache>
                <c:formatCode>0%</c:formatCode>
                <c:ptCount val="10"/>
                <c:pt idx="0">
                  <c:v>7.1070587524907913E-2</c:v>
                </c:pt>
                <c:pt idx="1">
                  <c:v>8.9211367887527912E-2</c:v>
                </c:pt>
                <c:pt idx="2">
                  <c:v>6.3161013183232112E-2</c:v>
                </c:pt>
                <c:pt idx="3">
                  <c:v>0.1112798644780653</c:v>
                </c:pt>
                <c:pt idx="4">
                  <c:v>8.8661430718194448E-2</c:v>
                </c:pt>
                <c:pt idx="5">
                  <c:v>2.5024167932605992E-2</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A-7C85-4099-A8AE-E2DBC974CAF2}"/>
            </c:ext>
          </c:extLst>
        </c:ser>
        <c:ser>
          <c:idx val="43"/>
          <c:order val="43"/>
          <c:tx>
            <c:strRef>
              <c:f>Ratios!$A$384</c:f>
              <c:strCache>
                <c:ptCount val="1"/>
                <c:pt idx="0">
                  <c:v>Tasman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Ratios!$B$384:$K$384</c:f>
              <c:numCache>
                <c:formatCode>0%</c:formatCode>
                <c:ptCount val="10"/>
                <c:pt idx="0">
                  <c:v>1.6336845200176411</c:v>
                </c:pt>
                <c:pt idx="1">
                  <c:v>1.5859956929903885</c:v>
                </c:pt>
                <c:pt idx="2">
                  <c:v>1.5602068897514276</c:v>
                </c:pt>
                <c:pt idx="3">
                  <c:v>1.4739462187470496</c:v>
                </c:pt>
                <c:pt idx="4">
                  <c:v>1.347140916388786</c:v>
                </c:pt>
                <c:pt idx="5">
                  <c:v>1.2308916560698033</c:v>
                </c:pt>
                <c:pt idx="6">
                  <c:v>1.0901341885391171</c:v>
                </c:pt>
                <c:pt idx="7">
                  <c:v>0.92448081015630734</c:v>
                </c:pt>
                <c:pt idx="8">
                  <c:v>0.76886185602378643</c:v>
                </c:pt>
                <c:pt idx="9">
                  <c:v>0.6342053289906795</c:v>
                </c:pt>
              </c:numCache>
            </c:numRef>
          </c:val>
          <c:smooth val="0"/>
          <c:extLst xmlns:c16r2="http://schemas.microsoft.com/office/drawing/2015/06/chart">
            <c:ext xmlns:c16="http://schemas.microsoft.com/office/drawing/2014/chart" uri="{C3380CC4-5D6E-409C-BE32-E72D297353CC}">
              <c16:uniqueId val="{0000002B-7C85-4099-A8AE-E2DBC974CAF2}"/>
            </c:ext>
          </c:extLst>
        </c:ser>
        <c:ser>
          <c:idx val="44"/>
          <c:order val="44"/>
          <c:tx>
            <c:strRef>
              <c:f>Ratios!$A$385</c:f>
              <c:strCache>
                <c:ptCount val="1"/>
                <c:pt idx="0">
                  <c:v>Taupo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Ratios!$B$385:$K$385</c:f>
              <c:numCache>
                <c:formatCode>0%</c:formatCode>
                <c:ptCount val="10"/>
                <c:pt idx="0">
                  <c:v>0.87536748758976335</c:v>
                </c:pt>
                <c:pt idx="1">
                  <c:v>0.79691805656272663</c:v>
                </c:pt>
                <c:pt idx="2">
                  <c:v>0.69947680912350829</c:v>
                </c:pt>
                <c:pt idx="3">
                  <c:v>0.57705908015889418</c:v>
                </c:pt>
                <c:pt idx="4">
                  <c:v>0.41980378229601351</c:v>
                </c:pt>
                <c:pt idx="5">
                  <c:v>0.30124869366603102</c:v>
                </c:pt>
                <c:pt idx="6">
                  <c:v>0.13777875219243296</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2C-7C85-4099-A8AE-E2DBC974CAF2}"/>
            </c:ext>
          </c:extLst>
        </c:ser>
        <c:ser>
          <c:idx val="45"/>
          <c:order val="45"/>
          <c:tx>
            <c:strRef>
              <c:f>Ratios!$A$386</c:f>
              <c:strCache>
                <c:ptCount val="1"/>
                <c:pt idx="0">
                  <c:v>Tauranga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Ratios!$B$386:$K$386</c:f>
              <c:numCache>
                <c:formatCode>0%</c:formatCode>
                <c:ptCount val="10"/>
                <c:pt idx="0">
                  <c:v>1.5259334086177083</c:v>
                </c:pt>
                <c:pt idx="1">
                  <c:v>1.7821395315681374</c:v>
                </c:pt>
                <c:pt idx="2">
                  <c:v>1.8067497778299435</c:v>
                </c:pt>
                <c:pt idx="3">
                  <c:v>1.9130524716112964</c:v>
                </c:pt>
                <c:pt idx="4">
                  <c:v>1.8716363952102426</c:v>
                </c:pt>
                <c:pt idx="5">
                  <c:v>1.8827022985040736</c:v>
                </c:pt>
                <c:pt idx="6">
                  <c:v>1.7788879364961054</c:v>
                </c:pt>
                <c:pt idx="7">
                  <c:v>1.6305778021708204</c:v>
                </c:pt>
                <c:pt idx="8">
                  <c:v>1.4147693512194781</c:v>
                </c:pt>
                <c:pt idx="9">
                  <c:v>1.3469592540036488</c:v>
                </c:pt>
              </c:numCache>
            </c:numRef>
          </c:val>
          <c:smooth val="0"/>
          <c:extLst xmlns:c16r2="http://schemas.microsoft.com/office/drawing/2015/06/chart">
            <c:ext xmlns:c16="http://schemas.microsoft.com/office/drawing/2014/chart" uri="{C3380CC4-5D6E-409C-BE32-E72D297353CC}">
              <c16:uniqueId val="{0000002D-7C85-4099-A8AE-E2DBC974CAF2}"/>
            </c:ext>
          </c:extLst>
        </c:ser>
        <c:ser>
          <c:idx val="46"/>
          <c:order val="46"/>
          <c:tx>
            <c:strRef>
              <c:f>Ratios!$A$387</c:f>
              <c:strCache>
                <c:ptCount val="1"/>
                <c:pt idx="0">
                  <c:v>Thames-Coromandel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Ratios!$B$387:$K$387</c:f>
              <c:numCache>
                <c:formatCode>0%</c:formatCode>
                <c:ptCount val="10"/>
                <c:pt idx="0">
                  <c:v>0.65194051318932522</c:v>
                </c:pt>
                <c:pt idx="1">
                  <c:v>0.69078271759549159</c:v>
                </c:pt>
                <c:pt idx="2">
                  <c:v>0.64554249252339846</c:v>
                </c:pt>
                <c:pt idx="3">
                  <c:v>0.62434579659578482</c:v>
                </c:pt>
                <c:pt idx="4">
                  <c:v>0.55607460385538254</c:v>
                </c:pt>
                <c:pt idx="5">
                  <c:v>0.4343888838516638</c:v>
                </c:pt>
                <c:pt idx="6">
                  <c:v>0.28852659692855553</c:v>
                </c:pt>
                <c:pt idx="7">
                  <c:v>0.19619616335280093</c:v>
                </c:pt>
                <c:pt idx="8">
                  <c:v>0.16366255802785337</c:v>
                </c:pt>
                <c:pt idx="9">
                  <c:v>4.6928176680578249E-2</c:v>
                </c:pt>
              </c:numCache>
            </c:numRef>
          </c:val>
          <c:smooth val="0"/>
          <c:extLst xmlns:c16r2="http://schemas.microsoft.com/office/drawing/2015/06/chart">
            <c:ext xmlns:c16="http://schemas.microsoft.com/office/drawing/2014/chart" uri="{C3380CC4-5D6E-409C-BE32-E72D297353CC}">
              <c16:uniqueId val="{0000002E-7C85-4099-A8AE-E2DBC974CAF2}"/>
            </c:ext>
          </c:extLst>
        </c:ser>
        <c:ser>
          <c:idx val="47"/>
          <c:order val="47"/>
          <c:tx>
            <c:strRef>
              <c:f>Ratios!$A$388</c:f>
              <c:strCache>
                <c:ptCount val="1"/>
                <c:pt idx="0">
                  <c:v>Upper Hutt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Ratios!$B$388:$K$388</c:f>
              <c:numCache>
                <c:formatCode>0%</c:formatCode>
                <c:ptCount val="10"/>
                <c:pt idx="0">
                  <c:v>0.57802731652928763</c:v>
                </c:pt>
                <c:pt idx="1">
                  <c:v>0.65072916666666669</c:v>
                </c:pt>
                <c:pt idx="2">
                  <c:v>0.54769648733450682</c:v>
                </c:pt>
                <c:pt idx="3">
                  <c:v>0.58058442397504295</c:v>
                </c:pt>
                <c:pt idx="4">
                  <c:v>0.63632303817366609</c:v>
                </c:pt>
                <c:pt idx="5">
                  <c:v>0.68548083642423263</c:v>
                </c:pt>
                <c:pt idx="6">
                  <c:v>0.72864715607901953</c:v>
                </c:pt>
                <c:pt idx="7">
                  <c:v>0.73241166467216734</c:v>
                </c:pt>
                <c:pt idx="8">
                  <c:v>0.78461909353905501</c:v>
                </c:pt>
                <c:pt idx="9">
                  <c:v>0.83167784385676324</c:v>
                </c:pt>
              </c:numCache>
            </c:numRef>
          </c:val>
          <c:smooth val="0"/>
          <c:extLst xmlns:c16r2="http://schemas.microsoft.com/office/drawing/2015/06/chart">
            <c:ext xmlns:c16="http://schemas.microsoft.com/office/drawing/2014/chart" uri="{C3380CC4-5D6E-409C-BE32-E72D297353CC}">
              <c16:uniqueId val="{0000002F-7C85-4099-A8AE-E2DBC974CAF2}"/>
            </c:ext>
          </c:extLst>
        </c:ser>
        <c:ser>
          <c:idx val="48"/>
          <c:order val="48"/>
          <c:tx>
            <c:strRef>
              <c:f>Ratios!$A$389</c:f>
              <c:strCache>
                <c:ptCount val="1"/>
                <c:pt idx="0">
                  <c:v>Waikato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Ratios!$B$389:$K$389</c:f>
              <c:numCache>
                <c:formatCode>0%</c:formatCode>
                <c:ptCount val="10"/>
                <c:pt idx="0">
                  <c:v>0.64342130610672321</c:v>
                </c:pt>
                <c:pt idx="1">
                  <c:v>0.76210213711807895</c:v>
                </c:pt>
                <c:pt idx="2">
                  <c:v>0.94045352415155969</c:v>
                </c:pt>
                <c:pt idx="3">
                  <c:v>0.9043313609467456</c:v>
                </c:pt>
                <c:pt idx="4">
                  <c:v>0.85912099457187885</c:v>
                </c:pt>
                <c:pt idx="5">
                  <c:v>0.99816918675929711</c:v>
                </c:pt>
                <c:pt idx="6">
                  <c:v>1.0076828031935117</c:v>
                </c:pt>
                <c:pt idx="7">
                  <c:v>0.90869631667430839</c:v>
                </c:pt>
                <c:pt idx="8">
                  <c:v>0.85830267009799943</c:v>
                </c:pt>
                <c:pt idx="9">
                  <c:v>0.80934930601690136</c:v>
                </c:pt>
              </c:numCache>
            </c:numRef>
          </c:val>
          <c:smooth val="0"/>
          <c:extLst xmlns:c16r2="http://schemas.microsoft.com/office/drawing/2015/06/chart">
            <c:ext xmlns:c16="http://schemas.microsoft.com/office/drawing/2014/chart" uri="{C3380CC4-5D6E-409C-BE32-E72D297353CC}">
              <c16:uniqueId val="{00000030-7C85-4099-A8AE-E2DBC974CAF2}"/>
            </c:ext>
          </c:extLst>
        </c:ser>
        <c:ser>
          <c:idx val="49"/>
          <c:order val="49"/>
          <c:tx>
            <c:strRef>
              <c:f>Ratios!$A$390</c:f>
              <c:strCache>
                <c:ptCount val="1"/>
                <c:pt idx="0">
                  <c:v>Waikato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Ratios!$B$390:$K$390</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31-7C85-4099-A8AE-E2DBC974CAF2}"/>
            </c:ext>
          </c:extLst>
        </c:ser>
        <c:ser>
          <c:idx val="50"/>
          <c:order val="50"/>
          <c:tx>
            <c:strRef>
              <c:f>Ratios!$A$391</c:f>
              <c:strCache>
                <c:ptCount val="1"/>
                <c:pt idx="0">
                  <c:v>Waimakariri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Ratios!$B$391:$K$391</c:f>
              <c:numCache>
                <c:formatCode>0%</c:formatCode>
                <c:ptCount val="10"/>
                <c:pt idx="0">
                  <c:v>0.87006814744987138</c:v>
                </c:pt>
                <c:pt idx="1">
                  <c:v>1.0378037541834408</c:v>
                </c:pt>
                <c:pt idx="2">
                  <c:v>1.1275061447520771</c:v>
                </c:pt>
                <c:pt idx="3">
                  <c:v>1.1517927031340538</c:v>
                </c:pt>
                <c:pt idx="4">
                  <c:v>1.0991460214821294</c:v>
                </c:pt>
                <c:pt idx="5">
                  <c:v>1.1752066269719248</c:v>
                </c:pt>
                <c:pt idx="6">
                  <c:v>1.2332875784369652</c:v>
                </c:pt>
                <c:pt idx="7">
                  <c:v>1.1308695838145344</c:v>
                </c:pt>
                <c:pt idx="8">
                  <c:v>1.0749989694546354</c:v>
                </c:pt>
                <c:pt idx="9">
                  <c:v>1.1149704730727261</c:v>
                </c:pt>
              </c:numCache>
            </c:numRef>
          </c:val>
          <c:smooth val="0"/>
          <c:extLst xmlns:c16r2="http://schemas.microsoft.com/office/drawing/2015/06/chart">
            <c:ext xmlns:c16="http://schemas.microsoft.com/office/drawing/2014/chart" uri="{C3380CC4-5D6E-409C-BE32-E72D297353CC}">
              <c16:uniqueId val="{00000032-7C85-4099-A8AE-E2DBC974CAF2}"/>
            </c:ext>
          </c:extLst>
        </c:ser>
        <c:ser>
          <c:idx val="51"/>
          <c:order val="51"/>
          <c:tx>
            <c:strRef>
              <c:f>Ratios!$A$392</c:f>
              <c:strCache>
                <c:ptCount val="1"/>
                <c:pt idx="0">
                  <c:v>Waimate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Ratios!$B$392:$K$392</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33-7C85-4099-A8AE-E2DBC974CAF2}"/>
            </c:ext>
          </c:extLst>
        </c:ser>
        <c:ser>
          <c:idx val="52"/>
          <c:order val="52"/>
          <c:tx>
            <c:strRef>
              <c:f>Ratios!$A$393</c:f>
              <c:strCache>
                <c:ptCount val="1"/>
                <c:pt idx="0">
                  <c:v>Waipa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Ratios!$B$393:$K$393</c:f>
              <c:numCache>
                <c:formatCode>0%</c:formatCode>
                <c:ptCount val="10"/>
                <c:pt idx="0">
                  <c:v>0.26931821084629731</c:v>
                </c:pt>
                <c:pt idx="1">
                  <c:v>0.40248526844172849</c:v>
                </c:pt>
                <c:pt idx="2">
                  <c:v>0.61703187250996017</c:v>
                </c:pt>
                <c:pt idx="3">
                  <c:v>0.8832409233555365</c:v>
                </c:pt>
                <c:pt idx="4">
                  <c:v>0.95261780695224563</c:v>
                </c:pt>
                <c:pt idx="5">
                  <c:v>0.97331482003774972</c:v>
                </c:pt>
                <c:pt idx="6">
                  <c:v>1.0044614676837815</c:v>
                </c:pt>
                <c:pt idx="7">
                  <c:v>0.8823044513647188</c:v>
                </c:pt>
                <c:pt idx="8">
                  <c:v>0.84218076035710698</c:v>
                </c:pt>
                <c:pt idx="9">
                  <c:v>0.73094601628598399</c:v>
                </c:pt>
              </c:numCache>
            </c:numRef>
          </c:val>
          <c:smooth val="0"/>
          <c:extLst xmlns:c16r2="http://schemas.microsoft.com/office/drawing/2015/06/chart">
            <c:ext xmlns:c16="http://schemas.microsoft.com/office/drawing/2014/chart" uri="{C3380CC4-5D6E-409C-BE32-E72D297353CC}">
              <c16:uniqueId val="{00000034-7C85-4099-A8AE-E2DBC974CAF2}"/>
            </c:ext>
          </c:extLst>
        </c:ser>
        <c:ser>
          <c:idx val="53"/>
          <c:order val="53"/>
          <c:tx>
            <c:strRef>
              <c:f>Ratios!$A$394</c:f>
              <c:strCache>
                <c:ptCount val="1"/>
                <c:pt idx="0">
                  <c:v>Wairoa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Ratios!$B$394:$K$394</c:f>
              <c:numCache>
                <c:formatCode>0%</c:formatCode>
                <c:ptCount val="10"/>
                <c:pt idx="0">
                  <c:v>0</c:v>
                </c:pt>
                <c:pt idx="1">
                  <c:v>0</c:v>
                </c:pt>
                <c:pt idx="2">
                  <c:v>0</c:v>
                </c:pt>
                <c:pt idx="3">
                  <c:v>6.6043407561765896E-2</c:v>
                </c:pt>
                <c:pt idx="4">
                  <c:v>0.18587136563696779</c:v>
                </c:pt>
                <c:pt idx="5">
                  <c:v>0.25646078173662967</c:v>
                </c:pt>
                <c:pt idx="6">
                  <c:v>0.28738208152299738</c:v>
                </c:pt>
                <c:pt idx="7">
                  <c:v>0.27152508489631211</c:v>
                </c:pt>
                <c:pt idx="8">
                  <c:v>0.2769464826810486</c:v>
                </c:pt>
                <c:pt idx="9">
                  <c:v>0.31236015102689207</c:v>
                </c:pt>
              </c:numCache>
            </c:numRef>
          </c:val>
          <c:smooth val="0"/>
          <c:extLst xmlns:c16r2="http://schemas.microsoft.com/office/drawing/2015/06/chart">
            <c:ext xmlns:c16="http://schemas.microsoft.com/office/drawing/2014/chart" uri="{C3380CC4-5D6E-409C-BE32-E72D297353CC}">
              <c16:uniqueId val="{00000035-7C85-4099-A8AE-E2DBC974CAF2}"/>
            </c:ext>
          </c:extLst>
        </c:ser>
        <c:ser>
          <c:idx val="54"/>
          <c:order val="54"/>
          <c:tx>
            <c:strRef>
              <c:f>Ratios!$A$395</c:f>
              <c:strCache>
                <c:ptCount val="1"/>
                <c:pt idx="0">
                  <c:v>Waitaki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Ratios!$B$395:$K$395</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36-7C85-4099-A8AE-E2DBC974CAF2}"/>
            </c:ext>
          </c:extLst>
        </c:ser>
        <c:ser>
          <c:idx val="55"/>
          <c:order val="55"/>
          <c:tx>
            <c:strRef>
              <c:f>Ratios!$A$396</c:f>
              <c:strCache>
                <c:ptCount val="1"/>
                <c:pt idx="0">
                  <c:v>Waitomo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Ratios!$B$396:$K$396</c:f>
              <c:numCache>
                <c:formatCode>0%</c:formatCode>
                <c:ptCount val="10"/>
                <c:pt idx="0">
                  <c:v>1.7363103657304506</c:v>
                </c:pt>
                <c:pt idx="1">
                  <c:v>1.7863265032811035</c:v>
                </c:pt>
                <c:pt idx="2">
                  <c:v>1.7140875064532783</c:v>
                </c:pt>
                <c:pt idx="3">
                  <c:v>1.5955914177950905</c:v>
                </c:pt>
                <c:pt idx="4">
                  <c:v>1.4921758790979949</c:v>
                </c:pt>
                <c:pt idx="5">
                  <c:v>1.3888490344055784</c:v>
                </c:pt>
                <c:pt idx="6">
                  <c:v>1.2441982539507128</c:v>
                </c:pt>
                <c:pt idx="7">
                  <c:v>1.1026505121827275</c:v>
                </c:pt>
                <c:pt idx="8">
                  <c:v>0.97064482579303168</c:v>
                </c:pt>
                <c:pt idx="9">
                  <c:v>0.84124485962329287</c:v>
                </c:pt>
              </c:numCache>
            </c:numRef>
          </c:val>
          <c:smooth val="0"/>
          <c:extLst xmlns:c16r2="http://schemas.microsoft.com/office/drawing/2015/06/chart">
            <c:ext xmlns:c16="http://schemas.microsoft.com/office/drawing/2014/chart" uri="{C3380CC4-5D6E-409C-BE32-E72D297353CC}">
              <c16:uniqueId val="{00000037-7C85-4099-A8AE-E2DBC974CAF2}"/>
            </c:ext>
          </c:extLst>
        </c:ser>
        <c:ser>
          <c:idx val="56"/>
          <c:order val="56"/>
          <c:tx>
            <c:strRef>
              <c:f>Ratios!$A$397</c:f>
              <c:strCache>
                <c:ptCount val="1"/>
                <c:pt idx="0">
                  <c:v>Wanganui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Ratios!$B$397:$K$397</c:f>
              <c:numCache>
                <c:formatCode>0%</c:formatCode>
                <c:ptCount val="10"/>
                <c:pt idx="0">
                  <c:v>0.94387714715427851</c:v>
                </c:pt>
                <c:pt idx="1">
                  <c:v>0.97283733443708609</c:v>
                </c:pt>
                <c:pt idx="2">
                  <c:v>1.3037643884236243</c:v>
                </c:pt>
                <c:pt idx="3">
                  <c:v>0.91100764066971829</c:v>
                </c:pt>
                <c:pt idx="4">
                  <c:v>1.012318363314535</c:v>
                </c:pt>
                <c:pt idx="5">
                  <c:v>1.0026014086679349</c:v>
                </c:pt>
                <c:pt idx="6">
                  <c:v>0.95464668137768327</c:v>
                </c:pt>
                <c:pt idx="7">
                  <c:v>0.869110471162307</c:v>
                </c:pt>
                <c:pt idx="8">
                  <c:v>0.80388854272139576</c:v>
                </c:pt>
                <c:pt idx="9">
                  <c:v>0.70317355683209337</c:v>
                </c:pt>
              </c:numCache>
            </c:numRef>
          </c:val>
          <c:smooth val="0"/>
          <c:extLst xmlns:c16r2="http://schemas.microsoft.com/office/drawing/2015/06/chart">
            <c:ext xmlns:c16="http://schemas.microsoft.com/office/drawing/2014/chart" uri="{C3380CC4-5D6E-409C-BE32-E72D297353CC}">
              <c16:uniqueId val="{00000038-7C85-4099-A8AE-E2DBC974CAF2}"/>
            </c:ext>
          </c:extLst>
        </c:ser>
        <c:ser>
          <c:idx val="57"/>
          <c:order val="57"/>
          <c:tx>
            <c:strRef>
              <c:f>Ratios!$A$398</c:f>
              <c:strCache>
                <c:ptCount val="1"/>
                <c:pt idx="0">
                  <c:v>Wellington City</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Ratios!$B$398:$K$398</c:f>
              <c:numCache>
                <c:formatCode>0%</c:formatCode>
                <c:ptCount val="10"/>
                <c:pt idx="0">
                  <c:v>0.87907004033099223</c:v>
                </c:pt>
                <c:pt idx="1">
                  <c:v>1.0054238780623317</c:v>
                </c:pt>
                <c:pt idx="2">
                  <c:v>1.1471067334166678</c:v>
                </c:pt>
                <c:pt idx="3">
                  <c:v>1.2119215561604642</c:v>
                </c:pt>
                <c:pt idx="4">
                  <c:v>1.1964472811511733</c:v>
                </c:pt>
                <c:pt idx="5">
                  <c:v>1.1704140162517924</c:v>
                </c:pt>
                <c:pt idx="6">
                  <c:v>1.2734326736680655</c:v>
                </c:pt>
                <c:pt idx="7">
                  <c:v>1.2804082108860813</c:v>
                </c:pt>
                <c:pt idx="8">
                  <c:v>1.2533157087404498</c:v>
                </c:pt>
                <c:pt idx="9">
                  <c:v>1.2595341641213993</c:v>
                </c:pt>
              </c:numCache>
            </c:numRef>
          </c:val>
          <c:smooth val="0"/>
          <c:extLst xmlns:c16r2="http://schemas.microsoft.com/office/drawing/2015/06/chart">
            <c:ext xmlns:c16="http://schemas.microsoft.com/office/drawing/2014/chart" uri="{C3380CC4-5D6E-409C-BE32-E72D297353CC}">
              <c16:uniqueId val="{00000039-7C85-4099-A8AE-E2DBC974CAF2}"/>
            </c:ext>
          </c:extLst>
        </c:ser>
        <c:ser>
          <c:idx val="58"/>
          <c:order val="58"/>
          <c:tx>
            <c:strRef>
              <c:f>Ratios!$A$399</c:f>
              <c:strCache>
                <c:ptCount val="1"/>
                <c:pt idx="0">
                  <c:v>Wellington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Ratios!$B$399:$K$399</c:f>
              <c:numCache>
                <c:formatCode>0%</c:formatCode>
                <c:ptCount val="10"/>
                <c:pt idx="0">
                  <c:v>1.0910302046254086</c:v>
                </c:pt>
                <c:pt idx="1">
                  <c:v>0.90747341348477129</c:v>
                </c:pt>
                <c:pt idx="2">
                  <c:v>0.86260563509376542</c:v>
                </c:pt>
                <c:pt idx="3">
                  <c:v>0.95968330114640255</c:v>
                </c:pt>
                <c:pt idx="4">
                  <c:v>0.99139255000062232</c:v>
                </c:pt>
                <c:pt idx="5">
                  <c:v>1.0322146450741478</c:v>
                </c:pt>
                <c:pt idx="6">
                  <c:v>1.0062101121892399</c:v>
                </c:pt>
                <c:pt idx="7">
                  <c:v>0.9683249172485443</c:v>
                </c:pt>
                <c:pt idx="8">
                  <c:v>0.92773579154272257</c:v>
                </c:pt>
                <c:pt idx="9">
                  <c:v>0.87137900934272805</c:v>
                </c:pt>
              </c:numCache>
            </c:numRef>
          </c:val>
          <c:smooth val="0"/>
          <c:extLst xmlns:c16r2="http://schemas.microsoft.com/office/drawing/2015/06/chart">
            <c:ext xmlns:c16="http://schemas.microsoft.com/office/drawing/2014/chart" uri="{C3380CC4-5D6E-409C-BE32-E72D297353CC}">
              <c16:uniqueId val="{0000003A-7C85-4099-A8AE-E2DBC974CAF2}"/>
            </c:ext>
          </c:extLst>
        </c:ser>
        <c:ser>
          <c:idx val="59"/>
          <c:order val="59"/>
          <c:tx>
            <c:strRef>
              <c:f>Ratios!$A$400</c:f>
              <c:strCache>
                <c:ptCount val="1"/>
                <c:pt idx="0">
                  <c:v>West Coast Regional</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Ratios!$B$400:$K$400</c:f>
              <c:numCache>
                <c:formatCode>0%</c:formatCode>
                <c:ptCount val="10"/>
                <c:pt idx="0">
                  <c:v>0</c:v>
                </c:pt>
                <c:pt idx="1">
                  <c:v>0</c:v>
                </c:pt>
                <c:pt idx="2">
                  <c:v>0</c:v>
                </c:pt>
                <c:pt idx="3">
                  <c:v>0</c:v>
                </c:pt>
                <c:pt idx="4">
                  <c:v>0</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3B-7C85-4099-A8AE-E2DBC974CAF2}"/>
            </c:ext>
          </c:extLst>
        </c:ser>
        <c:ser>
          <c:idx val="60"/>
          <c:order val="60"/>
          <c:tx>
            <c:strRef>
              <c:f>Ratios!$A$401</c:f>
              <c:strCache>
                <c:ptCount val="1"/>
                <c:pt idx="0">
                  <c:v>Western Bay of Plenty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Ratios!$B$401:$K$401</c:f>
              <c:numCache>
                <c:formatCode>0%</c:formatCode>
                <c:ptCount val="10"/>
                <c:pt idx="0">
                  <c:v>1.7382889932185708</c:v>
                </c:pt>
                <c:pt idx="1">
                  <c:v>1.5863582824713567</c:v>
                </c:pt>
                <c:pt idx="2">
                  <c:v>1.5800059364796675</c:v>
                </c:pt>
                <c:pt idx="3">
                  <c:v>1.4021498393998075</c:v>
                </c:pt>
                <c:pt idx="4">
                  <c:v>1.2352889085676333</c:v>
                </c:pt>
                <c:pt idx="5">
                  <c:v>1.0344316257742909</c:v>
                </c:pt>
                <c:pt idx="6">
                  <c:v>0.88224024655623001</c:v>
                </c:pt>
                <c:pt idx="7">
                  <c:v>0.73186498451981163</c:v>
                </c:pt>
                <c:pt idx="8">
                  <c:v>0.56742196937224798</c:v>
                </c:pt>
                <c:pt idx="9">
                  <c:v>0.47971426718427174</c:v>
                </c:pt>
              </c:numCache>
            </c:numRef>
          </c:val>
          <c:smooth val="0"/>
          <c:extLst xmlns:c16r2="http://schemas.microsoft.com/office/drawing/2015/06/chart">
            <c:ext xmlns:c16="http://schemas.microsoft.com/office/drawing/2014/chart" uri="{C3380CC4-5D6E-409C-BE32-E72D297353CC}">
              <c16:uniqueId val="{0000003C-7C85-4099-A8AE-E2DBC974CAF2}"/>
            </c:ext>
          </c:extLst>
        </c:ser>
        <c:ser>
          <c:idx val="61"/>
          <c:order val="61"/>
          <c:tx>
            <c:strRef>
              <c:f>Ratios!$A$402</c:f>
              <c:strCache>
                <c:ptCount val="1"/>
                <c:pt idx="0">
                  <c:v>Whakatane District</c:v>
                </c:pt>
              </c:strCache>
            </c:strRef>
          </c:tx>
          <c:spPr>
            <a:ln w="19050">
              <a:solidFill>
                <a:schemeClr val="bg1">
                  <a:lumMod val="85000"/>
                </a:schemeClr>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Ratios!$B$402:$K$402</c:f>
              <c:numCache>
                <c:formatCode>0%</c:formatCode>
                <c:ptCount val="10"/>
                <c:pt idx="0">
                  <c:v>0.7602589136083393</c:v>
                </c:pt>
                <c:pt idx="1">
                  <c:v>0.81884080228522282</c:v>
                </c:pt>
                <c:pt idx="2">
                  <c:v>0.9103644471782254</c:v>
                </c:pt>
                <c:pt idx="3">
                  <c:v>0.89931748161033065</c:v>
                </c:pt>
                <c:pt idx="4">
                  <c:v>0.93584340445527836</c:v>
                </c:pt>
                <c:pt idx="5">
                  <c:v>0.91844637059541889</c:v>
                </c:pt>
                <c:pt idx="6">
                  <c:v>0.85737988851208757</c:v>
                </c:pt>
                <c:pt idx="7">
                  <c:v>0.78593937365793809</c:v>
                </c:pt>
                <c:pt idx="8">
                  <c:v>0.79351802006984418</c:v>
                </c:pt>
                <c:pt idx="9">
                  <c:v>0.75058568157452388</c:v>
                </c:pt>
              </c:numCache>
            </c:numRef>
          </c:val>
          <c:smooth val="0"/>
          <c:extLst xmlns:c16r2="http://schemas.microsoft.com/office/drawing/2015/06/chart">
            <c:ext xmlns:c16="http://schemas.microsoft.com/office/drawing/2014/chart" uri="{C3380CC4-5D6E-409C-BE32-E72D297353CC}">
              <c16:uniqueId val="{0000003D-7C85-4099-A8AE-E2DBC974CAF2}"/>
            </c:ext>
          </c:extLst>
        </c:ser>
        <c:ser>
          <c:idx val="62"/>
          <c:order val="62"/>
          <c:tx>
            <c:strRef>
              <c:f>Ratios!$A$403</c:f>
              <c:strCache>
                <c:ptCount val="1"/>
                <c:pt idx="0">
                  <c:v>Hamilton City</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Ratios!$B$403:$K$403</c:f>
              <c:numCache>
                <c:formatCode>0%</c:formatCode>
                <c:ptCount val="10"/>
                <c:pt idx="0">
                  <c:v>1.7152148972683916</c:v>
                </c:pt>
                <c:pt idx="1">
                  <c:v>1.7013426178772983</c:v>
                </c:pt>
                <c:pt idx="2">
                  <c:v>1.714613813476862</c:v>
                </c:pt>
                <c:pt idx="3">
                  <c:v>1.6991803003325832</c:v>
                </c:pt>
                <c:pt idx="4">
                  <c:v>1.6669633465490736</c:v>
                </c:pt>
                <c:pt idx="5">
                  <c:v>1.6352696950801513</c:v>
                </c:pt>
                <c:pt idx="6">
                  <c:v>1.6180107183391836</c:v>
                </c:pt>
                <c:pt idx="7">
                  <c:v>1.626036300890666</c:v>
                </c:pt>
                <c:pt idx="8">
                  <c:v>1.5800262912893541</c:v>
                </c:pt>
                <c:pt idx="9">
                  <c:v>1.4748906726268347</c:v>
                </c:pt>
              </c:numCache>
            </c:numRef>
          </c:val>
          <c:smooth val="0"/>
          <c:extLst xmlns:c16r2="http://schemas.microsoft.com/office/drawing/2015/06/chart">
            <c:ext xmlns:c16="http://schemas.microsoft.com/office/drawing/2014/chart" uri="{C3380CC4-5D6E-409C-BE32-E72D297353CC}">
              <c16:uniqueId val="{0000003E-7C85-4099-A8AE-E2DBC974CAF2}"/>
            </c:ext>
          </c:extLst>
        </c:ser>
        <c:ser>
          <c:idx val="63"/>
          <c:order val="63"/>
          <c:tx>
            <c:strRef>
              <c:f>Ratios!$A$404</c:f>
              <c:strCache>
                <c:ptCount val="1"/>
                <c:pt idx="0">
                  <c:v>Dunedin City</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Ratios!$B$404:$K$404</c:f>
              <c:numCache>
                <c:formatCode>0%</c:formatCode>
                <c:ptCount val="10"/>
                <c:pt idx="0">
                  <c:v>0.75675364931612688</c:v>
                </c:pt>
                <c:pt idx="1">
                  <c:v>0.71268212164404454</c:v>
                </c:pt>
                <c:pt idx="2">
                  <c:v>0.67764581944478741</c:v>
                </c:pt>
                <c:pt idx="3">
                  <c:v>0.64378431152867366</c:v>
                </c:pt>
                <c:pt idx="4">
                  <c:v>0.62878733700445777</c:v>
                </c:pt>
                <c:pt idx="5">
                  <c:v>0.57640220999552028</c:v>
                </c:pt>
                <c:pt idx="6">
                  <c:v>0.52641369463673948</c:v>
                </c:pt>
                <c:pt idx="7">
                  <c:v>0.44540254663562417</c:v>
                </c:pt>
                <c:pt idx="8">
                  <c:v>0.36770713423365248</c:v>
                </c:pt>
                <c:pt idx="9">
                  <c:v>0.28477265148060682</c:v>
                </c:pt>
              </c:numCache>
            </c:numRef>
          </c:val>
          <c:smooth val="0"/>
          <c:extLst xmlns:c16r2="http://schemas.microsoft.com/office/drawing/2015/06/chart">
            <c:ext xmlns:c16="http://schemas.microsoft.com/office/drawing/2014/chart" uri="{C3380CC4-5D6E-409C-BE32-E72D297353CC}">
              <c16:uniqueId val="{0000003F-7C85-4099-A8AE-E2DBC974CAF2}"/>
            </c:ext>
          </c:extLst>
        </c:ser>
        <c:ser>
          <c:idx val="64"/>
          <c:order val="64"/>
          <c:tx>
            <c:strRef>
              <c:f>Ratios!$A$405</c:f>
              <c:strCache>
                <c:ptCount val="1"/>
                <c:pt idx="0">
                  <c:v>Westland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Ratios!$B$405:$K$405</c:f>
              <c:numCache>
                <c:formatCode>0%</c:formatCode>
                <c:ptCount val="10"/>
                <c:pt idx="0">
                  <c:v>0.76565279358749905</c:v>
                </c:pt>
                <c:pt idx="1">
                  <c:v>0.58168692340392958</c:v>
                </c:pt>
                <c:pt idx="2">
                  <c:v>0.45148992253441744</c:v>
                </c:pt>
                <c:pt idx="3">
                  <c:v>0.30162730891417522</c:v>
                </c:pt>
                <c:pt idx="4">
                  <c:v>0.18335287084447183</c:v>
                </c:pt>
                <c:pt idx="5">
                  <c:v>3.6951188199189078E-2</c:v>
                </c:pt>
                <c:pt idx="6">
                  <c:v>0.29582400454640134</c:v>
                </c:pt>
                <c:pt idx="7">
                  <c:v>0.16603671582032931</c:v>
                </c:pt>
                <c:pt idx="8">
                  <c:v>2.9771919416924454E-2</c:v>
                </c:pt>
                <c:pt idx="9">
                  <c:v>0</c:v>
                </c:pt>
              </c:numCache>
            </c:numRef>
          </c:val>
          <c:smooth val="0"/>
          <c:extLst xmlns:c16r2="http://schemas.microsoft.com/office/drawing/2015/06/chart">
            <c:ext xmlns:c16="http://schemas.microsoft.com/office/drawing/2014/chart" uri="{C3380CC4-5D6E-409C-BE32-E72D297353CC}">
              <c16:uniqueId val="{00000040-7C85-4099-A8AE-E2DBC974CAF2}"/>
            </c:ext>
          </c:extLst>
        </c:ser>
        <c:ser>
          <c:idx val="65"/>
          <c:order val="65"/>
          <c:tx>
            <c:strRef>
              <c:f>Ratios!$A$406</c:f>
              <c:strCache>
                <c:ptCount val="1"/>
                <c:pt idx="0">
                  <c:v>Nelson City</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Ratios!$B$406:$K$406</c:f>
              <c:numCache>
                <c:formatCode>0%</c:formatCode>
                <c:ptCount val="10"/>
                <c:pt idx="0">
                  <c:v>1.2201313318879219</c:v>
                </c:pt>
                <c:pt idx="1">
                  <c:v>1.2878158228465515</c:v>
                </c:pt>
                <c:pt idx="2">
                  <c:v>1.3223957748061579</c:v>
                </c:pt>
                <c:pt idx="3">
                  <c:v>1.3303107981135001</c:v>
                </c:pt>
                <c:pt idx="4">
                  <c:v>1.3451624953305938</c:v>
                </c:pt>
                <c:pt idx="5">
                  <c:v>1.3055120030660952</c:v>
                </c:pt>
                <c:pt idx="6">
                  <c:v>1.304017034312694</c:v>
                </c:pt>
                <c:pt idx="7">
                  <c:v>1.2732381022386658</c:v>
                </c:pt>
                <c:pt idx="8">
                  <c:v>1.22382573072999</c:v>
                </c:pt>
                <c:pt idx="9">
                  <c:v>1.1567322742361117</c:v>
                </c:pt>
              </c:numCache>
            </c:numRef>
          </c:val>
          <c:smooth val="0"/>
          <c:extLst xmlns:c16r2="http://schemas.microsoft.com/office/drawing/2015/06/chart">
            <c:ext xmlns:c16="http://schemas.microsoft.com/office/drawing/2014/chart" uri="{C3380CC4-5D6E-409C-BE32-E72D297353CC}">
              <c16:uniqueId val="{00000041-7C85-4099-A8AE-E2DBC974CAF2}"/>
            </c:ext>
          </c:extLst>
        </c:ser>
        <c:ser>
          <c:idx val="66"/>
          <c:order val="66"/>
          <c:tx>
            <c:strRef>
              <c:f>Ratios!$A$407</c:f>
              <c:strCache>
                <c:ptCount val="1"/>
                <c:pt idx="0">
                  <c:v>Gisborne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Ratios!$B$407:$K$407</c:f>
              <c:numCache>
                <c:formatCode>0%</c:formatCode>
                <c:ptCount val="10"/>
                <c:pt idx="0">
                  <c:v>0.39078763846783399</c:v>
                </c:pt>
                <c:pt idx="1">
                  <c:v>0.49575569722799478</c:v>
                </c:pt>
                <c:pt idx="2">
                  <c:v>0.53271505610159176</c:v>
                </c:pt>
                <c:pt idx="3">
                  <c:v>0.52086625446755253</c:v>
                </c:pt>
                <c:pt idx="4">
                  <c:v>0.53260108245781601</c:v>
                </c:pt>
                <c:pt idx="5">
                  <c:v>0.48230339103481656</c:v>
                </c:pt>
                <c:pt idx="6">
                  <c:v>0.48153005023503542</c:v>
                </c:pt>
                <c:pt idx="7">
                  <c:v>0.41706202101300349</c:v>
                </c:pt>
                <c:pt idx="8">
                  <c:v>0.35035720281285559</c:v>
                </c:pt>
                <c:pt idx="9">
                  <c:v>0.28384166605125177</c:v>
                </c:pt>
              </c:numCache>
            </c:numRef>
          </c:val>
          <c:smooth val="0"/>
          <c:extLst xmlns:c16r2="http://schemas.microsoft.com/office/drawing/2015/06/chart">
            <c:ext xmlns:c16="http://schemas.microsoft.com/office/drawing/2014/chart" uri="{C3380CC4-5D6E-409C-BE32-E72D297353CC}">
              <c16:uniqueId val="{00000042-7C85-4099-A8AE-E2DBC974CAF2}"/>
            </c:ext>
          </c:extLst>
        </c:ser>
        <c:ser>
          <c:idx val="67"/>
          <c:order val="67"/>
          <c:tx>
            <c:strRef>
              <c:f>Ratios!$A$408</c:f>
              <c:strCache>
                <c:ptCount val="1"/>
                <c:pt idx="0">
                  <c:v>Auckland (Group)</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Ratios!$B$408:$K$408</c:f>
              <c:numCache>
                <c:formatCode>0%</c:formatCode>
                <c:ptCount val="10"/>
                <c:pt idx="0">
                  <c:v>2.0650738867599334</c:v>
                </c:pt>
                <c:pt idx="1">
                  <c:v>2.0777394911162657</c:v>
                </c:pt>
                <c:pt idx="2">
                  <c:v>2.1504428245242275</c:v>
                </c:pt>
                <c:pt idx="3">
                  <c:v>2.0384027713747548</c:v>
                </c:pt>
                <c:pt idx="4">
                  <c:v>2.0650910764553947</c:v>
                </c:pt>
                <c:pt idx="5">
                  <c:v>2.0037531872638481</c:v>
                </c:pt>
                <c:pt idx="6">
                  <c:v>2.0403712242323646</c:v>
                </c:pt>
                <c:pt idx="7">
                  <c:v>2.070785193128907</c:v>
                </c:pt>
                <c:pt idx="8">
                  <c:v>2.0953636964226852</c:v>
                </c:pt>
                <c:pt idx="9">
                  <c:v>2.0568417719258103</c:v>
                </c:pt>
              </c:numCache>
            </c:numRef>
          </c:val>
          <c:smooth val="0"/>
          <c:extLst xmlns:c16r2="http://schemas.microsoft.com/office/drawing/2015/06/chart">
            <c:ext xmlns:c16="http://schemas.microsoft.com/office/drawing/2014/chart" uri="{C3380CC4-5D6E-409C-BE32-E72D297353CC}">
              <c16:uniqueId val="{00000043-7C85-4099-A8AE-E2DBC974CAF2}"/>
            </c:ext>
          </c:extLst>
        </c:ser>
        <c:ser>
          <c:idx val="68"/>
          <c:order val="68"/>
          <c:tx>
            <c:strRef>
              <c:f>Ratios!$A$409</c:f>
              <c:strCache>
                <c:ptCount val="1"/>
                <c:pt idx="0">
                  <c:v>Opotiki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Ratios!$B$409:$K$409</c:f>
              <c:numCache>
                <c:formatCode>0%</c:formatCode>
                <c:ptCount val="10"/>
                <c:pt idx="0">
                  <c:v>0.31975470871660094</c:v>
                </c:pt>
                <c:pt idx="1">
                  <c:v>0.52224082267129024</c:v>
                </c:pt>
                <c:pt idx="2">
                  <c:v>0.40103511798590602</c:v>
                </c:pt>
                <c:pt idx="3">
                  <c:v>0.56253436793547995</c:v>
                </c:pt>
                <c:pt idx="4">
                  <c:v>0.96057318652849744</c:v>
                </c:pt>
                <c:pt idx="5">
                  <c:v>1.2969861745820559</c:v>
                </c:pt>
                <c:pt idx="6">
                  <c:v>1.1743058978150156</c:v>
                </c:pt>
                <c:pt idx="7">
                  <c:v>1.1365372702870122</c:v>
                </c:pt>
                <c:pt idx="8">
                  <c:v>1.0750256435305037</c:v>
                </c:pt>
                <c:pt idx="9">
                  <c:v>1.1239041223652304</c:v>
                </c:pt>
              </c:numCache>
            </c:numRef>
          </c:val>
          <c:smooth val="0"/>
          <c:extLst xmlns:c16r2="http://schemas.microsoft.com/office/drawing/2015/06/chart">
            <c:ext xmlns:c16="http://schemas.microsoft.com/office/drawing/2014/chart" uri="{C3380CC4-5D6E-409C-BE32-E72D297353CC}">
              <c16:uniqueId val="{00000044-7C85-4099-A8AE-E2DBC974CAF2}"/>
            </c:ext>
          </c:extLst>
        </c:ser>
        <c:ser>
          <c:idx val="69"/>
          <c:order val="69"/>
          <c:tx>
            <c:strRef>
              <c:f>Ratios!$A$410</c:f>
              <c:strCache>
                <c:ptCount val="1"/>
                <c:pt idx="0">
                  <c:v>Kapiti Coast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Ratios!$B$410:$K$410</c:f>
              <c:numCache>
                <c:formatCode>0%</c:formatCode>
                <c:ptCount val="10"/>
                <c:pt idx="0">
                  <c:v>2.2117622170509836</c:v>
                </c:pt>
                <c:pt idx="1">
                  <c:v>2.3059142054469497</c:v>
                </c:pt>
                <c:pt idx="2">
                  <c:v>1.9947268892283074</c:v>
                </c:pt>
                <c:pt idx="3">
                  <c:v>2.2884331773799835</c:v>
                </c:pt>
                <c:pt idx="4">
                  <c:v>2.3576529104698118</c:v>
                </c:pt>
                <c:pt idx="5">
                  <c:v>2.0582621427743777</c:v>
                </c:pt>
                <c:pt idx="6">
                  <c:v>2.1839180723437517</c:v>
                </c:pt>
                <c:pt idx="7">
                  <c:v>2.1174622775376681</c:v>
                </c:pt>
                <c:pt idx="8">
                  <c:v>1.9736942550316185</c:v>
                </c:pt>
                <c:pt idx="9">
                  <c:v>1.83510160575585</c:v>
                </c:pt>
              </c:numCache>
            </c:numRef>
          </c:val>
          <c:smooth val="0"/>
          <c:extLst xmlns:c16r2="http://schemas.microsoft.com/office/drawing/2015/06/chart">
            <c:ext xmlns:c16="http://schemas.microsoft.com/office/drawing/2014/chart" uri="{C3380CC4-5D6E-409C-BE32-E72D297353CC}">
              <c16:uniqueId val="{00000045-7C85-4099-A8AE-E2DBC974CAF2}"/>
            </c:ext>
          </c:extLst>
        </c:ser>
        <c:ser>
          <c:idx val="70"/>
          <c:order val="70"/>
          <c:tx>
            <c:strRef>
              <c:f>Ratios!$A$411</c:f>
              <c:strCache>
                <c:ptCount val="1"/>
                <c:pt idx="0">
                  <c:v>Ruapehu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Ratios!$B$411:$K$411</c:f>
              <c:numCache>
                <c:formatCode>0%</c:formatCode>
                <c:ptCount val="10"/>
                <c:pt idx="0">
                  <c:v>0.88540072966929506</c:v>
                </c:pt>
                <c:pt idx="1">
                  <c:v>0.91524599542334095</c:v>
                </c:pt>
                <c:pt idx="2">
                  <c:v>0.9435000410610167</c:v>
                </c:pt>
                <c:pt idx="3">
                  <c:v>0.96537896003208123</c:v>
                </c:pt>
                <c:pt idx="4">
                  <c:v>0.98051317068046329</c:v>
                </c:pt>
                <c:pt idx="5">
                  <c:v>0.98317800081933637</c:v>
                </c:pt>
                <c:pt idx="6">
                  <c:v>0.96628497167937621</c:v>
                </c:pt>
                <c:pt idx="7">
                  <c:v>0.9778596021423106</c:v>
                </c:pt>
                <c:pt idx="8">
                  <c:v>0.98746059379852258</c:v>
                </c:pt>
                <c:pt idx="9">
                  <c:v>0.98255735340514716</c:v>
                </c:pt>
              </c:numCache>
            </c:numRef>
          </c:val>
          <c:smooth val="0"/>
          <c:extLst xmlns:c16r2="http://schemas.microsoft.com/office/drawing/2015/06/chart">
            <c:ext xmlns:c16="http://schemas.microsoft.com/office/drawing/2014/chart" uri="{C3380CC4-5D6E-409C-BE32-E72D297353CC}">
              <c16:uniqueId val="{00000046-7C85-4099-A8AE-E2DBC974CAF2}"/>
            </c:ext>
          </c:extLst>
        </c:ser>
        <c:ser>
          <c:idx val="71"/>
          <c:order val="71"/>
          <c:tx>
            <c:strRef>
              <c:f>Ratios!$A$412</c:f>
              <c:strCache>
                <c:ptCount val="1"/>
                <c:pt idx="0">
                  <c:v>Timaru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Ratios!$B$412:$K$412</c:f>
              <c:numCache>
                <c:formatCode>0%</c:formatCode>
                <c:ptCount val="10"/>
                <c:pt idx="0">
                  <c:v>0.83175583646513096</c:v>
                </c:pt>
                <c:pt idx="1">
                  <c:v>0.87443091903736903</c:v>
                </c:pt>
                <c:pt idx="2">
                  <c:v>0.91405830692207946</c:v>
                </c:pt>
                <c:pt idx="3">
                  <c:v>0.89618674546235977</c:v>
                </c:pt>
                <c:pt idx="4">
                  <c:v>0.89511983571995402</c:v>
                </c:pt>
                <c:pt idx="5">
                  <c:v>1.0091927074116303</c:v>
                </c:pt>
                <c:pt idx="6">
                  <c:v>1.090654869045047</c:v>
                </c:pt>
                <c:pt idx="7">
                  <c:v>1.1074809569138984</c:v>
                </c:pt>
                <c:pt idx="8">
                  <c:v>1.0603022563619742</c:v>
                </c:pt>
                <c:pt idx="9">
                  <c:v>1.0563385573887152</c:v>
                </c:pt>
              </c:numCache>
            </c:numRef>
          </c:val>
          <c:smooth val="0"/>
          <c:extLst xmlns:c16r2="http://schemas.microsoft.com/office/drawing/2015/06/chart">
            <c:ext xmlns:c16="http://schemas.microsoft.com/office/drawing/2014/chart" uri="{C3380CC4-5D6E-409C-BE32-E72D297353CC}">
              <c16:uniqueId val="{00000047-7C85-4099-A8AE-E2DBC974CAF2}"/>
            </c:ext>
          </c:extLst>
        </c:ser>
        <c:ser>
          <c:idx val="72"/>
          <c:order val="72"/>
          <c:tx>
            <c:strRef>
              <c:f>Ratios!$A$413</c:f>
              <c:strCache>
                <c:ptCount val="1"/>
                <c:pt idx="0">
                  <c:v>Central Hawke's Bay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Ratios!$B$413:$K$413</c:f>
              <c:numCache>
                <c:formatCode>0%</c:formatCode>
                <c:ptCount val="10"/>
                <c:pt idx="0">
                  <c:v>0.22190745986779981</c:v>
                </c:pt>
                <c:pt idx="1">
                  <c:v>0.24158387534843828</c:v>
                </c:pt>
                <c:pt idx="2">
                  <c:v>0.24418890018581496</c:v>
                </c:pt>
                <c:pt idx="3">
                  <c:v>0.24646382415793222</c:v>
                </c:pt>
                <c:pt idx="4">
                  <c:v>0.26316485842815562</c:v>
                </c:pt>
                <c:pt idx="5">
                  <c:v>0.24153826316807428</c:v>
                </c:pt>
                <c:pt idx="6">
                  <c:v>0.20832159293697755</c:v>
                </c:pt>
                <c:pt idx="7">
                  <c:v>0.17430941744917494</c:v>
                </c:pt>
                <c:pt idx="8">
                  <c:v>0.19572576609461012</c:v>
                </c:pt>
                <c:pt idx="9">
                  <c:v>0.15958566916137845</c:v>
                </c:pt>
              </c:numCache>
            </c:numRef>
          </c:val>
          <c:smooth val="0"/>
          <c:extLst xmlns:c16r2="http://schemas.microsoft.com/office/drawing/2015/06/chart">
            <c:ext xmlns:c16="http://schemas.microsoft.com/office/drawing/2014/chart" uri="{C3380CC4-5D6E-409C-BE32-E72D297353CC}">
              <c16:uniqueId val="{00000048-7C85-4099-A8AE-E2DBC974CAF2}"/>
            </c:ext>
          </c:extLst>
        </c:ser>
        <c:ser>
          <c:idx val="73"/>
          <c:order val="73"/>
          <c:tx>
            <c:strRef>
              <c:f>Ratios!$A$414</c:f>
              <c:strCache>
                <c:ptCount val="1"/>
                <c:pt idx="0">
                  <c:v>New Plymouth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Ratios!$B$414:$K$414</c:f>
              <c:numCache>
                <c:formatCode>0%</c:formatCode>
                <c:ptCount val="10"/>
                <c:pt idx="0">
                  <c:v>0.10071163366336634</c:v>
                </c:pt>
                <c:pt idx="1">
                  <c:v>0.12539231803915707</c:v>
                </c:pt>
                <c:pt idx="2">
                  <c:v>0.12748332233707207</c:v>
                </c:pt>
                <c:pt idx="3">
                  <c:v>5.7325292656970554E-2</c:v>
                </c:pt>
                <c:pt idx="4">
                  <c:v>2.465188974140381E-2</c:v>
                </c:pt>
                <c:pt idx="5">
                  <c:v>0</c:v>
                </c:pt>
                <c:pt idx="6">
                  <c:v>0</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49-7C85-4099-A8AE-E2DBC974CAF2}"/>
            </c:ext>
          </c:extLst>
        </c:ser>
        <c:ser>
          <c:idx val="74"/>
          <c:order val="74"/>
          <c:tx>
            <c:strRef>
              <c:f>Ratios!$A$415</c:f>
              <c:strCache>
                <c:ptCount val="1"/>
                <c:pt idx="0">
                  <c:v>Queenstown-Lakes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Ratios!$B$415:$K$415</c:f>
              <c:numCache>
                <c:formatCode>0%</c:formatCode>
                <c:ptCount val="10"/>
                <c:pt idx="0">
                  <c:v>1.0804015580163178</c:v>
                </c:pt>
                <c:pt idx="1">
                  <c:v>1.3634010105802929</c:v>
                </c:pt>
                <c:pt idx="2">
                  <c:v>1.1925383030449941</c:v>
                </c:pt>
                <c:pt idx="3">
                  <c:v>1.3921428041634731</c:v>
                </c:pt>
                <c:pt idx="4">
                  <c:v>1.3387765784485561</c:v>
                </c:pt>
                <c:pt idx="5">
                  <c:v>1.267554378031047</c:v>
                </c:pt>
                <c:pt idx="6">
                  <c:v>1.2184473642883318</c:v>
                </c:pt>
                <c:pt idx="7">
                  <c:v>1.1632716495590574</c:v>
                </c:pt>
                <c:pt idx="8">
                  <c:v>1.0378132950983285</c:v>
                </c:pt>
                <c:pt idx="9">
                  <c:v>0.89081989909343839</c:v>
                </c:pt>
              </c:numCache>
            </c:numRef>
          </c:val>
          <c:smooth val="0"/>
          <c:extLst xmlns:c16r2="http://schemas.microsoft.com/office/drawing/2015/06/chart">
            <c:ext xmlns:c16="http://schemas.microsoft.com/office/drawing/2014/chart" uri="{C3380CC4-5D6E-409C-BE32-E72D297353CC}">
              <c16:uniqueId val="{0000004A-7C85-4099-A8AE-E2DBC974CAF2}"/>
            </c:ext>
          </c:extLst>
        </c:ser>
        <c:ser>
          <c:idx val="75"/>
          <c:order val="75"/>
          <c:tx>
            <c:strRef>
              <c:f>Ratios!$A$416</c:f>
              <c:strCache>
                <c:ptCount val="1"/>
                <c:pt idx="0">
                  <c:v>Selwyn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Ratios!$B$416:$K$416</c:f>
              <c:numCache>
                <c:formatCode>0%</c:formatCode>
                <c:ptCount val="10"/>
                <c:pt idx="0">
                  <c:v>0.29099120188837518</c:v>
                </c:pt>
                <c:pt idx="1">
                  <c:v>0.45813352332410784</c:v>
                </c:pt>
                <c:pt idx="2">
                  <c:v>0.42789521161339522</c:v>
                </c:pt>
                <c:pt idx="3">
                  <c:v>0.44932923575201045</c:v>
                </c:pt>
                <c:pt idx="4">
                  <c:v>0.51454330793173764</c:v>
                </c:pt>
                <c:pt idx="5">
                  <c:v>0.58708166187753086</c:v>
                </c:pt>
                <c:pt idx="6">
                  <c:v>0.52337627839022449</c:v>
                </c:pt>
                <c:pt idx="7">
                  <c:v>0.63006082226560933</c:v>
                </c:pt>
                <c:pt idx="8">
                  <c:v>0.59050188333503006</c:v>
                </c:pt>
                <c:pt idx="9">
                  <c:v>0.48877338199830539</c:v>
                </c:pt>
              </c:numCache>
            </c:numRef>
          </c:val>
          <c:smooth val="0"/>
          <c:extLst xmlns:c16r2="http://schemas.microsoft.com/office/drawing/2015/06/chart">
            <c:ext xmlns:c16="http://schemas.microsoft.com/office/drawing/2014/chart" uri="{C3380CC4-5D6E-409C-BE32-E72D297353CC}">
              <c16:uniqueId val="{0000004B-7C85-4099-A8AE-E2DBC974CAF2}"/>
            </c:ext>
          </c:extLst>
        </c:ser>
        <c:ser>
          <c:idx val="76"/>
          <c:order val="76"/>
          <c:tx>
            <c:strRef>
              <c:f>Ratios!$A$417</c:f>
              <c:strCache>
                <c:ptCount val="1"/>
                <c:pt idx="0">
                  <c:v>Whangarei District</c:v>
                </c:pt>
              </c:strCache>
            </c:strRef>
          </c:tx>
          <c:spPr>
            <a:ln w="28575">
              <a:solidFill>
                <a:schemeClr val="accent2"/>
              </a:solidFill>
            </a:ln>
          </c:spPr>
          <c:marker>
            <c:symbol val="none"/>
          </c:marker>
          <c:cat>
            <c:numRef>
              <c:f>Ratios!$B$340:$K$340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Ratios!$B$417:$K$417</c:f>
              <c:numCache>
                <c:formatCode>0%</c:formatCode>
                <c:ptCount val="10"/>
                <c:pt idx="0">
                  <c:v>1.2154143824572718</c:v>
                </c:pt>
                <c:pt idx="1">
                  <c:v>1.1191708043003574</c:v>
                </c:pt>
                <c:pt idx="2">
                  <c:v>1.2356520093736809</c:v>
                </c:pt>
                <c:pt idx="3">
                  <c:v>1.1944328215311513</c:v>
                </c:pt>
                <c:pt idx="4">
                  <c:v>1.1175111182769695</c:v>
                </c:pt>
                <c:pt idx="5">
                  <c:v>1.0409642117716651</c:v>
                </c:pt>
                <c:pt idx="6">
                  <c:v>0.97434084747742378</c:v>
                </c:pt>
                <c:pt idx="7">
                  <c:v>0.90437236864448955</c:v>
                </c:pt>
                <c:pt idx="8">
                  <c:v>0.84409077346604444</c:v>
                </c:pt>
                <c:pt idx="9">
                  <c:v>0.77679169906426793</c:v>
                </c:pt>
              </c:numCache>
            </c:numRef>
          </c:val>
          <c:smooth val="0"/>
          <c:extLst xmlns:c16r2="http://schemas.microsoft.com/office/drawing/2015/06/chart">
            <c:ext xmlns:c16="http://schemas.microsoft.com/office/drawing/2014/chart" uri="{C3380CC4-5D6E-409C-BE32-E72D297353CC}">
              <c16:uniqueId val="{0000004C-7C85-4099-A8AE-E2DBC974CAF2}"/>
            </c:ext>
          </c:extLst>
        </c:ser>
        <c:dLbls>
          <c:showLegendKey val="0"/>
          <c:showVal val="0"/>
          <c:showCatName val="0"/>
          <c:showSerName val="0"/>
          <c:showPercent val="0"/>
          <c:showBubbleSize val="0"/>
        </c:dLbls>
        <c:marker val="1"/>
        <c:smooth val="0"/>
        <c:axId val="124360960"/>
        <c:axId val="124366848"/>
      </c:lineChart>
      <c:catAx>
        <c:axId val="124360960"/>
        <c:scaling>
          <c:orientation val="minMax"/>
        </c:scaling>
        <c:delete val="0"/>
        <c:axPos val="b"/>
        <c:numFmt formatCode="General" sourceLinked="1"/>
        <c:majorTickMark val="out"/>
        <c:minorTickMark val="none"/>
        <c:tickLblPos val="nextTo"/>
        <c:spPr>
          <a:ln w="19050"/>
        </c:spPr>
        <c:crossAx val="124366848"/>
        <c:crosses val="autoZero"/>
        <c:auto val="1"/>
        <c:lblAlgn val="ctr"/>
        <c:lblOffset val="100"/>
        <c:noMultiLvlLbl val="0"/>
      </c:catAx>
      <c:valAx>
        <c:axId val="124366848"/>
        <c:scaling>
          <c:orientation val="minMax"/>
          <c:max val="2.5"/>
        </c:scaling>
        <c:delete val="0"/>
        <c:axPos val="l"/>
        <c:majorGridlines>
          <c:spPr>
            <a:ln w="19050"/>
          </c:spPr>
        </c:majorGridlines>
        <c:numFmt formatCode="0%" sourceLinked="1"/>
        <c:majorTickMark val="out"/>
        <c:minorTickMark val="none"/>
        <c:tickLblPos val="nextTo"/>
        <c:crossAx val="124360960"/>
        <c:crosses val="autoZero"/>
        <c:crossBetween val="between"/>
      </c:valAx>
    </c:plotArea>
    <c:plotVisOnly val="1"/>
    <c:dispBlanksAs val="gap"/>
    <c:showDLblsOverMax val="0"/>
  </c:chart>
  <c:spPr>
    <a:ln w="19050">
      <a:solidFill>
        <a:schemeClr val="bg1">
          <a:lumMod val="85000"/>
        </a:schemeClr>
      </a:solid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43567939605486E-2"/>
          <c:y val="7.0456340678997517E-2"/>
          <c:w val="0.89442040988280125"/>
          <c:h val="0.765285198138415"/>
        </c:manualLayout>
      </c:layout>
      <c:lineChart>
        <c:grouping val="standard"/>
        <c:varyColors val="0"/>
        <c:ser>
          <c:idx val="1"/>
          <c:order val="0"/>
          <c:tx>
            <c:strRef>
              <c:f>Debt!$C$1</c:f>
              <c:strCache>
                <c:ptCount val="1"/>
                <c:pt idx="0">
                  <c:v>High growth</c:v>
                </c:pt>
              </c:strCache>
            </c:strRef>
          </c:tx>
          <c:marker>
            <c:symbol val="none"/>
          </c:marker>
          <c:cat>
            <c:numRef>
              <c:f>Debt!$A$2:$A$10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Debt!$C$2:$C$10</c:f>
              <c:numCache>
                <c:formatCode>General</c:formatCode>
                <c:ptCount val="9"/>
                <c:pt idx="0">
                  <c:v>1.181301805774069</c:v>
                </c:pt>
                <c:pt idx="1">
                  <c:v>1.1979519148186279</c:v>
                </c:pt>
                <c:pt idx="2">
                  <c:v>1.2817026585940721</c:v>
                </c:pt>
                <c:pt idx="3">
                  <c:v>1.2653218063391145</c:v>
                </c:pt>
                <c:pt idx="4">
                  <c:v>1.2477309637517118</c:v>
                </c:pt>
                <c:pt idx="5">
                  <c:v>1.2087247562802181</c:v>
                </c:pt>
                <c:pt idx="6">
                  <c:v>1.1533738765650976</c:v>
                </c:pt>
                <c:pt idx="7">
                  <c:v>1.0863368586127022</c:v>
                </c:pt>
                <c:pt idx="8">
                  <c:v>1.0188681975542115</c:v>
                </c:pt>
              </c:numCache>
            </c:numRef>
          </c:val>
          <c:smooth val="0"/>
          <c:extLst xmlns:c16r2="http://schemas.microsoft.com/office/drawing/2015/06/chart">
            <c:ext xmlns:c16="http://schemas.microsoft.com/office/drawing/2014/chart" uri="{C3380CC4-5D6E-409C-BE32-E72D297353CC}">
              <c16:uniqueId val="{00000000-CC13-4BEC-B259-4113ACD7E107}"/>
            </c:ext>
          </c:extLst>
        </c:ser>
        <c:ser>
          <c:idx val="3"/>
          <c:order val="1"/>
          <c:tx>
            <c:strRef>
              <c:f>Debt!$E$1</c:f>
              <c:strCache>
                <c:ptCount val="1"/>
                <c:pt idx="0">
                  <c:v>Medium Growth</c:v>
                </c:pt>
              </c:strCache>
            </c:strRef>
          </c:tx>
          <c:marker>
            <c:symbol val="none"/>
          </c:marker>
          <c:cat>
            <c:numRef>
              <c:f>Debt!$A$2:$A$10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Debt!$E$2:$E$10</c:f>
              <c:numCache>
                <c:formatCode>General</c:formatCode>
                <c:ptCount val="9"/>
                <c:pt idx="0">
                  <c:v>0.96432644450513771</c:v>
                </c:pt>
                <c:pt idx="1">
                  <c:v>0.96328515441136686</c:v>
                </c:pt>
                <c:pt idx="2">
                  <c:v>1.0121860030430228</c:v>
                </c:pt>
                <c:pt idx="3">
                  <c:v>1.0159283987320373</c:v>
                </c:pt>
                <c:pt idx="4">
                  <c:v>0.98023657016567545</c:v>
                </c:pt>
                <c:pt idx="5">
                  <c:v>0.97946651020971431</c:v>
                </c:pt>
                <c:pt idx="6">
                  <c:v>0.92512150840085838</c:v>
                </c:pt>
                <c:pt idx="7">
                  <c:v>0.8580929005346879</c:v>
                </c:pt>
                <c:pt idx="8">
                  <c:v>0.79355076291440629</c:v>
                </c:pt>
              </c:numCache>
            </c:numRef>
          </c:val>
          <c:smooth val="0"/>
          <c:extLst xmlns:c16r2="http://schemas.microsoft.com/office/drawing/2015/06/chart">
            <c:ext xmlns:c16="http://schemas.microsoft.com/office/drawing/2014/chart" uri="{C3380CC4-5D6E-409C-BE32-E72D297353CC}">
              <c16:uniqueId val="{00000001-CC13-4BEC-B259-4113ACD7E107}"/>
            </c:ext>
          </c:extLst>
        </c:ser>
        <c:ser>
          <c:idx val="2"/>
          <c:order val="2"/>
          <c:tx>
            <c:strRef>
              <c:f>Debt!$D$1</c:f>
              <c:strCache>
                <c:ptCount val="1"/>
                <c:pt idx="0">
                  <c:v>Low Growth</c:v>
                </c:pt>
              </c:strCache>
            </c:strRef>
          </c:tx>
          <c:marker>
            <c:symbol val="none"/>
          </c:marker>
          <c:cat>
            <c:numRef>
              <c:f>Debt!$A$2:$A$10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Debt!$D$2:$D$10</c:f>
              <c:numCache>
                <c:formatCode>General</c:formatCode>
                <c:ptCount val="9"/>
                <c:pt idx="0">
                  <c:v>0.64030186991597815</c:v>
                </c:pt>
                <c:pt idx="1">
                  <c:v>0.66526683212576898</c:v>
                </c:pt>
                <c:pt idx="2">
                  <c:v>0.63183987955625398</c:v>
                </c:pt>
                <c:pt idx="3">
                  <c:v>0.59896450306060145</c:v>
                </c:pt>
                <c:pt idx="4">
                  <c:v>0.55534686728747407</c:v>
                </c:pt>
                <c:pt idx="5">
                  <c:v>0.49049826254576834</c:v>
                </c:pt>
                <c:pt idx="6">
                  <c:v>0.43545474290880276</c:v>
                </c:pt>
                <c:pt idx="7">
                  <c:v>0.38961078633117796</c:v>
                </c:pt>
                <c:pt idx="8">
                  <c:v>0.35695220432572672</c:v>
                </c:pt>
              </c:numCache>
            </c:numRef>
          </c:val>
          <c:smooth val="0"/>
          <c:extLst xmlns:c16r2="http://schemas.microsoft.com/office/drawing/2015/06/chart">
            <c:ext xmlns:c16="http://schemas.microsoft.com/office/drawing/2014/chart" uri="{C3380CC4-5D6E-409C-BE32-E72D297353CC}">
              <c16:uniqueId val="{00000002-CC13-4BEC-B259-4113ACD7E107}"/>
            </c:ext>
          </c:extLst>
        </c:ser>
        <c:ser>
          <c:idx val="0"/>
          <c:order val="3"/>
          <c:tx>
            <c:strRef>
              <c:f>Debt!$B$1</c:f>
              <c:strCache>
                <c:ptCount val="1"/>
                <c:pt idx="0">
                  <c:v>Declining population</c:v>
                </c:pt>
              </c:strCache>
            </c:strRef>
          </c:tx>
          <c:marker>
            <c:symbol val="none"/>
          </c:marker>
          <c:cat>
            <c:numRef>
              <c:f>Debt!$A$2:$A$10</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Debt!$B$2:$B$10</c:f>
              <c:numCache>
                <c:formatCode>General</c:formatCode>
                <c:ptCount val="9"/>
                <c:pt idx="0">
                  <c:v>0.50730458398127587</c:v>
                </c:pt>
                <c:pt idx="1">
                  <c:v>0.52220827583256868</c:v>
                </c:pt>
                <c:pt idx="2">
                  <c:v>0.50074357425948002</c:v>
                </c:pt>
                <c:pt idx="3">
                  <c:v>0.53836055340850786</c:v>
                </c:pt>
                <c:pt idx="4">
                  <c:v>0.53253404215796918</c:v>
                </c:pt>
                <c:pt idx="5">
                  <c:v>0.51935596275501306</c:v>
                </c:pt>
                <c:pt idx="6">
                  <c:v>0.47772223399072961</c:v>
                </c:pt>
                <c:pt idx="7">
                  <c:v>0.43256472969647519</c:v>
                </c:pt>
                <c:pt idx="8">
                  <c:v>0.40531251775140847</c:v>
                </c:pt>
              </c:numCache>
            </c:numRef>
          </c:val>
          <c:smooth val="0"/>
          <c:extLst xmlns:c16r2="http://schemas.microsoft.com/office/drawing/2015/06/chart">
            <c:ext xmlns:c16="http://schemas.microsoft.com/office/drawing/2014/chart" uri="{C3380CC4-5D6E-409C-BE32-E72D297353CC}">
              <c16:uniqueId val="{00000003-CC13-4BEC-B259-4113ACD7E107}"/>
            </c:ext>
          </c:extLst>
        </c:ser>
        <c:dLbls>
          <c:showLegendKey val="0"/>
          <c:showVal val="0"/>
          <c:showCatName val="0"/>
          <c:showSerName val="0"/>
          <c:showPercent val="0"/>
          <c:showBubbleSize val="0"/>
        </c:dLbls>
        <c:marker val="1"/>
        <c:smooth val="0"/>
        <c:axId val="124382208"/>
        <c:axId val="124461824"/>
      </c:lineChart>
      <c:catAx>
        <c:axId val="124382208"/>
        <c:scaling>
          <c:orientation val="minMax"/>
        </c:scaling>
        <c:delete val="0"/>
        <c:axPos val="b"/>
        <c:numFmt formatCode="General" sourceLinked="1"/>
        <c:majorTickMark val="out"/>
        <c:minorTickMark val="none"/>
        <c:tickLblPos val="nextTo"/>
        <c:crossAx val="124461824"/>
        <c:crosses val="autoZero"/>
        <c:auto val="1"/>
        <c:lblAlgn val="ctr"/>
        <c:lblOffset val="100"/>
        <c:noMultiLvlLbl val="0"/>
      </c:catAx>
      <c:valAx>
        <c:axId val="124461824"/>
        <c:scaling>
          <c:orientation val="minMax"/>
        </c:scaling>
        <c:delete val="0"/>
        <c:axPos val="l"/>
        <c:majorGridlines/>
        <c:numFmt formatCode="0%" sourceLinked="0"/>
        <c:majorTickMark val="out"/>
        <c:minorTickMark val="none"/>
        <c:tickLblPos val="nextTo"/>
        <c:crossAx val="1243822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595340249301357E-2"/>
          <c:y val="7.4818453815722011E-2"/>
          <c:w val="0.89873440933449589"/>
          <c:h val="0.84457137700269957"/>
        </c:manualLayout>
      </c:layout>
      <c:lineChart>
        <c:grouping val="standard"/>
        <c:varyColors val="0"/>
        <c:ser>
          <c:idx val="0"/>
          <c:order val="0"/>
          <c:tx>
            <c:strRef>
              <c:f>'DCs as % growth Capex'!$A$3</c:f>
              <c:strCache>
                <c:ptCount val="1"/>
                <c:pt idx="0">
                  <c:v>Auckland</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Capex'!$B$3:$L$3</c:f>
              <c:numCache>
                <c:formatCode>General</c:formatCode>
                <c:ptCount val="11"/>
                <c:pt idx="0">
                  <c:v>0.29395604395604397</c:v>
                </c:pt>
                <c:pt idx="1">
                  <c:v>0.28051391862955033</c:v>
                </c:pt>
                <c:pt idx="2">
                  <c:v>0.32539682539682541</c:v>
                </c:pt>
                <c:pt idx="3">
                  <c:v>0.61666254110824281</c:v>
                </c:pt>
                <c:pt idx="4">
                  <c:v>0.6458164073412459</c:v>
                </c:pt>
                <c:pt idx="5">
                  <c:v>0.59026048747494875</c:v>
                </c:pt>
                <c:pt idx="6">
                  <c:v>0.5031707700556749</c:v>
                </c:pt>
                <c:pt idx="7">
                  <c:v>0.42865344917993614</c:v>
                </c:pt>
                <c:pt idx="8">
                  <c:v>0.45717791772765298</c:v>
                </c:pt>
                <c:pt idx="9">
                  <c:v>0.48607143844844003</c:v>
                </c:pt>
                <c:pt idx="10">
                  <c:v>0.48159353014714479</c:v>
                </c:pt>
              </c:numCache>
            </c:numRef>
          </c:val>
          <c:smooth val="0"/>
          <c:extLst xmlns:c16r2="http://schemas.microsoft.com/office/drawing/2015/06/chart">
            <c:ext xmlns:c16="http://schemas.microsoft.com/office/drawing/2014/chart" uri="{C3380CC4-5D6E-409C-BE32-E72D297353CC}">
              <c16:uniqueId val="{00000000-D2DC-462F-BFAA-4AD1D02FFB9F}"/>
            </c:ext>
          </c:extLst>
        </c:ser>
        <c:ser>
          <c:idx val="1"/>
          <c:order val="1"/>
          <c:tx>
            <c:strRef>
              <c:f>'DCs as % growth Capex'!$A$4</c:f>
              <c:strCache>
                <c:ptCount val="1"/>
                <c:pt idx="0">
                  <c:v>CHBDC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Capex'!$B$4:$L$4</c:f>
              <c:numCache>
                <c:formatCode>General</c:formatCode>
                <c:ptCount val="11"/>
                <c:pt idx="0">
                  <c:v>1.5263157894736843</c:v>
                </c:pt>
                <c:pt idx="1">
                  <c:v>0</c:v>
                </c:pt>
                <c:pt idx="2">
                  <c:v>0</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1-D2DC-462F-BFAA-4AD1D02FFB9F}"/>
            </c:ext>
          </c:extLst>
        </c:ser>
        <c:ser>
          <c:idx val="2"/>
          <c:order val="2"/>
          <c:tx>
            <c:strRef>
              <c:f>'DCs as % growth Capex'!$A$5</c:f>
              <c:strCache>
                <c:ptCount val="1"/>
                <c:pt idx="0">
                  <c:v>DunedinCC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Capex'!$B$5:$L$5</c:f>
              <c:numCache>
                <c:formatCode>General</c:formatCode>
                <c:ptCount val="11"/>
                <c:pt idx="0">
                  <c:v>0.20863309352517986</c:v>
                </c:pt>
                <c:pt idx="1">
                  <c:v>0.82530120481927716</c:v>
                </c:pt>
                <c:pt idx="2">
                  <c:v>1.6452410383189122</c:v>
                </c:pt>
                <c:pt idx="3">
                  <c:v>0.18786047789068938</c:v>
                </c:pt>
                <c:pt idx="4">
                  <c:v>0.61898652982681202</c:v>
                </c:pt>
                <c:pt idx="5">
                  <c:v>1.1386696730552424</c:v>
                </c:pt>
                <c:pt idx="6">
                  <c:v>1.345873786407767</c:v>
                </c:pt>
                <c:pt idx="7">
                  <c:v>0.97121034077555812</c:v>
                </c:pt>
                <c:pt idx="8">
                  <c:v>2.3913934426229506</c:v>
                </c:pt>
                <c:pt idx="9">
                  <c:v>2.9820971867007673</c:v>
                </c:pt>
                <c:pt idx="10">
                  <c:v>1.072232645403377</c:v>
                </c:pt>
              </c:numCache>
            </c:numRef>
          </c:val>
          <c:smooth val="0"/>
          <c:extLst xmlns:c16r2="http://schemas.microsoft.com/office/drawing/2015/06/chart">
            <c:ext xmlns:c16="http://schemas.microsoft.com/office/drawing/2014/chart" uri="{C3380CC4-5D6E-409C-BE32-E72D297353CC}">
              <c16:uniqueId val="{00000002-D2DC-462F-BFAA-4AD1D02FFB9F}"/>
            </c:ext>
          </c:extLst>
        </c:ser>
        <c:ser>
          <c:idx val="3"/>
          <c:order val="3"/>
          <c:tx>
            <c:strRef>
              <c:f>'DCs as % growth Capex'!$A$6</c:f>
              <c:strCache>
                <c:ptCount val="1"/>
                <c:pt idx="0">
                  <c:v>GisborneDC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Capex'!$B$6:$L$6</c:f>
              <c:numCache>
                <c:formatCode>General</c:formatCode>
                <c:ptCount val="11"/>
                <c:pt idx="0">
                  <c:v>1.6112789526686808E-2</c:v>
                </c:pt>
                <c:pt idx="1">
                  <c:v>0.32382310984308132</c:v>
                </c:pt>
                <c:pt idx="2">
                  <c:v>0.45765472312703581</c:v>
                </c:pt>
                <c:pt idx="3">
                  <c:v>0.4469309462915601</c:v>
                </c:pt>
                <c:pt idx="4">
                  <c:v>0.81373690337601867</c:v>
                </c:pt>
                <c:pt idx="5">
                  <c:v>0.50505780346820806</c:v>
                </c:pt>
                <c:pt idx="6">
                  <c:v>0.8773333333333333</c:v>
                </c:pt>
                <c:pt idx="7">
                  <c:v>0.3864942528735632</c:v>
                </c:pt>
                <c:pt idx="8">
                  <c:v>0.13399750933997509</c:v>
                </c:pt>
                <c:pt idx="9">
                  <c:v>0.15353881278538814</c:v>
                </c:pt>
                <c:pt idx="10">
                  <c:v>0.66584158415841588</c:v>
                </c:pt>
              </c:numCache>
            </c:numRef>
          </c:val>
          <c:smooth val="0"/>
          <c:extLst xmlns:c16r2="http://schemas.microsoft.com/office/drawing/2015/06/chart">
            <c:ext xmlns:c16="http://schemas.microsoft.com/office/drawing/2014/chart" uri="{C3380CC4-5D6E-409C-BE32-E72D297353CC}">
              <c16:uniqueId val="{00000003-D2DC-462F-BFAA-4AD1D02FFB9F}"/>
            </c:ext>
          </c:extLst>
        </c:ser>
        <c:ser>
          <c:idx val="4"/>
          <c:order val="4"/>
          <c:tx>
            <c:strRef>
              <c:f>'DCs as % growth Capex'!$A$7</c:f>
              <c:strCache>
                <c:ptCount val="1"/>
                <c:pt idx="0">
                  <c:v>HamiltonCC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Capex'!$B$7:$L$7</c:f>
              <c:numCache>
                <c:formatCode>General</c:formatCode>
                <c:ptCount val="11"/>
                <c:pt idx="0">
                  <c:v>2.1202005541628184</c:v>
                </c:pt>
                <c:pt idx="1">
                  <c:v>0.99364597851930803</c:v>
                </c:pt>
                <c:pt idx="2">
                  <c:v>0.43468809333810299</c:v>
                </c:pt>
                <c:pt idx="3">
                  <c:v>0.25076813343575111</c:v>
                </c:pt>
                <c:pt idx="4">
                  <c:v>0.24971546257655411</c:v>
                </c:pt>
                <c:pt idx="5">
                  <c:v>0.28454600120264584</c:v>
                </c:pt>
                <c:pt idx="6">
                  <c:v>0.2465052674230146</c:v>
                </c:pt>
                <c:pt idx="7">
                  <c:v>0.32490682223302542</c:v>
                </c:pt>
                <c:pt idx="8">
                  <c:v>0.25493145280599666</c:v>
                </c:pt>
                <c:pt idx="9">
                  <c:v>0.27438836348684209</c:v>
                </c:pt>
                <c:pt idx="10">
                  <c:v>0.43738858297349759</c:v>
                </c:pt>
              </c:numCache>
            </c:numRef>
          </c:val>
          <c:smooth val="0"/>
          <c:extLst xmlns:c16r2="http://schemas.microsoft.com/office/drawing/2015/06/chart">
            <c:ext xmlns:c16="http://schemas.microsoft.com/office/drawing/2014/chart" uri="{C3380CC4-5D6E-409C-BE32-E72D297353CC}">
              <c16:uniqueId val="{00000004-D2DC-462F-BFAA-4AD1D02FFB9F}"/>
            </c:ext>
          </c:extLst>
        </c:ser>
        <c:ser>
          <c:idx val="5"/>
          <c:order val="5"/>
          <c:tx>
            <c:strRef>
              <c:f>'DCs as % growth Capex'!$A$8</c:f>
              <c:strCache>
                <c:ptCount val="1"/>
                <c:pt idx="0">
                  <c:v>Kapiti CoastDC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Capex'!$B$8:$L$8</c:f>
              <c:numCache>
                <c:formatCode>General</c:formatCode>
                <c:ptCount val="11"/>
                <c:pt idx="0">
                  <c:v>0.26772388059701491</c:v>
                </c:pt>
                <c:pt idx="1">
                  <c:v>0.70010131712259371</c:v>
                </c:pt>
                <c:pt idx="2">
                  <c:v>0.74266617155588566</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5-D2DC-462F-BFAA-4AD1D02FFB9F}"/>
            </c:ext>
          </c:extLst>
        </c:ser>
        <c:ser>
          <c:idx val="6"/>
          <c:order val="6"/>
          <c:tx>
            <c:strRef>
              <c:f>'DCs as % growth Capex'!$A$9</c:f>
              <c:strCache>
                <c:ptCount val="1"/>
                <c:pt idx="0">
                  <c:v>NelsonCC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Capex'!$B$9:$L$9</c:f>
              <c:numCache>
                <c:formatCode>General</c:formatCode>
                <c:ptCount val="11"/>
                <c:pt idx="0">
                  <c:v>0.50660410149461244</c:v>
                </c:pt>
                <c:pt idx="1">
                  <c:v>0.63614766081871343</c:v>
                </c:pt>
                <c:pt idx="2">
                  <c:v>0.80159661892463019</c:v>
                </c:pt>
                <c:pt idx="3">
                  <c:v>0.63604240282685509</c:v>
                </c:pt>
                <c:pt idx="4">
                  <c:v>0.54759881002974931</c:v>
                </c:pt>
                <c:pt idx="5">
                  <c:v>0.46616009895741295</c:v>
                </c:pt>
                <c:pt idx="6">
                  <c:v>0.71086556169429094</c:v>
                </c:pt>
                <c:pt idx="7">
                  <c:v>0.55968491213896188</c:v>
                </c:pt>
                <c:pt idx="8">
                  <c:v>0.54047890535917897</c:v>
                </c:pt>
                <c:pt idx="9">
                  <c:v>0.31351293334764407</c:v>
                </c:pt>
                <c:pt idx="10">
                  <c:v>0.35377521613832852</c:v>
                </c:pt>
              </c:numCache>
            </c:numRef>
          </c:val>
          <c:smooth val="0"/>
          <c:extLst xmlns:c16r2="http://schemas.microsoft.com/office/drawing/2015/06/chart">
            <c:ext xmlns:c16="http://schemas.microsoft.com/office/drawing/2014/chart" uri="{C3380CC4-5D6E-409C-BE32-E72D297353CC}">
              <c16:uniqueId val="{00000006-D2DC-462F-BFAA-4AD1D02FFB9F}"/>
            </c:ext>
          </c:extLst>
        </c:ser>
        <c:ser>
          <c:idx val="7"/>
          <c:order val="7"/>
          <c:tx>
            <c:strRef>
              <c:f>'DCs as % growth Capex'!$A$10</c:f>
              <c:strCache>
                <c:ptCount val="1"/>
                <c:pt idx="0">
                  <c:v>NewPlymouthDC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Capex'!$B$10:$L$10</c:f>
              <c:numCache>
                <c:formatCode>General</c:formatCode>
                <c:ptCount val="11"/>
                <c:pt idx="0">
                  <c:v>1.4</c:v>
                </c:pt>
                <c:pt idx="1">
                  <c:v>0.59433962264150941</c:v>
                </c:pt>
                <c:pt idx="2">
                  <c:v>0.80299089726918071</c:v>
                </c:pt>
                <c:pt idx="3">
                  <c:v>0.15590551181102363</c:v>
                </c:pt>
                <c:pt idx="4">
                  <c:v>0.29081485747192631</c:v>
                </c:pt>
                <c:pt idx="5">
                  <c:v>0.15303119482048264</c:v>
                </c:pt>
                <c:pt idx="6">
                  <c:v>0.13528891136679733</c:v>
                </c:pt>
                <c:pt idx="7">
                  <c:v>1.577424023154848</c:v>
                </c:pt>
                <c:pt idx="8">
                  <c:v>0.7133757961783439</c:v>
                </c:pt>
                <c:pt idx="9">
                  <c:v>1.4910025706940875</c:v>
                </c:pt>
                <c:pt idx="10">
                  <c:v>1.576158940397351</c:v>
                </c:pt>
              </c:numCache>
            </c:numRef>
          </c:val>
          <c:smooth val="0"/>
          <c:extLst xmlns:c16r2="http://schemas.microsoft.com/office/drawing/2015/06/chart">
            <c:ext xmlns:c16="http://schemas.microsoft.com/office/drawing/2014/chart" uri="{C3380CC4-5D6E-409C-BE32-E72D297353CC}">
              <c16:uniqueId val="{00000007-D2DC-462F-BFAA-4AD1D02FFB9F}"/>
            </c:ext>
          </c:extLst>
        </c:ser>
        <c:ser>
          <c:idx val="8"/>
          <c:order val="8"/>
          <c:tx>
            <c:strRef>
              <c:f>'DCs as % growth Capex'!$A$11</c:f>
              <c:strCache>
                <c:ptCount val="1"/>
                <c:pt idx="0">
                  <c:v>OpotikiDC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Capex'!$B$11:$L$11</c:f>
              <c:numCache>
                <c:formatCode>General</c:formatCode>
                <c:ptCount val="11"/>
                <c:pt idx="0">
                  <c:v>3.6476868327402136E-2</c:v>
                </c:pt>
                <c:pt idx="1">
                  <c:v>0</c:v>
                </c:pt>
                <c:pt idx="2">
                  <c:v>0</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8-D2DC-462F-BFAA-4AD1D02FFB9F}"/>
            </c:ext>
          </c:extLst>
        </c:ser>
        <c:ser>
          <c:idx val="9"/>
          <c:order val="9"/>
          <c:tx>
            <c:strRef>
              <c:f>'DCs as % growth Capex'!$A$12</c:f>
              <c:strCache>
                <c:ptCount val="1"/>
                <c:pt idx="0">
                  <c:v>QLDC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Capex'!$B$12:$L$12</c:f>
              <c:numCache>
                <c:formatCode>General</c:formatCode>
                <c:ptCount val="11"/>
                <c:pt idx="0">
                  <c:v>1.1245882858370329</c:v>
                </c:pt>
                <c:pt idx="1">
                  <c:v>0.52916396629941675</c:v>
                </c:pt>
                <c:pt idx="2">
                  <c:v>0.60474126003136242</c:v>
                </c:pt>
                <c:pt idx="3">
                  <c:v>0.2938157894736842</c:v>
                </c:pt>
                <c:pt idx="4">
                  <c:v>0.72106221222828992</c:v>
                </c:pt>
                <c:pt idx="5">
                  <c:v>0.97976843388177937</c:v>
                </c:pt>
                <c:pt idx="6">
                  <c:v>1.4997160704145371</c:v>
                </c:pt>
                <c:pt idx="7">
                  <c:v>1.1051282051282052</c:v>
                </c:pt>
                <c:pt idx="8">
                  <c:v>0.82688436591366588</c:v>
                </c:pt>
                <c:pt idx="9">
                  <c:v>1.827400468384075</c:v>
                </c:pt>
                <c:pt idx="10">
                  <c:v>1.7694669883746437</c:v>
                </c:pt>
              </c:numCache>
            </c:numRef>
          </c:val>
          <c:smooth val="0"/>
          <c:extLst xmlns:c16r2="http://schemas.microsoft.com/office/drawing/2015/06/chart">
            <c:ext xmlns:c16="http://schemas.microsoft.com/office/drawing/2014/chart" uri="{C3380CC4-5D6E-409C-BE32-E72D297353CC}">
              <c16:uniqueId val="{00000009-D2DC-462F-BFAA-4AD1D02FFB9F}"/>
            </c:ext>
          </c:extLst>
        </c:ser>
        <c:ser>
          <c:idx val="10"/>
          <c:order val="10"/>
          <c:tx>
            <c:strRef>
              <c:f>'DCs as % growth Capex'!$A$13</c:f>
              <c:strCache>
                <c:ptCount val="1"/>
                <c:pt idx="0">
                  <c:v>RuapehuDC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Capex'!$B$13:$L$13</c:f>
              <c:numCache>
                <c:formatCode>General</c:formatCode>
                <c:ptCount val="11"/>
                <c:pt idx="0">
                  <c:v>9.711286089238845E-2</c:v>
                </c:pt>
                <c:pt idx="1">
                  <c:v>0.64601769911504425</c:v>
                </c:pt>
                <c:pt idx="2">
                  <c:v>0.93846153846153846</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A-D2DC-462F-BFAA-4AD1D02FFB9F}"/>
            </c:ext>
          </c:extLst>
        </c:ser>
        <c:ser>
          <c:idx val="11"/>
          <c:order val="11"/>
          <c:tx>
            <c:strRef>
              <c:f>'DCs as % growth Capex'!$A$14</c:f>
              <c:strCache>
                <c:ptCount val="1"/>
                <c:pt idx="0">
                  <c:v>SelwynDC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Capex'!$B$14:$L$14</c:f>
              <c:numCache>
                <c:formatCode>General</c:formatCode>
                <c:ptCount val="11"/>
                <c:pt idx="0">
                  <c:v>1.4523422860712054</c:v>
                </c:pt>
                <c:pt idx="1">
                  <c:v>0.82889590854392303</c:v>
                </c:pt>
                <c:pt idx="2">
                  <c:v>0.75112443778110949</c:v>
                </c:pt>
                <c:pt idx="3">
                  <c:v>0.67898714624593148</c:v>
                </c:pt>
                <c:pt idx="4">
                  <c:v>0.25485667147865537</c:v>
                </c:pt>
                <c:pt idx="5">
                  <c:v>0.37640916103002253</c:v>
                </c:pt>
                <c:pt idx="6">
                  <c:v>0.42501013376570734</c:v>
                </c:pt>
                <c:pt idx="7">
                  <c:v>0.78925171707434627</c:v>
                </c:pt>
                <c:pt idx="8">
                  <c:v>0.1877098870426098</c:v>
                </c:pt>
                <c:pt idx="9">
                  <c:v>0.705482275350371</c:v>
                </c:pt>
                <c:pt idx="10">
                  <c:v>0.79467503778630388</c:v>
                </c:pt>
              </c:numCache>
            </c:numRef>
          </c:val>
          <c:smooth val="0"/>
          <c:extLst xmlns:c16r2="http://schemas.microsoft.com/office/drawing/2015/06/chart">
            <c:ext xmlns:c16="http://schemas.microsoft.com/office/drawing/2014/chart" uri="{C3380CC4-5D6E-409C-BE32-E72D297353CC}">
              <c16:uniqueId val="{0000000B-D2DC-462F-BFAA-4AD1D02FFB9F}"/>
            </c:ext>
          </c:extLst>
        </c:ser>
        <c:ser>
          <c:idx val="12"/>
          <c:order val="12"/>
          <c:tx>
            <c:strRef>
              <c:f>'DCs as % growth Capex'!$A$15</c:f>
              <c:strCache>
                <c:ptCount val="1"/>
                <c:pt idx="0">
                  <c:v>TimaruDC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Capex'!$B$15:$L$15</c:f>
              <c:numCache>
                <c:formatCode>General</c:formatCode>
                <c:ptCount val="11"/>
                <c:pt idx="0">
                  <c:v>3.5931790499390985E-2</c:v>
                </c:pt>
                <c:pt idx="1">
                  <c:v>1.5691868758915834E-2</c:v>
                </c:pt>
                <c:pt idx="2">
                  <c:v>2.8571428571428571E-2</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C-D2DC-462F-BFAA-4AD1D02FFB9F}"/>
            </c:ext>
          </c:extLst>
        </c:ser>
        <c:ser>
          <c:idx val="13"/>
          <c:order val="13"/>
          <c:tx>
            <c:strRef>
              <c:f>'DCs as % growth Capex'!$A$16</c:f>
              <c:strCache>
                <c:ptCount val="1"/>
                <c:pt idx="0">
                  <c:v>WestlandDC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Capex'!$B$16:$L$16</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mooth val="0"/>
          <c:extLst xmlns:c16r2="http://schemas.microsoft.com/office/drawing/2015/06/chart">
            <c:ext xmlns:c16="http://schemas.microsoft.com/office/drawing/2014/chart" uri="{C3380CC4-5D6E-409C-BE32-E72D297353CC}">
              <c16:uniqueId val="{0000000D-D2DC-462F-BFAA-4AD1D02FFB9F}"/>
            </c:ext>
          </c:extLst>
        </c:ser>
        <c:ser>
          <c:idx val="14"/>
          <c:order val="14"/>
          <c:tx>
            <c:strRef>
              <c:f>'DCs as % growth Capex'!$A$17</c:f>
              <c:strCache>
                <c:ptCount val="1"/>
                <c:pt idx="0">
                  <c:v>WhangareiDC</c:v>
                </c:pt>
              </c:strCache>
            </c:strRef>
          </c:tx>
          <c:spPr>
            <a:ln>
              <a:solidFill>
                <a:schemeClr val="bg1">
                  <a:lumMod val="85000"/>
                </a:schemeClr>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Capex'!$B$17:$L$17</c:f>
              <c:numCache>
                <c:formatCode>General</c:formatCode>
                <c:ptCount val="11"/>
                <c:pt idx="0">
                  <c:v>0.20818238048952903</c:v>
                </c:pt>
                <c:pt idx="1">
                  <c:v>0.52739090064995353</c:v>
                </c:pt>
                <c:pt idx="2">
                  <c:v>4.2320544554455441</c:v>
                </c:pt>
                <c:pt idx="3">
                  <c:v>0.83942457231726286</c:v>
                </c:pt>
                <c:pt idx="4">
                  <c:v>0.79489051094890506</c:v>
                </c:pt>
                <c:pt idx="5">
                  <c:v>0.34467084639498435</c:v>
                </c:pt>
                <c:pt idx="6">
                  <c:v>0.25084784083201445</c:v>
                </c:pt>
                <c:pt idx="7">
                  <c:v>0.40557667934093788</c:v>
                </c:pt>
                <c:pt idx="8">
                  <c:v>0.14863976869496648</c:v>
                </c:pt>
                <c:pt idx="9">
                  <c:v>0.24726524423264379</c:v>
                </c:pt>
                <c:pt idx="10">
                  <c:v>0.62203023758099352</c:v>
                </c:pt>
              </c:numCache>
            </c:numRef>
          </c:val>
          <c:smooth val="0"/>
          <c:extLst xmlns:c16r2="http://schemas.microsoft.com/office/drawing/2015/06/chart">
            <c:ext xmlns:c16="http://schemas.microsoft.com/office/drawing/2014/chart" uri="{C3380CC4-5D6E-409C-BE32-E72D297353CC}">
              <c16:uniqueId val="{0000000E-D2DC-462F-BFAA-4AD1D02FFB9F}"/>
            </c:ext>
          </c:extLst>
        </c:ser>
        <c:ser>
          <c:idx val="15"/>
          <c:order val="15"/>
          <c:tx>
            <c:strRef>
              <c:f>'DCs as % growth Capex'!$A$18</c:f>
              <c:strCache>
                <c:ptCount val="1"/>
                <c:pt idx="0">
                  <c:v>Average</c:v>
                </c:pt>
              </c:strCache>
            </c:strRef>
          </c:tx>
          <c:spPr>
            <a:ln>
              <a:solidFill>
                <a:schemeClr val="accent2"/>
              </a:solidFill>
            </a:ln>
          </c:spPr>
          <c:marker>
            <c:symbol val="none"/>
          </c:marker>
          <c:cat>
            <c:numRef>
              <c:f>'DCs as % growth Capex'!$B$2:$L$2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'DCs as % growth Capex'!$B$18:$L$18</c:f>
              <c:numCache>
                <c:formatCode>General</c:formatCode>
                <c:ptCount val="11"/>
                <c:pt idx="0">
                  <c:v>0.81451328167367876</c:v>
                </c:pt>
                <c:pt idx="1">
                  <c:v>0.61546914119608143</c:v>
                </c:pt>
                <c:pt idx="2">
                  <c:v>1.1172764832925226</c:v>
                </c:pt>
                <c:pt idx="3">
                  <c:v>0.45626639126677787</c:v>
                </c:pt>
                <c:pt idx="4">
                  <c:v>0.54860870725312849</c:v>
                </c:pt>
                <c:pt idx="5">
                  <c:v>0.5376193000317474</c:v>
                </c:pt>
                <c:pt idx="6">
                  <c:v>0.66606796392145962</c:v>
                </c:pt>
                <c:pt idx="7">
                  <c:v>0.72759226687770917</c:v>
                </c:pt>
                <c:pt idx="8">
                  <c:v>0.62828767174281575</c:v>
                </c:pt>
                <c:pt idx="9">
                  <c:v>0.94230658815891766</c:v>
                </c:pt>
                <c:pt idx="10">
                  <c:v>0.86368475144000612</c:v>
                </c:pt>
              </c:numCache>
            </c:numRef>
          </c:val>
          <c:smooth val="0"/>
          <c:extLst xmlns:c16r2="http://schemas.microsoft.com/office/drawing/2015/06/chart">
            <c:ext xmlns:c16="http://schemas.microsoft.com/office/drawing/2014/chart" uri="{C3380CC4-5D6E-409C-BE32-E72D297353CC}">
              <c16:uniqueId val="{0000000F-D2DC-462F-BFAA-4AD1D02FFB9F}"/>
            </c:ext>
          </c:extLst>
        </c:ser>
        <c:dLbls>
          <c:showLegendKey val="0"/>
          <c:showVal val="0"/>
          <c:showCatName val="0"/>
          <c:showSerName val="0"/>
          <c:showPercent val="0"/>
          <c:showBubbleSize val="0"/>
        </c:dLbls>
        <c:marker val="1"/>
        <c:smooth val="0"/>
        <c:axId val="124738944"/>
        <c:axId val="124740736"/>
      </c:lineChart>
      <c:catAx>
        <c:axId val="124738944"/>
        <c:scaling>
          <c:orientation val="minMax"/>
        </c:scaling>
        <c:delete val="0"/>
        <c:axPos val="b"/>
        <c:numFmt formatCode="General" sourceLinked="1"/>
        <c:majorTickMark val="out"/>
        <c:minorTickMark val="none"/>
        <c:tickLblPos val="nextTo"/>
        <c:crossAx val="124740736"/>
        <c:crosses val="autoZero"/>
        <c:auto val="1"/>
        <c:lblAlgn val="ctr"/>
        <c:lblOffset val="100"/>
        <c:noMultiLvlLbl val="0"/>
      </c:catAx>
      <c:valAx>
        <c:axId val="124740736"/>
        <c:scaling>
          <c:orientation val="minMax"/>
        </c:scaling>
        <c:delete val="0"/>
        <c:axPos val="l"/>
        <c:majorGridlines/>
        <c:numFmt formatCode="0%" sourceLinked="0"/>
        <c:majorTickMark val="out"/>
        <c:minorTickMark val="none"/>
        <c:tickLblPos val="nextTo"/>
        <c:crossAx val="12473894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05705770057475E-2"/>
          <c:y val="5.9614880310841702E-2"/>
          <c:w val="0.89807683261619753"/>
          <c:h val="0.76972780756372328"/>
        </c:manualLayout>
      </c:layout>
      <c:lineChart>
        <c:grouping val="standard"/>
        <c:varyColors val="0"/>
        <c:ser>
          <c:idx val="0"/>
          <c:order val="0"/>
          <c:tx>
            <c:strRef>
              <c:f>'Comparison of ratios'!$A$4</c:f>
              <c:strCache>
                <c:ptCount val="1"/>
                <c:pt idx="0">
                  <c:v>Depreciation funding ratio</c:v>
                </c:pt>
              </c:strCache>
            </c:strRef>
          </c:tx>
          <c:marker>
            <c:symbol val="none"/>
          </c:marker>
          <c:cat>
            <c:numRef>
              <c:f>'Comparison of ratios'!$B$3:$L$3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'Comparison of ratios'!$B$4:$L$4</c:f>
              <c:numCache>
                <c:formatCode>General</c:formatCode>
                <c:ptCount val="11"/>
                <c:pt idx="0">
                  <c:v>0.81877090680540521</c:v>
                </c:pt>
                <c:pt idx="1">
                  <c:v>0.927609904661017</c:v>
                </c:pt>
                <c:pt idx="2">
                  <c:v>0.89189100577431257</c:v>
                </c:pt>
                <c:pt idx="3">
                  <c:v>1.030096694737543</c:v>
                </c:pt>
                <c:pt idx="4">
                  <c:v>1.1076850258175559</c:v>
                </c:pt>
                <c:pt idx="5">
                  <c:v>1.1743054699476871</c:v>
                </c:pt>
                <c:pt idx="6">
                  <c:v>1.2643734863972322</c:v>
                </c:pt>
                <c:pt idx="7">
                  <c:v>1.2077250705261868</c:v>
                </c:pt>
                <c:pt idx="8">
                  <c:v>1.2739129085643359</c:v>
                </c:pt>
                <c:pt idx="9">
                  <c:v>1.2911763198359816</c:v>
                </c:pt>
                <c:pt idx="10">
                  <c:v>1.3182433885478624</c:v>
                </c:pt>
              </c:numCache>
            </c:numRef>
          </c:val>
          <c:smooth val="0"/>
          <c:extLst xmlns:c16r2="http://schemas.microsoft.com/office/drawing/2015/06/chart">
            <c:ext xmlns:c16="http://schemas.microsoft.com/office/drawing/2014/chart" uri="{C3380CC4-5D6E-409C-BE32-E72D297353CC}">
              <c16:uniqueId val="{00000000-1C8B-4CAB-BA87-9F3239EA4365}"/>
            </c:ext>
          </c:extLst>
        </c:ser>
        <c:ser>
          <c:idx val="2"/>
          <c:order val="1"/>
          <c:tx>
            <c:strRef>
              <c:f>'Comparison of ratios'!$A$6</c:f>
              <c:strCache>
                <c:ptCount val="1"/>
                <c:pt idx="0">
                  <c:v>Renewals capacity ratio</c:v>
                </c:pt>
              </c:strCache>
            </c:strRef>
          </c:tx>
          <c:marker>
            <c:symbol val="none"/>
          </c:marker>
          <c:cat>
            <c:numRef>
              <c:f>'Comparison of ratios'!$B$3:$L$3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'Comparison of ratios'!$B$6:$L$6</c:f>
              <c:numCache>
                <c:formatCode>General</c:formatCode>
                <c:ptCount val="11"/>
                <c:pt idx="0">
                  <c:v>0.95809909563881424</c:v>
                </c:pt>
                <c:pt idx="1">
                  <c:v>1.0226430084745763</c:v>
                </c:pt>
                <c:pt idx="2">
                  <c:v>0.40987831533618241</c:v>
                </c:pt>
                <c:pt idx="3">
                  <c:v>0.47390407083180774</c:v>
                </c:pt>
                <c:pt idx="4">
                  <c:v>0.54960542980547522</c:v>
                </c:pt>
                <c:pt idx="5">
                  <c:v>0.64909202977573377</c:v>
                </c:pt>
                <c:pt idx="6">
                  <c:v>0.69405566913036643</c:v>
                </c:pt>
                <c:pt idx="7">
                  <c:v>0.7871795658039985</c:v>
                </c:pt>
                <c:pt idx="8">
                  <c:v>0.6184467167090254</c:v>
                </c:pt>
                <c:pt idx="9">
                  <c:v>0.69706418360954492</c:v>
                </c:pt>
                <c:pt idx="10">
                  <c:v>0.88207592111173116</c:v>
                </c:pt>
              </c:numCache>
            </c:numRef>
          </c:val>
          <c:smooth val="0"/>
          <c:extLst xmlns:c16r2="http://schemas.microsoft.com/office/drawing/2015/06/chart">
            <c:ext xmlns:c16="http://schemas.microsoft.com/office/drawing/2014/chart" uri="{C3380CC4-5D6E-409C-BE32-E72D297353CC}">
              <c16:uniqueId val="{00000002-1C8B-4CAB-BA87-9F3239EA4365}"/>
            </c:ext>
          </c:extLst>
        </c:ser>
        <c:ser>
          <c:idx val="3"/>
          <c:order val="2"/>
          <c:tx>
            <c:strRef>
              <c:f>'Comparison of ratios'!$A$7</c:f>
              <c:strCache>
                <c:ptCount val="1"/>
                <c:pt idx="0">
                  <c:v>Renewals ratio</c:v>
                </c:pt>
              </c:strCache>
            </c:strRef>
          </c:tx>
          <c:marker>
            <c:symbol val="none"/>
          </c:marker>
          <c:cat>
            <c:numRef>
              <c:f>'Comparison of ratios'!$B$3:$L$3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'Comparison of ratios'!$B$7:$L$7</c:f>
              <c:numCache>
                <c:formatCode>General</c:formatCode>
                <c:ptCount val="11"/>
                <c:pt idx="0">
                  <c:v>0.52779089621099284</c:v>
                </c:pt>
                <c:pt idx="1">
                  <c:v>0.55578422310201092</c:v>
                </c:pt>
                <c:pt idx="2">
                  <c:v>0.57171797624406973</c:v>
                </c:pt>
                <c:pt idx="3">
                  <c:v>0.62232466797590125</c:v>
                </c:pt>
                <c:pt idx="4">
                  <c:v>0.63100379956483621</c:v>
                </c:pt>
                <c:pt idx="5">
                  <c:v>0.63233922842286594</c:v>
                </c:pt>
                <c:pt idx="6">
                  <c:v>0.72014467683598049</c:v>
                </c:pt>
                <c:pt idx="7">
                  <c:v>0.78262602722924079</c:v>
                </c:pt>
                <c:pt idx="8">
                  <c:v>0.76301790885986165</c:v>
                </c:pt>
                <c:pt idx="9">
                  <c:v>0.64224898912238737</c:v>
                </c:pt>
                <c:pt idx="10">
                  <c:v>0.59613997359502391</c:v>
                </c:pt>
              </c:numCache>
            </c:numRef>
          </c:val>
          <c:smooth val="0"/>
          <c:extLst xmlns:c16r2="http://schemas.microsoft.com/office/drawing/2015/06/chart">
            <c:ext xmlns:c16="http://schemas.microsoft.com/office/drawing/2014/chart" uri="{C3380CC4-5D6E-409C-BE32-E72D297353CC}">
              <c16:uniqueId val="{00000003-1C8B-4CAB-BA87-9F3239EA4365}"/>
            </c:ext>
          </c:extLst>
        </c:ser>
        <c:dLbls>
          <c:showLegendKey val="0"/>
          <c:showVal val="0"/>
          <c:showCatName val="0"/>
          <c:showSerName val="0"/>
          <c:showPercent val="0"/>
          <c:showBubbleSize val="0"/>
        </c:dLbls>
        <c:marker val="1"/>
        <c:smooth val="0"/>
        <c:axId val="123955456"/>
        <c:axId val="123957248"/>
      </c:lineChart>
      <c:catAx>
        <c:axId val="123955456"/>
        <c:scaling>
          <c:orientation val="minMax"/>
        </c:scaling>
        <c:delete val="0"/>
        <c:axPos val="b"/>
        <c:numFmt formatCode="General" sourceLinked="1"/>
        <c:majorTickMark val="out"/>
        <c:minorTickMark val="none"/>
        <c:tickLblPos val="nextTo"/>
        <c:crossAx val="123957248"/>
        <c:crosses val="autoZero"/>
        <c:auto val="1"/>
        <c:lblAlgn val="ctr"/>
        <c:lblOffset val="100"/>
        <c:noMultiLvlLbl val="0"/>
      </c:catAx>
      <c:valAx>
        <c:axId val="123957248"/>
        <c:scaling>
          <c:orientation val="minMax"/>
        </c:scaling>
        <c:delete val="0"/>
        <c:axPos val="l"/>
        <c:majorGridlines/>
        <c:numFmt formatCode="0%" sourceLinked="0"/>
        <c:majorTickMark val="out"/>
        <c:minorTickMark val="none"/>
        <c:tickLblPos val="nextTo"/>
        <c:crossAx val="1239554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7345917918452E-2"/>
          <c:y val="8.0510610507194186E-2"/>
          <c:w val="0.90250917317067947"/>
          <c:h val="0.76916913532955689"/>
        </c:manualLayout>
      </c:layout>
      <c:lineChart>
        <c:grouping val="standard"/>
        <c:varyColors val="0"/>
        <c:ser>
          <c:idx val="0"/>
          <c:order val="0"/>
          <c:tx>
            <c:strRef>
              <c:f>Ratesrises!$E$5</c:f>
              <c:strCache>
                <c:ptCount val="1"/>
                <c:pt idx="0">
                  <c:v>High growth</c:v>
                </c:pt>
              </c:strCache>
            </c:strRef>
          </c:tx>
          <c:marker>
            <c:symbol val="none"/>
          </c:marker>
          <c:cat>
            <c:numRef>
              <c:f>Ratesrises!$D$6:$D$14</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Ratesrises!$E$6:$E$14</c:f>
              <c:numCache>
                <c:formatCode>General</c:formatCode>
                <c:ptCount val="9"/>
                <c:pt idx="0">
                  <c:v>5.8005852896449772E-2</c:v>
                </c:pt>
                <c:pt idx="1">
                  <c:v>5.3492313230658228E-2</c:v>
                </c:pt>
                <c:pt idx="2">
                  <c:v>4.4369590207415599E-2</c:v>
                </c:pt>
                <c:pt idx="3">
                  <c:v>4.4819044754597269E-2</c:v>
                </c:pt>
                <c:pt idx="4">
                  <c:v>4.4755472536052353E-2</c:v>
                </c:pt>
                <c:pt idx="5">
                  <c:v>4.100521211084146E-2</c:v>
                </c:pt>
                <c:pt idx="6">
                  <c:v>4.4064525467337599E-2</c:v>
                </c:pt>
                <c:pt idx="7">
                  <c:v>4.280924373285816E-2</c:v>
                </c:pt>
                <c:pt idx="8">
                  <c:v>4.4785698661396735E-2</c:v>
                </c:pt>
              </c:numCache>
            </c:numRef>
          </c:val>
          <c:smooth val="0"/>
          <c:extLst xmlns:c16r2="http://schemas.microsoft.com/office/drawing/2015/06/chart">
            <c:ext xmlns:c16="http://schemas.microsoft.com/office/drawing/2014/chart" uri="{C3380CC4-5D6E-409C-BE32-E72D297353CC}">
              <c16:uniqueId val="{00000000-0F29-4805-9BBB-283BFA71E6FA}"/>
            </c:ext>
          </c:extLst>
        </c:ser>
        <c:ser>
          <c:idx val="1"/>
          <c:order val="1"/>
          <c:tx>
            <c:strRef>
              <c:f>Ratesrises!$F$5</c:f>
              <c:strCache>
                <c:ptCount val="1"/>
                <c:pt idx="0">
                  <c:v>Medium Growth</c:v>
                </c:pt>
              </c:strCache>
            </c:strRef>
          </c:tx>
          <c:marker>
            <c:symbol val="none"/>
          </c:marker>
          <c:cat>
            <c:numRef>
              <c:f>Ratesrises!$D$6:$D$14</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Ratesrises!$F$6:$F$14</c:f>
              <c:numCache>
                <c:formatCode>General</c:formatCode>
                <c:ptCount val="9"/>
                <c:pt idx="0">
                  <c:v>4.3666288492245332E-2</c:v>
                </c:pt>
                <c:pt idx="1">
                  <c:v>4.4837670063396402E-2</c:v>
                </c:pt>
                <c:pt idx="2">
                  <c:v>4.4323579027936377E-2</c:v>
                </c:pt>
                <c:pt idx="3">
                  <c:v>4.2355455006565346E-2</c:v>
                </c:pt>
                <c:pt idx="4">
                  <c:v>4.4469836530476238E-2</c:v>
                </c:pt>
                <c:pt idx="5">
                  <c:v>3.8155368100774564E-2</c:v>
                </c:pt>
                <c:pt idx="6">
                  <c:v>3.6535243340870265E-2</c:v>
                </c:pt>
                <c:pt idx="7">
                  <c:v>3.4755933725288325E-2</c:v>
                </c:pt>
                <c:pt idx="8">
                  <c:v>3.4851744677941977E-2</c:v>
                </c:pt>
              </c:numCache>
            </c:numRef>
          </c:val>
          <c:smooth val="0"/>
          <c:extLst xmlns:c16r2="http://schemas.microsoft.com/office/drawing/2015/06/chart">
            <c:ext xmlns:c16="http://schemas.microsoft.com/office/drawing/2014/chart" uri="{C3380CC4-5D6E-409C-BE32-E72D297353CC}">
              <c16:uniqueId val="{00000001-0F29-4805-9BBB-283BFA71E6FA}"/>
            </c:ext>
          </c:extLst>
        </c:ser>
        <c:ser>
          <c:idx val="2"/>
          <c:order val="2"/>
          <c:tx>
            <c:strRef>
              <c:f>Ratesrises!$G$5</c:f>
              <c:strCache>
                <c:ptCount val="1"/>
                <c:pt idx="0">
                  <c:v>Low growth</c:v>
                </c:pt>
              </c:strCache>
            </c:strRef>
          </c:tx>
          <c:marker>
            <c:symbol val="none"/>
          </c:marker>
          <c:cat>
            <c:numRef>
              <c:f>Ratesrises!$D$6:$D$14</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Ratesrises!$G$6:$G$14</c:f>
              <c:numCache>
                <c:formatCode>General</c:formatCode>
                <c:ptCount val="9"/>
                <c:pt idx="0">
                  <c:v>4.0610588985267503E-2</c:v>
                </c:pt>
                <c:pt idx="1">
                  <c:v>4.5438874951249292E-2</c:v>
                </c:pt>
                <c:pt idx="2">
                  <c:v>3.6678055320289664E-2</c:v>
                </c:pt>
                <c:pt idx="3">
                  <c:v>3.4575695804791307E-2</c:v>
                </c:pt>
                <c:pt idx="4">
                  <c:v>3.2509442052152122E-2</c:v>
                </c:pt>
                <c:pt idx="5">
                  <c:v>3.0899648602614894E-2</c:v>
                </c:pt>
                <c:pt idx="6">
                  <c:v>3.0368491065732278E-2</c:v>
                </c:pt>
                <c:pt idx="7">
                  <c:v>3.115900284028908E-2</c:v>
                </c:pt>
                <c:pt idx="8">
                  <c:v>3.157938905152944E-2</c:v>
                </c:pt>
              </c:numCache>
            </c:numRef>
          </c:val>
          <c:smooth val="0"/>
          <c:extLst xmlns:c16r2="http://schemas.microsoft.com/office/drawing/2015/06/chart">
            <c:ext xmlns:c16="http://schemas.microsoft.com/office/drawing/2014/chart" uri="{C3380CC4-5D6E-409C-BE32-E72D297353CC}">
              <c16:uniqueId val="{00000002-0F29-4805-9BBB-283BFA71E6FA}"/>
            </c:ext>
          </c:extLst>
        </c:ser>
        <c:ser>
          <c:idx val="3"/>
          <c:order val="3"/>
          <c:tx>
            <c:strRef>
              <c:f>Ratesrises!$H$5</c:f>
              <c:strCache>
                <c:ptCount val="1"/>
                <c:pt idx="0">
                  <c:v>Decline</c:v>
                </c:pt>
              </c:strCache>
            </c:strRef>
          </c:tx>
          <c:marker>
            <c:symbol val="none"/>
          </c:marker>
          <c:cat>
            <c:numRef>
              <c:f>Ratesrises!$D$6:$D$14</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Ratesrises!$H$6:$H$14</c:f>
              <c:numCache>
                <c:formatCode>General</c:formatCode>
                <c:ptCount val="9"/>
                <c:pt idx="0">
                  <c:v>3.953843821658725E-2</c:v>
                </c:pt>
                <c:pt idx="1">
                  <c:v>3.8728301740733884E-2</c:v>
                </c:pt>
                <c:pt idx="2">
                  <c:v>4.1799753303273603E-2</c:v>
                </c:pt>
                <c:pt idx="3">
                  <c:v>3.5171226263939856E-2</c:v>
                </c:pt>
                <c:pt idx="4">
                  <c:v>3.0561958523749388E-2</c:v>
                </c:pt>
                <c:pt idx="5">
                  <c:v>2.7495751768092231E-2</c:v>
                </c:pt>
                <c:pt idx="6">
                  <c:v>2.8153688030367625E-2</c:v>
                </c:pt>
                <c:pt idx="7">
                  <c:v>3.1107339637246753E-2</c:v>
                </c:pt>
                <c:pt idx="8">
                  <c:v>2.3542747374851083E-2</c:v>
                </c:pt>
              </c:numCache>
            </c:numRef>
          </c:val>
          <c:smooth val="0"/>
          <c:extLst xmlns:c16r2="http://schemas.microsoft.com/office/drawing/2015/06/chart">
            <c:ext xmlns:c16="http://schemas.microsoft.com/office/drawing/2014/chart" uri="{C3380CC4-5D6E-409C-BE32-E72D297353CC}">
              <c16:uniqueId val="{00000003-0F29-4805-9BBB-283BFA71E6FA}"/>
            </c:ext>
          </c:extLst>
        </c:ser>
        <c:dLbls>
          <c:showLegendKey val="0"/>
          <c:showVal val="0"/>
          <c:showCatName val="0"/>
          <c:showSerName val="0"/>
          <c:showPercent val="0"/>
          <c:showBubbleSize val="0"/>
        </c:dLbls>
        <c:marker val="1"/>
        <c:smooth val="0"/>
        <c:axId val="34072448"/>
        <c:axId val="34073984"/>
      </c:lineChart>
      <c:catAx>
        <c:axId val="34072448"/>
        <c:scaling>
          <c:orientation val="minMax"/>
        </c:scaling>
        <c:delete val="0"/>
        <c:axPos val="b"/>
        <c:numFmt formatCode="General" sourceLinked="1"/>
        <c:majorTickMark val="out"/>
        <c:minorTickMark val="none"/>
        <c:tickLblPos val="nextTo"/>
        <c:crossAx val="34073984"/>
        <c:crosses val="autoZero"/>
        <c:auto val="1"/>
        <c:lblAlgn val="ctr"/>
        <c:lblOffset val="100"/>
        <c:noMultiLvlLbl val="0"/>
      </c:catAx>
      <c:valAx>
        <c:axId val="34073984"/>
        <c:scaling>
          <c:orientation val="minMax"/>
        </c:scaling>
        <c:delete val="0"/>
        <c:axPos val="l"/>
        <c:majorGridlines/>
        <c:numFmt formatCode="0.0%" sourceLinked="0"/>
        <c:majorTickMark val="out"/>
        <c:minorTickMark val="none"/>
        <c:tickLblPos val="nextTo"/>
        <c:crossAx val="340724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'Rates affordability'!$A$3</c:f>
              <c:strCache>
                <c:ptCount val="1"/>
                <c:pt idx="0">
                  <c:v>Rates affordability % household living expenses</c:v>
                </c:pt>
              </c:strCache>
            </c:strRef>
          </c:tx>
          <c:marker>
            <c:symbol val="none"/>
          </c:marker>
          <c:cat>
            <c:numRef>
              <c:f>'Rates affordability'!$B$2:$I$2</c:f>
              <c:numCache>
                <c:formatCode>General</c:formatCode>
                <c:ptCount val="8"/>
                <c:pt idx="0">
                  <c:v>2018</c:v>
                </c:pt>
                <c:pt idx="1">
                  <c:v>2019</c:v>
                </c:pt>
                <c:pt idx="2">
                  <c:v>2020</c:v>
                </c:pt>
                <c:pt idx="3">
                  <c:v>2021</c:v>
                </c:pt>
                <c:pt idx="4">
                  <c:v>2022</c:v>
                </c:pt>
                <c:pt idx="5">
                  <c:v>2023</c:v>
                </c:pt>
                <c:pt idx="6">
                  <c:v>2024</c:v>
                </c:pt>
                <c:pt idx="7">
                  <c:v>2025</c:v>
                </c:pt>
              </c:numCache>
            </c:numRef>
          </c:cat>
          <c:val>
            <c:numRef>
              <c:f>'Rates affordability'!$B$3:$I$3</c:f>
              <c:numCache>
                <c:formatCode>General</c:formatCode>
                <c:ptCount val="8"/>
                <c:pt idx="0">
                  <c:v>3.9790558071897214E-2</c:v>
                </c:pt>
                <c:pt idx="1">
                  <c:v>4.0372394094256268E-2</c:v>
                </c:pt>
                <c:pt idx="2">
                  <c:v>4.0905016911356694E-2</c:v>
                </c:pt>
                <c:pt idx="3">
                  <c:v>4.1183944244928779E-2</c:v>
                </c:pt>
                <c:pt idx="4">
                  <c:v>4.1474256534624887E-2</c:v>
                </c:pt>
                <c:pt idx="5">
                  <c:v>4.1952203805067673E-2</c:v>
                </c:pt>
                <c:pt idx="6">
                  <c:v>4.2404727060531049E-2</c:v>
                </c:pt>
                <c:pt idx="7">
                  <c:v>4.2871708746980916E-2</c:v>
                </c:pt>
              </c:numCache>
            </c:numRef>
          </c:val>
          <c:smooth val="0"/>
          <c:extLst xmlns:c16r2="http://schemas.microsoft.com/office/drawing/2015/06/chart">
            <c:ext xmlns:c16="http://schemas.microsoft.com/office/drawing/2014/chart" uri="{C3380CC4-5D6E-409C-BE32-E72D297353CC}">
              <c16:uniqueId val="{00000000-2D0B-4F13-A72F-228DEAD16C6B}"/>
            </c:ext>
          </c:extLst>
        </c:ser>
        <c:ser>
          <c:idx val="1"/>
          <c:order val="1"/>
          <c:tx>
            <c:strRef>
              <c:f>'Rates affordability'!$A$4</c:f>
              <c:strCache>
                <c:ptCount val="1"/>
                <c:pt idx="0">
                  <c:v>Rates affordability % of household income</c:v>
                </c:pt>
              </c:strCache>
            </c:strRef>
          </c:tx>
          <c:marker>
            <c:symbol val="none"/>
          </c:marker>
          <c:cat>
            <c:numRef>
              <c:f>'Rates affordability'!$B$2:$I$2</c:f>
              <c:numCache>
                <c:formatCode>General</c:formatCode>
                <c:ptCount val="8"/>
                <c:pt idx="0">
                  <c:v>2018</c:v>
                </c:pt>
                <c:pt idx="1">
                  <c:v>2019</c:v>
                </c:pt>
                <c:pt idx="2">
                  <c:v>2020</c:v>
                </c:pt>
                <c:pt idx="3">
                  <c:v>2021</c:v>
                </c:pt>
                <c:pt idx="4">
                  <c:v>2022</c:v>
                </c:pt>
                <c:pt idx="5">
                  <c:v>2023</c:v>
                </c:pt>
                <c:pt idx="6">
                  <c:v>2024</c:v>
                </c:pt>
                <c:pt idx="7">
                  <c:v>2025</c:v>
                </c:pt>
              </c:numCache>
            </c:numRef>
          </c:cat>
          <c:val>
            <c:numRef>
              <c:f>'Rates affordability'!$B$4:$I$4</c:f>
              <c:numCache>
                <c:formatCode>General</c:formatCode>
                <c:ptCount val="8"/>
                <c:pt idx="0">
                  <c:v>3.7367518852871734E-2</c:v>
                </c:pt>
                <c:pt idx="1">
                  <c:v>3.8012421053180513E-2</c:v>
                </c:pt>
                <c:pt idx="2">
                  <c:v>3.8591009681598391E-2</c:v>
                </c:pt>
                <c:pt idx="3">
                  <c:v>3.894617465353508E-2</c:v>
                </c:pt>
                <c:pt idx="4">
                  <c:v>3.9303113199693741E-2</c:v>
                </c:pt>
                <c:pt idx="5">
                  <c:v>3.9836609723466143E-2</c:v>
                </c:pt>
                <c:pt idx="6">
                  <c:v>4.0365094986054777E-2</c:v>
                </c:pt>
                <c:pt idx="7">
                  <c:v>4.0881143033051542E-2</c:v>
                </c:pt>
              </c:numCache>
            </c:numRef>
          </c:val>
          <c:smooth val="0"/>
          <c:extLst xmlns:c16r2="http://schemas.microsoft.com/office/drawing/2015/06/chart">
            <c:ext xmlns:c16="http://schemas.microsoft.com/office/drawing/2014/chart" uri="{C3380CC4-5D6E-409C-BE32-E72D297353CC}">
              <c16:uniqueId val="{00000001-2D0B-4F13-A72F-228DEAD16C6B}"/>
            </c:ext>
          </c:extLst>
        </c:ser>
        <c:dLbls>
          <c:showLegendKey val="0"/>
          <c:showVal val="0"/>
          <c:showCatName val="0"/>
          <c:showSerName val="0"/>
          <c:showPercent val="0"/>
          <c:showBubbleSize val="0"/>
        </c:dLbls>
        <c:marker val="1"/>
        <c:smooth val="0"/>
        <c:axId val="112741376"/>
        <c:axId val="114111232"/>
      </c:lineChart>
      <c:catAx>
        <c:axId val="112741376"/>
        <c:scaling>
          <c:orientation val="minMax"/>
        </c:scaling>
        <c:delete val="0"/>
        <c:axPos val="b"/>
        <c:numFmt formatCode="General" sourceLinked="1"/>
        <c:majorTickMark val="out"/>
        <c:minorTickMark val="none"/>
        <c:tickLblPos val="nextTo"/>
        <c:crossAx val="114111232"/>
        <c:crosses val="autoZero"/>
        <c:auto val="1"/>
        <c:lblAlgn val="ctr"/>
        <c:lblOffset val="100"/>
        <c:noMultiLvlLbl val="0"/>
      </c:catAx>
      <c:valAx>
        <c:axId val="114111232"/>
        <c:scaling>
          <c:orientation val="minMax"/>
        </c:scaling>
        <c:delete val="0"/>
        <c:axPos val="l"/>
        <c:majorGridlines/>
        <c:numFmt formatCode="0.0%" sourceLinked="0"/>
        <c:majorTickMark val="out"/>
        <c:minorTickMark val="none"/>
        <c:tickLblPos val="nextTo"/>
        <c:crossAx val="11274137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18718513266411"/>
          <c:y val="6.7155413088090948E-2"/>
          <c:w val="0.86390549522541915"/>
          <c:h val="0.73153813788543609"/>
        </c:manualLayout>
      </c:layout>
      <c:lineChart>
        <c:grouping val="standard"/>
        <c:varyColors val="0"/>
        <c:ser>
          <c:idx val="0"/>
          <c:order val="0"/>
          <c:tx>
            <c:strRef>
              <c:f>'Rates vs living costs stats'!$B$1</c:f>
              <c:strCache>
                <c:ptCount val="1"/>
                <c:pt idx="0">
                  <c:v>Household Living Cost Index</c:v>
                </c:pt>
              </c:strCache>
            </c:strRef>
          </c:tx>
          <c:marker>
            <c:symbol val="none"/>
          </c:marker>
          <c:cat>
            <c:numRef>
              <c:f>'Rates vs living costs stats'!$A$2:$A$11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'Rates vs living costs stats'!$B$2:$B$11</c:f>
              <c:numCache>
                <c:formatCode>General</c:formatCode>
                <c:ptCount val="10"/>
                <c:pt idx="0">
                  <c:v>1000</c:v>
                </c:pt>
                <c:pt idx="1">
                  <c:v>1003.2930845225028</c:v>
                </c:pt>
                <c:pt idx="2">
                  <c:v>1016.4654226125139</c:v>
                </c:pt>
                <c:pt idx="3">
                  <c:v>1060.3732162458837</c:v>
                </c:pt>
                <c:pt idx="4">
                  <c:v>1070.2524698133921</c:v>
                </c:pt>
                <c:pt idx="5">
                  <c:v>1087.8155872667398</c:v>
                </c:pt>
                <c:pt idx="6">
                  <c:v>1104.2810098792536</c:v>
                </c:pt>
                <c:pt idx="7">
                  <c:v>1111.9648737650934</c:v>
                </c:pt>
                <c:pt idx="8">
                  <c:v>1113.0625686059275</c:v>
                </c:pt>
                <c:pt idx="9">
                  <c:v>1133.9187705817783</c:v>
                </c:pt>
              </c:numCache>
            </c:numRef>
          </c:val>
          <c:smooth val="0"/>
          <c:extLst xmlns:c16r2="http://schemas.microsoft.com/office/drawing/2015/06/chart">
            <c:ext xmlns:c16="http://schemas.microsoft.com/office/drawing/2014/chart" uri="{C3380CC4-5D6E-409C-BE32-E72D297353CC}">
              <c16:uniqueId val="{00000000-9E5E-4801-B765-A90EC2BE5F8E}"/>
            </c:ext>
          </c:extLst>
        </c:ser>
        <c:ser>
          <c:idx val="1"/>
          <c:order val="1"/>
          <c:tx>
            <c:strRef>
              <c:f>'Rates vs living costs stats'!$C$1</c:f>
              <c:strCache>
                <c:ptCount val="1"/>
                <c:pt idx="0">
                  <c:v>Average Rates</c:v>
                </c:pt>
              </c:strCache>
            </c:strRef>
          </c:tx>
          <c:marker>
            <c:symbol val="none"/>
          </c:marker>
          <c:cat>
            <c:numRef>
              <c:f>'Rates vs living costs stats'!$A$2:$A$11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'Rates vs living costs stats'!$C$2:$C$11</c:f>
              <c:numCache>
                <c:formatCode>General</c:formatCode>
                <c:ptCount val="10"/>
                <c:pt idx="0">
                  <c:v>1000</c:v>
                </c:pt>
                <c:pt idx="1">
                  <c:v>1065.9767141009056</c:v>
                </c:pt>
                <c:pt idx="2">
                  <c:v>1113.842173350582</c:v>
                </c:pt>
                <c:pt idx="3">
                  <c:v>1186.2871927554982</c:v>
                </c:pt>
                <c:pt idx="4">
                  <c:v>1234.1526520051746</c:v>
                </c:pt>
                <c:pt idx="5">
                  <c:v>1287.1927554980596</c:v>
                </c:pt>
                <c:pt idx="6">
                  <c:v>1338.9391979301424</c:v>
                </c:pt>
                <c:pt idx="7">
                  <c:v>1411.3842173350581</c:v>
                </c:pt>
                <c:pt idx="8">
                  <c:v>1457.9560155239328</c:v>
                </c:pt>
                <c:pt idx="9">
                  <c:v>1507.1151358344114</c:v>
                </c:pt>
              </c:numCache>
            </c:numRef>
          </c:val>
          <c:smooth val="0"/>
          <c:extLst xmlns:c16r2="http://schemas.microsoft.com/office/drawing/2015/06/chart">
            <c:ext xmlns:c16="http://schemas.microsoft.com/office/drawing/2014/chart" uri="{C3380CC4-5D6E-409C-BE32-E72D297353CC}">
              <c16:uniqueId val="{00000001-9E5E-4801-B765-A90EC2BE5F8E}"/>
            </c:ext>
          </c:extLst>
        </c:ser>
        <c:ser>
          <c:idx val="2"/>
          <c:order val="2"/>
          <c:tx>
            <c:strRef>
              <c:f>'Rates vs living costs stats'!$D$1</c:f>
              <c:strCache>
                <c:ptCount val="1"/>
                <c:pt idx="0">
                  <c:v>Salary and wage growth</c:v>
                </c:pt>
              </c:strCache>
            </c:strRef>
          </c:tx>
          <c:marker>
            <c:symbol val="none"/>
          </c:marker>
          <c:cat>
            <c:numRef>
              <c:f>'Rates vs living costs stats'!$A$2:$A$11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'Rates vs living costs stats'!$D$2:$D$11</c:f>
              <c:numCache>
                <c:formatCode>General</c:formatCode>
                <c:ptCount val="10"/>
                <c:pt idx="0">
                  <c:v>1000</c:v>
                </c:pt>
                <c:pt idx="1">
                  <c:v>1020.587755208682</c:v>
                </c:pt>
                <c:pt idx="2">
                  <c:v>1036.8359184756857</c:v>
                </c:pt>
                <c:pt idx="3">
                  <c:v>1057.1461225594405</c:v>
                </c:pt>
                <c:pt idx="4">
                  <c:v>1077.4563266431956</c:v>
                </c:pt>
                <c:pt idx="5">
                  <c:v>1095.7355103185748</c:v>
                </c:pt>
                <c:pt idx="6">
                  <c:v>1112.9991837897667</c:v>
                </c:pt>
                <c:pt idx="7">
                  <c:v>1131.2783674651459</c:v>
                </c:pt>
                <c:pt idx="8">
                  <c:v>1149.5575511405252</c:v>
                </c:pt>
                <c:pt idx="9">
                  <c:v>1170.8832654284677</c:v>
                </c:pt>
              </c:numCache>
            </c:numRef>
          </c:val>
          <c:smooth val="0"/>
          <c:extLst xmlns:c16r2="http://schemas.microsoft.com/office/drawing/2015/06/chart">
            <c:ext xmlns:c16="http://schemas.microsoft.com/office/drawing/2014/chart" uri="{C3380CC4-5D6E-409C-BE32-E72D297353CC}">
              <c16:uniqueId val="{00000002-9E5E-4801-B765-A90EC2BE5F8E}"/>
            </c:ext>
          </c:extLst>
        </c:ser>
        <c:ser>
          <c:idx val="3"/>
          <c:order val="3"/>
          <c:tx>
            <c:strRef>
              <c:f>'Rates vs living costs stats'!$E$1</c:f>
              <c:strCache>
                <c:ptCount val="1"/>
                <c:pt idx="0">
                  <c:v>Local Government Cost Index</c:v>
                </c:pt>
              </c:strCache>
            </c:strRef>
          </c:tx>
          <c:marker>
            <c:symbol val="none"/>
          </c:marker>
          <c:cat>
            <c:numRef>
              <c:f>'Rates vs living costs stats'!$A$2:$A$11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'Rates vs living costs stats'!$E$2:$E$11</c:f>
              <c:numCache>
                <c:formatCode>General</c:formatCode>
                <c:ptCount val="10"/>
                <c:pt idx="0">
                  <c:v>1000</c:v>
                </c:pt>
                <c:pt idx="1">
                  <c:v>1044.5</c:v>
                </c:pt>
                <c:pt idx="2">
                  <c:v>1054.9449999999999</c:v>
                </c:pt>
                <c:pt idx="3">
                  <c:v>1080.7911525</c:v>
                </c:pt>
                <c:pt idx="4">
                  <c:v>1131.9125740132499</c:v>
                </c:pt>
                <c:pt idx="5">
                  <c:v>1140.7414920905533</c:v>
                </c:pt>
                <c:pt idx="6">
                  <c:v>1153.6318709511766</c:v>
                </c:pt>
                <c:pt idx="7">
                  <c:v>1176.7045083702001</c:v>
                </c:pt>
                <c:pt idx="8">
                  <c:v>1203.0626893576925</c:v>
                </c:pt>
                <c:pt idx="9">
                  <c:v>1232.5377252469559</c:v>
                </c:pt>
              </c:numCache>
            </c:numRef>
          </c:val>
          <c:smooth val="0"/>
          <c:extLst xmlns:c16r2="http://schemas.microsoft.com/office/drawing/2015/06/chart">
            <c:ext xmlns:c16="http://schemas.microsoft.com/office/drawing/2014/chart" uri="{C3380CC4-5D6E-409C-BE32-E72D297353CC}">
              <c16:uniqueId val="{00000003-9E5E-4801-B765-A90EC2BE5F8E}"/>
            </c:ext>
          </c:extLst>
        </c:ser>
        <c:dLbls>
          <c:showLegendKey val="0"/>
          <c:showVal val="0"/>
          <c:showCatName val="0"/>
          <c:showSerName val="0"/>
          <c:showPercent val="0"/>
          <c:showBubbleSize val="0"/>
        </c:dLbls>
        <c:marker val="1"/>
        <c:smooth val="0"/>
        <c:axId val="119558528"/>
        <c:axId val="119560064"/>
      </c:lineChart>
      <c:catAx>
        <c:axId val="119558528"/>
        <c:scaling>
          <c:orientation val="minMax"/>
        </c:scaling>
        <c:delete val="0"/>
        <c:axPos val="b"/>
        <c:numFmt formatCode="General" sourceLinked="1"/>
        <c:majorTickMark val="out"/>
        <c:minorTickMark val="none"/>
        <c:tickLblPos val="nextTo"/>
        <c:crossAx val="119560064"/>
        <c:crosses val="autoZero"/>
        <c:auto val="1"/>
        <c:lblAlgn val="ctr"/>
        <c:lblOffset val="100"/>
        <c:noMultiLvlLbl val="0"/>
      </c:catAx>
      <c:valAx>
        <c:axId val="119560064"/>
        <c:scaling>
          <c:orientation val="minMax"/>
          <c:min val="1000"/>
        </c:scaling>
        <c:delete val="0"/>
        <c:axPos val="l"/>
        <c:majorGridlines/>
        <c:title>
          <c:tx>
            <c:rich>
              <a:bodyPr rot="-5400000" vert="horz"/>
              <a:lstStyle/>
              <a:p>
                <a:pPr>
                  <a:defRPr/>
                </a:pPr>
                <a:r>
                  <a:rPr lang="en-US"/>
                  <a:t>Index value (1000 = base)</a:t>
                </a:r>
              </a:p>
            </c:rich>
          </c:tx>
          <c:layout>
            <c:manualLayout>
              <c:xMode val="edge"/>
              <c:yMode val="edge"/>
              <c:x val="4.2067580131906843E-3"/>
              <c:y val="0.30621459294184311"/>
            </c:manualLayout>
          </c:layout>
          <c:overlay val="0"/>
        </c:title>
        <c:numFmt formatCode="General" sourceLinked="1"/>
        <c:majorTickMark val="out"/>
        <c:minorTickMark val="none"/>
        <c:tickLblPos val="nextTo"/>
        <c:crossAx val="119558528"/>
        <c:crosses val="autoZero"/>
        <c:crossBetween val="between"/>
      </c:valAx>
    </c:plotArea>
    <c:legend>
      <c:legendPos val="b"/>
      <c:layout>
        <c:manualLayout>
          <c:xMode val="edge"/>
          <c:yMode val="edge"/>
          <c:x val="8.7131695334222662E-3"/>
          <c:y val="0.90972875325785663"/>
          <c:w val="0.97151256566862787"/>
          <c:h val="6.25570764818595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'Real rates'!$A$3</c:f>
              <c:strCache>
                <c:ptCount val="1"/>
                <c:pt idx="0">
                  <c:v>Average rates</c:v>
                </c:pt>
              </c:strCache>
            </c:strRef>
          </c:tx>
          <c:marker>
            <c:symbol val="none"/>
          </c:marker>
          <c:cat>
            <c:numRef>
              <c:f>'Real rates'!$B$2:$L$2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'Real rates'!$B$3:$L$3</c:f>
              <c:numCache>
                <c:formatCode>General</c:formatCode>
                <c:ptCount val="11"/>
                <c:pt idx="0">
                  <c:v>2120.8979242156593</c:v>
                </c:pt>
                <c:pt idx="1">
                  <c:v>2274.0153390175269</c:v>
                </c:pt>
                <c:pt idx="2">
                  <c:v>2316.2823709464274</c:v>
                </c:pt>
                <c:pt idx="3">
                  <c:v>2356.0123109852957</c:v>
                </c:pt>
                <c:pt idx="4">
                  <c:v>2371.0393117242234</c:v>
                </c:pt>
                <c:pt idx="5">
                  <c:v>2387.9117568949314</c:v>
                </c:pt>
                <c:pt idx="6">
                  <c:v>2387.707398355923</c:v>
                </c:pt>
                <c:pt idx="7">
                  <c:v>2383.8790627007666</c:v>
                </c:pt>
                <c:pt idx="8">
                  <c:v>2386.6523021690755</c:v>
                </c:pt>
                <c:pt idx="9">
                  <c:v>2383.0081311479807</c:v>
                </c:pt>
                <c:pt idx="10">
                  <c:v>2375.1860535743285</c:v>
                </c:pt>
              </c:numCache>
            </c:numRef>
          </c:val>
          <c:smooth val="0"/>
          <c:extLst xmlns:c16r2="http://schemas.microsoft.com/office/drawing/2015/06/chart">
            <c:ext xmlns:c16="http://schemas.microsoft.com/office/drawing/2014/chart" uri="{C3380CC4-5D6E-409C-BE32-E72D297353CC}">
              <c16:uniqueId val="{00000000-2E1F-4FE8-A0D0-6969D2003A19}"/>
            </c:ext>
          </c:extLst>
        </c:ser>
        <c:dLbls>
          <c:showLegendKey val="0"/>
          <c:showVal val="0"/>
          <c:showCatName val="0"/>
          <c:showSerName val="0"/>
          <c:showPercent val="0"/>
          <c:showBubbleSize val="0"/>
        </c:dLbls>
        <c:marker val="1"/>
        <c:smooth val="0"/>
        <c:axId val="119569024"/>
        <c:axId val="119579008"/>
      </c:lineChart>
      <c:catAx>
        <c:axId val="119569024"/>
        <c:scaling>
          <c:orientation val="minMax"/>
        </c:scaling>
        <c:delete val="0"/>
        <c:axPos val="b"/>
        <c:numFmt formatCode="General" sourceLinked="1"/>
        <c:majorTickMark val="out"/>
        <c:minorTickMark val="none"/>
        <c:tickLblPos val="nextTo"/>
        <c:crossAx val="119579008"/>
        <c:crosses val="autoZero"/>
        <c:auto val="1"/>
        <c:lblAlgn val="ctr"/>
        <c:lblOffset val="100"/>
        <c:noMultiLvlLbl val="0"/>
      </c:catAx>
      <c:valAx>
        <c:axId val="119579008"/>
        <c:scaling>
          <c:orientation val="minMax"/>
        </c:scaling>
        <c:delete val="0"/>
        <c:axPos val="l"/>
        <c:majorGridlines/>
        <c:numFmt formatCode="&quot;$&quot;#,##0" sourceLinked="0"/>
        <c:majorTickMark val="out"/>
        <c:minorTickMark val="none"/>
        <c:tickLblPos val="nextTo"/>
        <c:crossAx val="1195690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5398748233394"/>
          <c:y val="7.2749878856075589E-2"/>
          <c:w val="0.88033447742109161"/>
          <c:h val="0.75797222037471135"/>
        </c:manualLayout>
      </c:layout>
      <c:lineChart>
        <c:grouping val="standard"/>
        <c:varyColors val="0"/>
        <c:ser>
          <c:idx val="0"/>
          <c:order val="0"/>
          <c:tx>
            <c:strRef>
              <c:f>'Real expenditure Capex Opex'!$A$3</c:f>
              <c:strCache>
                <c:ptCount val="1"/>
                <c:pt idx="0">
                  <c:v>Operating Expenditure</c:v>
                </c:pt>
              </c:strCache>
            </c:strRef>
          </c:tx>
          <c:marker>
            <c:symbol val="none"/>
          </c:marker>
          <c:cat>
            <c:numRef>
              <c:f>'Real expenditure Capex Opex'!$B$2:$L$2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'Real expenditure Capex Opex'!$B$3:$L$3</c:f>
              <c:numCache>
                <c:formatCode>General</c:formatCode>
                <c:ptCount val="11"/>
                <c:pt idx="0">
                  <c:v>2449.024518996443</c:v>
                </c:pt>
                <c:pt idx="1">
                  <c:v>2556.5663134981928</c:v>
                </c:pt>
                <c:pt idx="2">
                  <c:v>2782.2275026932712</c:v>
                </c:pt>
                <c:pt idx="3">
                  <c:v>2458.3185018532677</c:v>
                </c:pt>
                <c:pt idx="4">
                  <c:v>2450.8930128334005</c:v>
                </c:pt>
                <c:pt idx="5">
                  <c:v>2445.026138231302</c:v>
                </c:pt>
                <c:pt idx="6">
                  <c:v>2425.2362170622732</c:v>
                </c:pt>
                <c:pt idx="7">
                  <c:v>2410.437939620344</c:v>
                </c:pt>
                <c:pt idx="8">
                  <c:v>2403.7583477669482</c:v>
                </c:pt>
                <c:pt idx="9">
                  <c:v>2391.4512156532492</c:v>
                </c:pt>
                <c:pt idx="10">
                  <c:v>2372.797126833465</c:v>
                </c:pt>
              </c:numCache>
            </c:numRef>
          </c:val>
          <c:smooth val="0"/>
          <c:extLst xmlns:c16r2="http://schemas.microsoft.com/office/drawing/2015/06/chart">
            <c:ext xmlns:c16="http://schemas.microsoft.com/office/drawing/2014/chart" uri="{C3380CC4-5D6E-409C-BE32-E72D297353CC}">
              <c16:uniqueId val="{00000000-A3EB-4863-8321-7739C21F1259}"/>
            </c:ext>
          </c:extLst>
        </c:ser>
        <c:ser>
          <c:idx val="1"/>
          <c:order val="1"/>
          <c:tx>
            <c:strRef>
              <c:f>'Real expenditure Capex Opex'!$A$4</c:f>
              <c:strCache>
                <c:ptCount val="1"/>
                <c:pt idx="0">
                  <c:v>Capital Expenditure</c:v>
                </c:pt>
              </c:strCache>
            </c:strRef>
          </c:tx>
          <c:marker>
            <c:symbol val="none"/>
          </c:marker>
          <c:cat>
            <c:numRef>
              <c:f>'Real expenditure Capex Opex'!$B$2:$L$2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'Real expenditure Capex Opex'!$B$4:$L$4</c:f>
              <c:numCache>
                <c:formatCode>General</c:formatCode>
                <c:ptCount val="11"/>
                <c:pt idx="0">
                  <c:v>1221.8734168956423</c:v>
                </c:pt>
                <c:pt idx="1">
                  <c:v>1275.0145232481018</c:v>
                </c:pt>
                <c:pt idx="2">
                  <c:v>1287.5042648381136</c:v>
                </c:pt>
                <c:pt idx="3">
                  <c:v>1710.9950857713006</c:v>
                </c:pt>
                <c:pt idx="4">
                  <c:v>1515.9106921899345</c:v>
                </c:pt>
                <c:pt idx="5">
                  <c:v>1423.3362477710502</c:v>
                </c:pt>
                <c:pt idx="6">
                  <c:v>1203.8297953479312</c:v>
                </c:pt>
                <c:pt idx="7">
                  <c:v>1258.5317476447365</c:v>
                </c:pt>
                <c:pt idx="8">
                  <c:v>1241.2247814748284</c:v>
                </c:pt>
                <c:pt idx="9">
                  <c:v>1069.4637484788161</c:v>
                </c:pt>
                <c:pt idx="10">
                  <c:v>1052.7955369981512</c:v>
                </c:pt>
              </c:numCache>
            </c:numRef>
          </c:val>
          <c:smooth val="0"/>
          <c:extLst xmlns:c16r2="http://schemas.microsoft.com/office/drawing/2015/06/chart">
            <c:ext xmlns:c16="http://schemas.microsoft.com/office/drawing/2014/chart" uri="{C3380CC4-5D6E-409C-BE32-E72D297353CC}">
              <c16:uniqueId val="{00000001-A3EB-4863-8321-7739C21F1259}"/>
            </c:ext>
          </c:extLst>
        </c:ser>
        <c:dLbls>
          <c:showLegendKey val="0"/>
          <c:showVal val="0"/>
          <c:showCatName val="0"/>
          <c:showSerName val="0"/>
          <c:showPercent val="0"/>
          <c:showBubbleSize val="0"/>
        </c:dLbls>
        <c:marker val="1"/>
        <c:smooth val="0"/>
        <c:axId val="119604352"/>
        <c:axId val="119605888"/>
      </c:lineChart>
      <c:catAx>
        <c:axId val="119604352"/>
        <c:scaling>
          <c:orientation val="minMax"/>
        </c:scaling>
        <c:delete val="0"/>
        <c:axPos val="b"/>
        <c:numFmt formatCode="General" sourceLinked="1"/>
        <c:majorTickMark val="out"/>
        <c:minorTickMark val="none"/>
        <c:tickLblPos val="nextTo"/>
        <c:crossAx val="119605888"/>
        <c:crosses val="autoZero"/>
        <c:auto val="1"/>
        <c:lblAlgn val="ctr"/>
        <c:lblOffset val="100"/>
        <c:noMultiLvlLbl val="0"/>
      </c:catAx>
      <c:valAx>
        <c:axId val="119605888"/>
        <c:scaling>
          <c:orientation val="minMax"/>
        </c:scaling>
        <c:delete val="0"/>
        <c:axPos val="l"/>
        <c:majorGridlines/>
        <c:numFmt formatCode="&quot;$&quot;#,##0" sourceLinked="0"/>
        <c:majorTickMark val="out"/>
        <c:minorTickMark val="none"/>
        <c:tickLblPos val="nextTo"/>
        <c:crossAx val="1196043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31172510085853E-2"/>
          <c:y val="6.7754837474127722E-2"/>
          <c:w val="0.87694720921809821"/>
          <c:h val="0.76337211935687477"/>
        </c:manualLayout>
      </c:layout>
      <c:lineChart>
        <c:grouping val="standard"/>
        <c:varyColors val="0"/>
        <c:ser>
          <c:idx val="0"/>
          <c:order val="0"/>
          <c:tx>
            <c:strRef>
              <c:f>'Real opex LTP vs actuals'!$N$38</c:f>
              <c:strCache>
                <c:ptCount val="1"/>
                <c:pt idx="0">
                  <c:v>Actuals</c:v>
                </c:pt>
              </c:strCache>
            </c:strRef>
          </c:tx>
          <c:spPr>
            <a:ln>
              <a:solidFill>
                <a:srgbClr val="9DBE3B"/>
              </a:solidFill>
            </a:ln>
          </c:spPr>
          <c:marker>
            <c:symbol val="none"/>
          </c:marker>
          <c:cat>
            <c:numRef>
              <c:f>'Real opex LTP vs actuals'!$O$37:$Q$37</c:f>
              <c:numCache>
                <c:formatCode>General</c:formatCode>
                <c:ptCount val="3"/>
                <c:pt idx="0">
                  <c:v>2015</c:v>
                </c:pt>
                <c:pt idx="1">
                  <c:v>2016</c:v>
                </c:pt>
                <c:pt idx="2">
                  <c:v>2017</c:v>
                </c:pt>
              </c:numCache>
            </c:numRef>
          </c:cat>
          <c:val>
            <c:numRef>
              <c:f>'Real opex LTP vs actuals'!$O$38:$Q$38</c:f>
              <c:numCache>
                <c:formatCode>General</c:formatCode>
                <c:ptCount val="3"/>
                <c:pt idx="0">
                  <c:v>3718.1473670183618</c:v>
                </c:pt>
                <c:pt idx="1">
                  <c:v>3775.2089287962494</c:v>
                </c:pt>
                <c:pt idx="2">
                  <c:v>3954.2233645179003</c:v>
                </c:pt>
              </c:numCache>
            </c:numRef>
          </c:val>
          <c:smooth val="0"/>
          <c:extLst xmlns:c16r2="http://schemas.microsoft.com/office/drawing/2015/06/chart">
            <c:ext xmlns:c16="http://schemas.microsoft.com/office/drawing/2014/chart" uri="{C3380CC4-5D6E-409C-BE32-E72D297353CC}">
              <c16:uniqueId val="{00000000-D4A7-44B9-A844-5013D1096F17}"/>
            </c:ext>
          </c:extLst>
        </c:ser>
        <c:ser>
          <c:idx val="1"/>
          <c:order val="1"/>
          <c:tx>
            <c:strRef>
              <c:f>'Real opex LTP vs actuals'!$N$39</c:f>
              <c:strCache>
                <c:ptCount val="1"/>
                <c:pt idx="0">
                  <c:v>LTP</c:v>
                </c:pt>
              </c:strCache>
            </c:strRef>
          </c:tx>
          <c:spPr>
            <a:ln>
              <a:solidFill>
                <a:srgbClr val="002941"/>
              </a:solidFill>
            </a:ln>
          </c:spPr>
          <c:marker>
            <c:symbol val="none"/>
          </c:marker>
          <c:cat>
            <c:numRef>
              <c:f>'Real opex LTP vs actuals'!$O$37:$Q$37</c:f>
              <c:numCache>
                <c:formatCode>General</c:formatCode>
                <c:ptCount val="3"/>
                <c:pt idx="0">
                  <c:v>2015</c:v>
                </c:pt>
                <c:pt idx="1">
                  <c:v>2016</c:v>
                </c:pt>
                <c:pt idx="2">
                  <c:v>2017</c:v>
                </c:pt>
              </c:numCache>
            </c:numRef>
          </c:cat>
          <c:val>
            <c:numRef>
              <c:f>'Real opex LTP vs actuals'!$O$39:$Q$39</c:f>
              <c:numCache>
                <c:formatCode>General</c:formatCode>
                <c:ptCount val="3"/>
                <c:pt idx="0">
                  <c:v>3718.1473670183618</c:v>
                </c:pt>
                <c:pt idx="1">
                  <c:v>3651.1747770486227</c:v>
                </c:pt>
                <c:pt idx="2">
                  <c:v>3693.8931522151584</c:v>
                </c:pt>
              </c:numCache>
            </c:numRef>
          </c:val>
          <c:smooth val="0"/>
          <c:extLst xmlns:c16r2="http://schemas.microsoft.com/office/drawing/2015/06/chart">
            <c:ext xmlns:c16="http://schemas.microsoft.com/office/drawing/2014/chart" uri="{C3380CC4-5D6E-409C-BE32-E72D297353CC}">
              <c16:uniqueId val="{00000001-D4A7-44B9-A844-5013D1096F17}"/>
            </c:ext>
          </c:extLst>
        </c:ser>
        <c:dLbls>
          <c:showLegendKey val="0"/>
          <c:showVal val="0"/>
          <c:showCatName val="0"/>
          <c:showSerName val="0"/>
          <c:showPercent val="0"/>
          <c:showBubbleSize val="0"/>
        </c:dLbls>
        <c:marker val="1"/>
        <c:smooth val="0"/>
        <c:axId val="119637120"/>
        <c:axId val="119638656"/>
      </c:lineChart>
      <c:catAx>
        <c:axId val="119637120"/>
        <c:scaling>
          <c:orientation val="minMax"/>
        </c:scaling>
        <c:delete val="0"/>
        <c:axPos val="b"/>
        <c:numFmt formatCode="General" sourceLinked="1"/>
        <c:majorTickMark val="out"/>
        <c:minorTickMark val="none"/>
        <c:tickLblPos val="nextTo"/>
        <c:crossAx val="119638656"/>
        <c:crosses val="autoZero"/>
        <c:auto val="1"/>
        <c:lblAlgn val="ctr"/>
        <c:lblOffset val="100"/>
        <c:noMultiLvlLbl val="0"/>
      </c:catAx>
      <c:valAx>
        <c:axId val="119638656"/>
        <c:scaling>
          <c:orientation val="minMax"/>
        </c:scaling>
        <c:delete val="0"/>
        <c:axPos val="l"/>
        <c:majorGridlines/>
        <c:numFmt formatCode="&quot;$&quot;#,##0" sourceLinked="0"/>
        <c:majorTickMark val="out"/>
        <c:minorTickMark val="none"/>
        <c:tickLblPos val="nextTo"/>
        <c:crossAx val="119637120"/>
        <c:crosses val="autoZero"/>
        <c:crossBetween val="between"/>
      </c:valAx>
    </c:plotArea>
    <c:legend>
      <c:legendPos val="b"/>
      <c:layout>
        <c:manualLayout>
          <c:xMode val="edge"/>
          <c:yMode val="edge"/>
          <c:x val="0.22859377724717972"/>
          <c:y val="0.90987352960674117"/>
          <c:w val="0.5566484795235348"/>
          <c:h val="6.7544562946945635E-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N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396067981283404E-2"/>
          <c:y val="7.2426192627560892E-2"/>
          <c:w val="0.8951258321952813"/>
          <c:h val="0.83736632542621958"/>
        </c:manualLayout>
      </c:layout>
      <c:lineChart>
        <c:grouping val="standard"/>
        <c:varyColors val="0"/>
        <c:ser>
          <c:idx val="0"/>
          <c:order val="0"/>
          <c:tx>
            <c:strRef>
              <c:f>'Depreciation funding ratio'!$C$4</c:f>
              <c:strCache>
                <c:ptCount val="1"/>
                <c:pt idx="0">
                  <c:v>Auckland</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ratio'!$C$5:$C$15</c:f>
              <c:numCache>
                <c:formatCode>General</c:formatCode>
                <c:ptCount val="11"/>
                <c:pt idx="0">
                  <c:v>0.53744215938303341</c:v>
                </c:pt>
                <c:pt idx="1">
                  <c:v>0.58316425120772952</c:v>
                </c:pt>
                <c:pt idx="2">
                  <c:v>0.56787185354691072</c:v>
                </c:pt>
                <c:pt idx="3">
                  <c:v>0.79233088967817389</c:v>
                </c:pt>
                <c:pt idx="4">
                  <c:v>0.96106960057452184</c:v>
                </c:pt>
                <c:pt idx="5">
                  <c:v>0.91808230407805169</c:v>
                </c:pt>
                <c:pt idx="6">
                  <c:v>1.1365065509129919</c:v>
                </c:pt>
                <c:pt idx="7">
                  <c:v>1.212975377649864</c:v>
                </c:pt>
                <c:pt idx="8">
                  <c:v>1.1130471721524129</c:v>
                </c:pt>
                <c:pt idx="9">
                  <c:v>1.0105940265209976</c:v>
                </c:pt>
                <c:pt idx="10">
                  <c:v>1.0173751764705883</c:v>
                </c:pt>
              </c:numCache>
            </c:numRef>
          </c:val>
          <c:smooth val="0"/>
          <c:extLst xmlns:c16r2="http://schemas.microsoft.com/office/drawing/2015/06/chart">
            <c:ext xmlns:c16="http://schemas.microsoft.com/office/drawing/2014/chart" uri="{C3380CC4-5D6E-409C-BE32-E72D297353CC}">
              <c16:uniqueId val="{00000000-4A24-4220-B735-A94B5053B5EB}"/>
            </c:ext>
          </c:extLst>
        </c:ser>
        <c:ser>
          <c:idx val="1"/>
          <c:order val="1"/>
          <c:tx>
            <c:strRef>
              <c:f>'Depreciation funding ratio'!$D$4</c:f>
              <c:strCache>
                <c:ptCount val="1"/>
                <c:pt idx="0">
                  <c:v>CHBDC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ratio'!$D$5:$D$15</c:f>
              <c:numCache>
                <c:formatCode>General</c:formatCode>
                <c:ptCount val="11"/>
                <c:pt idx="0">
                  <c:v>1.2924762231171278</c:v>
                </c:pt>
                <c:pt idx="1">
                  <c:v>0.91924366312346695</c:v>
                </c:pt>
                <c:pt idx="2">
                  <c:v>0.86063838584304975</c:v>
                </c:pt>
                <c:pt idx="3">
                  <c:v>1.1254484605087014</c:v>
                </c:pt>
                <c:pt idx="4">
                  <c:v>1.1472170357225522</c:v>
                </c:pt>
                <c:pt idx="5">
                  <c:v>1.1389136155176303</c:v>
                </c:pt>
                <c:pt idx="6">
                  <c:v>1.1187282694943375</c:v>
                </c:pt>
                <c:pt idx="7">
                  <c:v>1.1365886829680782</c:v>
                </c:pt>
                <c:pt idx="8">
                  <c:v>1.1429968367487278</c:v>
                </c:pt>
                <c:pt idx="9">
                  <c:v>1.131791440307407</c:v>
                </c:pt>
                <c:pt idx="10">
                  <c:v>1.160858575988535</c:v>
                </c:pt>
              </c:numCache>
            </c:numRef>
          </c:val>
          <c:smooth val="0"/>
          <c:extLst xmlns:c16r2="http://schemas.microsoft.com/office/drawing/2015/06/chart">
            <c:ext xmlns:c16="http://schemas.microsoft.com/office/drawing/2014/chart" uri="{C3380CC4-5D6E-409C-BE32-E72D297353CC}">
              <c16:uniqueId val="{00000001-4A24-4220-B735-A94B5053B5EB}"/>
            </c:ext>
          </c:extLst>
        </c:ser>
        <c:ser>
          <c:idx val="2"/>
          <c:order val="2"/>
          <c:tx>
            <c:strRef>
              <c:f>'Depreciation funding ratio'!$E$4</c:f>
              <c:strCache>
                <c:ptCount val="1"/>
                <c:pt idx="0">
                  <c:v>DunedinCC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ratio'!$E$5:$E$15</c:f>
              <c:numCache>
                <c:formatCode>General</c:formatCode>
                <c:ptCount val="11"/>
                <c:pt idx="0">
                  <c:v>1.1517931189903847</c:v>
                </c:pt>
                <c:pt idx="1">
                  <c:v>0.81886282707672686</c:v>
                </c:pt>
                <c:pt idx="2">
                  <c:v>0.70889021148922993</c:v>
                </c:pt>
                <c:pt idx="3">
                  <c:v>1.2592530238927022</c:v>
                </c:pt>
                <c:pt idx="4">
                  <c:v>1.3307133252887433</c:v>
                </c:pt>
                <c:pt idx="5">
                  <c:v>1.2366176933919244</c:v>
                </c:pt>
                <c:pt idx="6">
                  <c:v>1.2867548559946416</c:v>
                </c:pt>
                <c:pt idx="7">
                  <c:v>1.2780003393700057</c:v>
                </c:pt>
                <c:pt idx="8">
                  <c:v>1.3468260058701236</c:v>
                </c:pt>
                <c:pt idx="9">
                  <c:v>1.2854522375723227</c:v>
                </c:pt>
                <c:pt idx="10">
                  <c:v>1.3358964252714252</c:v>
                </c:pt>
              </c:numCache>
            </c:numRef>
          </c:val>
          <c:smooth val="0"/>
          <c:extLst xmlns:c16r2="http://schemas.microsoft.com/office/drawing/2015/06/chart">
            <c:ext xmlns:c16="http://schemas.microsoft.com/office/drawing/2014/chart" uri="{C3380CC4-5D6E-409C-BE32-E72D297353CC}">
              <c16:uniqueId val="{00000002-4A24-4220-B735-A94B5053B5EB}"/>
            </c:ext>
          </c:extLst>
        </c:ser>
        <c:ser>
          <c:idx val="3"/>
          <c:order val="3"/>
          <c:tx>
            <c:strRef>
              <c:f>'Depreciation funding ratio'!$F$4</c:f>
              <c:strCache>
                <c:ptCount val="1"/>
                <c:pt idx="0">
                  <c:v>GisborneDC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ratio'!$F$5:$F$15</c:f>
              <c:numCache>
                <c:formatCode>General</c:formatCode>
                <c:ptCount val="11"/>
                <c:pt idx="0">
                  <c:v>0.77202303889087109</c:v>
                </c:pt>
                <c:pt idx="1">
                  <c:v>0.90485460621477387</c:v>
                </c:pt>
                <c:pt idx="2">
                  <c:v>0.48288902142040652</c:v>
                </c:pt>
                <c:pt idx="3">
                  <c:v>1.0007320007403295</c:v>
                </c:pt>
                <c:pt idx="4">
                  <c:v>1.0115253013135919</c:v>
                </c:pt>
                <c:pt idx="5">
                  <c:v>0.93997433666811669</c:v>
                </c:pt>
                <c:pt idx="6">
                  <c:v>0.96181476793248954</c:v>
                </c:pt>
                <c:pt idx="7">
                  <c:v>0.92083077427015525</c:v>
                </c:pt>
                <c:pt idx="8">
                  <c:v>0.90470804965959162</c:v>
                </c:pt>
                <c:pt idx="9">
                  <c:v>0.90335960396039616</c:v>
                </c:pt>
                <c:pt idx="10">
                  <c:v>0.90140946621700202</c:v>
                </c:pt>
              </c:numCache>
            </c:numRef>
          </c:val>
          <c:smooth val="0"/>
          <c:extLst xmlns:c16r2="http://schemas.microsoft.com/office/drawing/2015/06/chart">
            <c:ext xmlns:c16="http://schemas.microsoft.com/office/drawing/2014/chart" uri="{C3380CC4-5D6E-409C-BE32-E72D297353CC}">
              <c16:uniqueId val="{00000003-4A24-4220-B735-A94B5053B5EB}"/>
            </c:ext>
          </c:extLst>
        </c:ser>
        <c:ser>
          <c:idx val="4"/>
          <c:order val="4"/>
          <c:tx>
            <c:strRef>
              <c:f>'Depreciation funding ratio'!$G$4</c:f>
              <c:strCache>
                <c:ptCount val="1"/>
                <c:pt idx="0">
                  <c:v>HamiltonCC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ratio'!$G$5:$G$15</c:f>
              <c:numCache>
                <c:formatCode>General</c:formatCode>
                <c:ptCount val="11"/>
                <c:pt idx="0">
                  <c:v>0.81877090680540521</c:v>
                </c:pt>
                <c:pt idx="1">
                  <c:v>0.927609904661017</c:v>
                </c:pt>
                <c:pt idx="2">
                  <c:v>0.89189100577431257</c:v>
                </c:pt>
                <c:pt idx="3">
                  <c:v>1.030096694737543</c:v>
                </c:pt>
                <c:pt idx="4">
                  <c:v>1.1076850258175559</c:v>
                </c:pt>
                <c:pt idx="5">
                  <c:v>1.1743054699476871</c:v>
                </c:pt>
                <c:pt idx="6">
                  <c:v>1.2643734863972322</c:v>
                </c:pt>
                <c:pt idx="7">
                  <c:v>1.2077250705261868</c:v>
                </c:pt>
                <c:pt idx="8">
                  <c:v>1.2739129085643359</c:v>
                </c:pt>
                <c:pt idx="9">
                  <c:v>1.2911763198359816</c:v>
                </c:pt>
                <c:pt idx="10">
                  <c:v>1.3182433885478624</c:v>
                </c:pt>
              </c:numCache>
            </c:numRef>
          </c:val>
          <c:smooth val="0"/>
          <c:extLst xmlns:c16r2="http://schemas.microsoft.com/office/drawing/2015/06/chart">
            <c:ext xmlns:c16="http://schemas.microsoft.com/office/drawing/2014/chart" uri="{C3380CC4-5D6E-409C-BE32-E72D297353CC}">
              <c16:uniqueId val="{00000004-4A24-4220-B735-A94B5053B5EB}"/>
            </c:ext>
          </c:extLst>
        </c:ser>
        <c:ser>
          <c:idx val="5"/>
          <c:order val="5"/>
          <c:tx>
            <c:strRef>
              <c:f>'Depreciation funding ratio'!$H$4</c:f>
              <c:strCache>
                <c:ptCount val="1"/>
                <c:pt idx="0">
                  <c:v>Kapiti CoastDC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ratio'!$H$5:$H$15</c:f>
              <c:numCache>
                <c:formatCode>General</c:formatCode>
                <c:ptCount val="11"/>
                <c:pt idx="0">
                  <c:v>0.50976352606165654</c:v>
                </c:pt>
                <c:pt idx="1">
                  <c:v>1.0946098098330241</c:v>
                </c:pt>
                <c:pt idx="2">
                  <c:v>1.4615840546948227</c:v>
                </c:pt>
                <c:pt idx="3">
                  <c:v>1.2708840444760914</c:v>
                </c:pt>
                <c:pt idx="4">
                  <c:v>0.92444073712848407</c:v>
                </c:pt>
                <c:pt idx="5">
                  <c:v>0.85623996198621999</c:v>
                </c:pt>
                <c:pt idx="6">
                  <c:v>1.4306763599201002</c:v>
                </c:pt>
                <c:pt idx="7">
                  <c:v>1.0094427731130169</c:v>
                </c:pt>
                <c:pt idx="8">
                  <c:v>1.0325747617482748</c:v>
                </c:pt>
                <c:pt idx="9">
                  <c:v>1.1042255413308046</c:v>
                </c:pt>
                <c:pt idx="10">
                  <c:v>1.1686984628105386</c:v>
                </c:pt>
              </c:numCache>
            </c:numRef>
          </c:val>
          <c:smooth val="0"/>
          <c:extLst xmlns:c16r2="http://schemas.microsoft.com/office/drawing/2015/06/chart">
            <c:ext xmlns:c16="http://schemas.microsoft.com/office/drawing/2014/chart" uri="{C3380CC4-5D6E-409C-BE32-E72D297353CC}">
              <c16:uniqueId val="{00000005-4A24-4220-B735-A94B5053B5EB}"/>
            </c:ext>
          </c:extLst>
        </c:ser>
        <c:ser>
          <c:idx val="6"/>
          <c:order val="6"/>
          <c:tx>
            <c:strRef>
              <c:f>'Depreciation funding ratio'!$I$4</c:f>
              <c:strCache>
                <c:ptCount val="1"/>
                <c:pt idx="0">
                  <c:v>NelsonCC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ratio'!$I$5:$I$15</c:f>
              <c:numCache>
                <c:formatCode>General</c:formatCode>
                <c:ptCount val="11"/>
                <c:pt idx="0">
                  <c:v>1.1649425341720665</c:v>
                </c:pt>
                <c:pt idx="1">
                  <c:v>1.2263758389261745</c:v>
                </c:pt>
                <c:pt idx="2">
                  <c:v>0.80192277992277994</c:v>
                </c:pt>
                <c:pt idx="3">
                  <c:v>1.0914833898873109</c:v>
                </c:pt>
                <c:pt idx="4">
                  <c:v>1.1188452158361109</c:v>
                </c:pt>
                <c:pt idx="5">
                  <c:v>1.0733446963691138</c:v>
                </c:pt>
                <c:pt idx="6">
                  <c:v>1.0484507420332094</c:v>
                </c:pt>
                <c:pt idx="7">
                  <c:v>1.0766719586486986</c:v>
                </c:pt>
                <c:pt idx="8">
                  <c:v>1.0544630538368538</c:v>
                </c:pt>
                <c:pt idx="9">
                  <c:v>1.1228433348133475</c:v>
                </c:pt>
                <c:pt idx="10">
                  <c:v>1.078760002623639</c:v>
                </c:pt>
              </c:numCache>
            </c:numRef>
          </c:val>
          <c:smooth val="0"/>
          <c:extLst xmlns:c16r2="http://schemas.microsoft.com/office/drawing/2015/06/chart">
            <c:ext xmlns:c16="http://schemas.microsoft.com/office/drawing/2014/chart" uri="{C3380CC4-5D6E-409C-BE32-E72D297353CC}">
              <c16:uniqueId val="{00000006-4A24-4220-B735-A94B5053B5EB}"/>
            </c:ext>
          </c:extLst>
        </c:ser>
        <c:ser>
          <c:idx val="7"/>
          <c:order val="7"/>
          <c:tx>
            <c:strRef>
              <c:f>'Depreciation funding ratio'!$J$4</c:f>
              <c:strCache>
                <c:ptCount val="1"/>
                <c:pt idx="0">
                  <c:v>NewPlymouthDC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ratio'!$J$5:$J$15</c:f>
              <c:numCache>
                <c:formatCode>General</c:formatCode>
                <c:ptCount val="11"/>
                <c:pt idx="0">
                  <c:v>1.1023396740011018</c:v>
                </c:pt>
                <c:pt idx="1">
                  <c:v>0.81398720956390402</c:v>
                </c:pt>
                <c:pt idx="2">
                  <c:v>0.78025531528257319</c:v>
                </c:pt>
                <c:pt idx="3">
                  <c:v>0.98084737772539776</c:v>
                </c:pt>
                <c:pt idx="4">
                  <c:v>1.0268732594487069</c:v>
                </c:pt>
                <c:pt idx="5">
                  <c:v>0.94168609125893354</c:v>
                </c:pt>
                <c:pt idx="6">
                  <c:v>0.86732272606735616</c:v>
                </c:pt>
                <c:pt idx="7">
                  <c:v>0.93672585190878821</c:v>
                </c:pt>
                <c:pt idx="8">
                  <c:v>0.91014257425742584</c:v>
                </c:pt>
                <c:pt idx="9">
                  <c:v>0.9313163922691482</c:v>
                </c:pt>
                <c:pt idx="10">
                  <c:v>0.97303720716582454</c:v>
                </c:pt>
              </c:numCache>
            </c:numRef>
          </c:val>
          <c:smooth val="0"/>
          <c:extLst xmlns:c16r2="http://schemas.microsoft.com/office/drawing/2015/06/chart">
            <c:ext xmlns:c16="http://schemas.microsoft.com/office/drawing/2014/chart" uri="{C3380CC4-5D6E-409C-BE32-E72D297353CC}">
              <c16:uniqueId val="{00000007-4A24-4220-B735-A94B5053B5EB}"/>
            </c:ext>
          </c:extLst>
        </c:ser>
        <c:ser>
          <c:idx val="8"/>
          <c:order val="8"/>
          <c:tx>
            <c:strRef>
              <c:f>'Depreciation funding ratio'!$K$4</c:f>
              <c:strCache>
                <c:ptCount val="1"/>
                <c:pt idx="0">
                  <c:v>OpotikiDC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ratio'!$K$5:$K$15</c:f>
              <c:numCache>
                <c:formatCode>General</c:formatCode>
                <c:ptCount val="11"/>
                <c:pt idx="0">
                  <c:v>1.5273099953938276</c:v>
                </c:pt>
                <c:pt idx="1">
                  <c:v>1.6527003098716246</c:v>
                </c:pt>
                <c:pt idx="2">
                  <c:v>1.9108604845446953</c:v>
                </c:pt>
                <c:pt idx="3">
                  <c:v>1.0026633165829146</c:v>
                </c:pt>
                <c:pt idx="4">
                  <c:v>0.96625082074852264</c:v>
                </c:pt>
                <c:pt idx="5">
                  <c:v>1.0514806932198237</c:v>
                </c:pt>
                <c:pt idx="6">
                  <c:v>1.0270727762803236</c:v>
                </c:pt>
                <c:pt idx="7">
                  <c:v>1.0799041788661166</c:v>
                </c:pt>
                <c:pt idx="8">
                  <c:v>1.0513046895467644</c:v>
                </c:pt>
                <c:pt idx="9">
                  <c:v>1.0492419279363594</c:v>
                </c:pt>
                <c:pt idx="10">
                  <c:v>1.0623232323232321</c:v>
                </c:pt>
              </c:numCache>
            </c:numRef>
          </c:val>
          <c:smooth val="0"/>
          <c:extLst xmlns:c16r2="http://schemas.microsoft.com/office/drawing/2015/06/chart">
            <c:ext xmlns:c16="http://schemas.microsoft.com/office/drawing/2014/chart" uri="{C3380CC4-5D6E-409C-BE32-E72D297353CC}">
              <c16:uniqueId val="{00000008-4A24-4220-B735-A94B5053B5EB}"/>
            </c:ext>
          </c:extLst>
        </c:ser>
        <c:ser>
          <c:idx val="9"/>
          <c:order val="9"/>
          <c:tx>
            <c:strRef>
              <c:f>'Depreciation funding ratio'!$L$4</c:f>
              <c:strCache>
                <c:ptCount val="1"/>
                <c:pt idx="0">
                  <c:v>QLDC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ratio'!$L$5:$L$15</c:f>
              <c:numCache>
                <c:formatCode>General</c:formatCode>
                <c:ptCount val="11"/>
                <c:pt idx="0">
                  <c:v>1.1272879225253747</c:v>
                </c:pt>
                <c:pt idx="1">
                  <c:v>1.3167183041174071</c:v>
                </c:pt>
                <c:pt idx="2">
                  <c:v>0.97222703523422505</c:v>
                </c:pt>
                <c:pt idx="3">
                  <c:v>1.8473601637107777</c:v>
                </c:pt>
                <c:pt idx="4">
                  <c:v>0.43162528039038217</c:v>
                </c:pt>
                <c:pt idx="5">
                  <c:v>0.40643604338127837</c:v>
                </c:pt>
                <c:pt idx="6">
                  <c:v>0.38685519186521194</c:v>
                </c:pt>
                <c:pt idx="7">
                  <c:v>0.24028016009148084</c:v>
                </c:pt>
                <c:pt idx="8">
                  <c:v>0.22639954266708243</c:v>
                </c:pt>
                <c:pt idx="9">
                  <c:v>0.21632595750439843</c:v>
                </c:pt>
                <c:pt idx="10">
                  <c:v>0.37161719008264466</c:v>
                </c:pt>
              </c:numCache>
            </c:numRef>
          </c:val>
          <c:smooth val="0"/>
          <c:extLst xmlns:c16r2="http://schemas.microsoft.com/office/drawing/2015/06/chart">
            <c:ext xmlns:c16="http://schemas.microsoft.com/office/drawing/2014/chart" uri="{C3380CC4-5D6E-409C-BE32-E72D297353CC}">
              <c16:uniqueId val="{00000009-4A24-4220-B735-A94B5053B5EB}"/>
            </c:ext>
          </c:extLst>
        </c:ser>
        <c:ser>
          <c:idx val="10"/>
          <c:order val="10"/>
          <c:tx>
            <c:strRef>
              <c:f>'Depreciation funding ratio'!$M$4</c:f>
              <c:strCache>
                <c:ptCount val="1"/>
                <c:pt idx="0">
                  <c:v>RuapehuDC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ratio'!$M$5:$M$15</c:f>
              <c:numCache>
                <c:formatCode>General</c:formatCode>
                <c:ptCount val="11"/>
                <c:pt idx="0">
                  <c:v>1.0377204197322398</c:v>
                </c:pt>
                <c:pt idx="1">
                  <c:v>0.91683311741844309</c:v>
                </c:pt>
                <c:pt idx="2">
                  <c:v>1.166344762130739</c:v>
                </c:pt>
                <c:pt idx="3">
                  <c:v>1.0834391534391534</c:v>
                </c:pt>
                <c:pt idx="4">
                  <c:v>1.0026914029084688</c:v>
                </c:pt>
                <c:pt idx="5">
                  <c:v>0.95752183860232953</c:v>
                </c:pt>
                <c:pt idx="6">
                  <c:v>0.93317872037432614</c:v>
                </c:pt>
                <c:pt idx="7">
                  <c:v>1.0102513358400951</c:v>
                </c:pt>
                <c:pt idx="8">
                  <c:v>0.98931107476185898</c:v>
                </c:pt>
                <c:pt idx="9">
                  <c:v>0.90770796377555774</c:v>
                </c:pt>
                <c:pt idx="10">
                  <c:v>0.96342828721287754</c:v>
                </c:pt>
              </c:numCache>
            </c:numRef>
          </c:val>
          <c:smooth val="0"/>
          <c:extLst xmlns:c16r2="http://schemas.microsoft.com/office/drawing/2015/06/chart">
            <c:ext xmlns:c16="http://schemas.microsoft.com/office/drawing/2014/chart" uri="{C3380CC4-5D6E-409C-BE32-E72D297353CC}">
              <c16:uniqueId val="{0000000A-4A24-4220-B735-A94B5053B5EB}"/>
            </c:ext>
          </c:extLst>
        </c:ser>
        <c:ser>
          <c:idx val="11"/>
          <c:order val="11"/>
          <c:tx>
            <c:strRef>
              <c:f>'Depreciation funding ratio'!$N$4</c:f>
              <c:strCache>
                <c:ptCount val="1"/>
                <c:pt idx="0">
                  <c:v>SelwynDC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ratio'!$N$5:$N$15</c:f>
              <c:numCache>
                <c:formatCode>General</c:formatCode>
                <c:ptCount val="11"/>
                <c:pt idx="0">
                  <c:v>1.9319118060106732</c:v>
                </c:pt>
                <c:pt idx="1">
                  <c:v>0.62990109065218347</c:v>
                </c:pt>
                <c:pt idx="2">
                  <c:v>1.178722881867579</c:v>
                </c:pt>
                <c:pt idx="3">
                  <c:v>1.5669733296887813</c:v>
                </c:pt>
                <c:pt idx="4">
                  <c:v>1.4529591991506143</c:v>
                </c:pt>
                <c:pt idx="5">
                  <c:v>1.403162246830832</c:v>
                </c:pt>
                <c:pt idx="6">
                  <c:v>1.0630505612047429</c:v>
                </c:pt>
                <c:pt idx="7">
                  <c:v>0.96952651056618122</c:v>
                </c:pt>
                <c:pt idx="8">
                  <c:v>1.4480988820867713</c:v>
                </c:pt>
                <c:pt idx="9">
                  <c:v>1.0688516807392068</c:v>
                </c:pt>
                <c:pt idx="10">
                  <c:v>1.106020891495969</c:v>
                </c:pt>
              </c:numCache>
            </c:numRef>
          </c:val>
          <c:smooth val="0"/>
          <c:extLst xmlns:c16r2="http://schemas.microsoft.com/office/drawing/2015/06/chart">
            <c:ext xmlns:c16="http://schemas.microsoft.com/office/drawing/2014/chart" uri="{C3380CC4-5D6E-409C-BE32-E72D297353CC}">
              <c16:uniqueId val="{0000000B-4A24-4220-B735-A94B5053B5EB}"/>
            </c:ext>
          </c:extLst>
        </c:ser>
        <c:ser>
          <c:idx val="12"/>
          <c:order val="12"/>
          <c:tx>
            <c:strRef>
              <c:f>'Depreciation funding ratio'!$O$4</c:f>
              <c:strCache>
                <c:ptCount val="1"/>
                <c:pt idx="0">
                  <c:v>TimaruDC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ratio'!$O$5:$O$15</c:f>
              <c:numCache>
                <c:formatCode>General</c:formatCode>
                <c:ptCount val="11"/>
                <c:pt idx="0">
                  <c:v>1.7835066639044264</c:v>
                </c:pt>
                <c:pt idx="1">
                  <c:v>1.7695811553865997</c:v>
                </c:pt>
                <c:pt idx="2">
                  <c:v>1.7856756218905474</c:v>
                </c:pt>
                <c:pt idx="3">
                  <c:v>1.4983804664313778</c:v>
                </c:pt>
                <c:pt idx="4">
                  <c:v>1.7900588705041045</c:v>
                </c:pt>
                <c:pt idx="5">
                  <c:v>2.0170762715330084</c:v>
                </c:pt>
                <c:pt idx="6">
                  <c:v>1.6678975883808311</c:v>
                </c:pt>
                <c:pt idx="7">
                  <c:v>1.5717941984929897</c:v>
                </c:pt>
                <c:pt idx="8">
                  <c:v>1.6032385180122162</c:v>
                </c:pt>
                <c:pt idx="9">
                  <c:v>1.6554346196297194</c:v>
                </c:pt>
                <c:pt idx="10">
                  <c:v>1.6736392239706372</c:v>
                </c:pt>
              </c:numCache>
            </c:numRef>
          </c:val>
          <c:smooth val="0"/>
          <c:extLst xmlns:c16r2="http://schemas.microsoft.com/office/drawing/2015/06/chart">
            <c:ext xmlns:c16="http://schemas.microsoft.com/office/drawing/2014/chart" uri="{C3380CC4-5D6E-409C-BE32-E72D297353CC}">
              <c16:uniqueId val="{0000000C-4A24-4220-B735-A94B5053B5EB}"/>
            </c:ext>
          </c:extLst>
        </c:ser>
        <c:ser>
          <c:idx val="13"/>
          <c:order val="13"/>
          <c:tx>
            <c:strRef>
              <c:f>'Depreciation funding ratio'!$P$4</c:f>
              <c:strCache>
                <c:ptCount val="1"/>
                <c:pt idx="0">
                  <c:v>WestlandDC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ratio'!$P$5:$P$15</c:f>
              <c:numCache>
                <c:formatCode>General</c:formatCode>
                <c:ptCount val="11"/>
                <c:pt idx="0">
                  <c:v>0.96022426275825534</c:v>
                </c:pt>
                <c:pt idx="1">
                  <c:v>0.77029551451187339</c:v>
                </c:pt>
                <c:pt idx="2">
                  <c:v>0.83053275862068965</c:v>
                </c:pt>
                <c:pt idx="3">
                  <c:v>1.5946997910996463</c:v>
                </c:pt>
                <c:pt idx="4">
                  <c:v>1.3759711149106233</c:v>
                </c:pt>
                <c:pt idx="5">
                  <c:v>1.1949849249301794</c:v>
                </c:pt>
                <c:pt idx="6">
                  <c:v>1.0725728796123064</c:v>
                </c:pt>
                <c:pt idx="7">
                  <c:v>1.0821255532437244</c:v>
                </c:pt>
                <c:pt idx="8">
                  <c:v>1.0809026480285038</c:v>
                </c:pt>
                <c:pt idx="9">
                  <c:v>1.0841351316075563</c:v>
                </c:pt>
                <c:pt idx="10">
                  <c:v>1.074820681444115</c:v>
                </c:pt>
              </c:numCache>
            </c:numRef>
          </c:val>
          <c:smooth val="0"/>
          <c:extLst xmlns:c16r2="http://schemas.microsoft.com/office/drawing/2015/06/chart">
            <c:ext xmlns:c16="http://schemas.microsoft.com/office/drawing/2014/chart" uri="{C3380CC4-5D6E-409C-BE32-E72D297353CC}">
              <c16:uniqueId val="{0000000D-4A24-4220-B735-A94B5053B5EB}"/>
            </c:ext>
          </c:extLst>
        </c:ser>
        <c:ser>
          <c:idx val="14"/>
          <c:order val="14"/>
          <c:tx>
            <c:strRef>
              <c:f>'Depreciation funding ratio'!$Q$4</c:f>
              <c:strCache>
                <c:ptCount val="1"/>
                <c:pt idx="0">
                  <c:v>WhangareiDC</c:v>
                </c:pt>
              </c:strCache>
            </c:strRef>
          </c:tx>
          <c:spPr>
            <a:ln>
              <a:solidFill>
                <a:schemeClr val="bg1">
                  <a:lumMod val="85000"/>
                </a:schemeClr>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ratio'!$Q$5:$Q$15</c:f>
              <c:numCache>
                <c:formatCode>General</c:formatCode>
                <c:ptCount val="11"/>
                <c:pt idx="0">
                  <c:v>0.67405604241047279</c:v>
                </c:pt>
                <c:pt idx="1">
                  <c:v>1.0703606592465755</c:v>
                </c:pt>
                <c:pt idx="2">
                  <c:v>1.2763207623572606</c:v>
                </c:pt>
                <c:pt idx="3">
                  <c:v>1.0734911959698692</c:v>
                </c:pt>
                <c:pt idx="4">
                  <c:v>1.1196474923519051</c:v>
                </c:pt>
                <c:pt idx="5">
                  <c:v>1.1658863229618128</c:v>
                </c:pt>
                <c:pt idx="6">
                  <c:v>1.261726370490267</c:v>
                </c:pt>
                <c:pt idx="7">
                  <c:v>1.3187629174779094</c:v>
                </c:pt>
                <c:pt idx="8">
                  <c:v>1.3116390430771636</c:v>
                </c:pt>
                <c:pt idx="9">
                  <c:v>1.3581209581754869</c:v>
                </c:pt>
                <c:pt idx="10">
                  <c:v>1.4476186961869619</c:v>
                </c:pt>
              </c:numCache>
            </c:numRef>
          </c:val>
          <c:smooth val="0"/>
          <c:extLst xmlns:c16r2="http://schemas.microsoft.com/office/drawing/2015/06/chart">
            <c:ext xmlns:c16="http://schemas.microsoft.com/office/drawing/2014/chart" uri="{C3380CC4-5D6E-409C-BE32-E72D297353CC}">
              <c16:uniqueId val="{0000000E-4A24-4220-B735-A94B5053B5EB}"/>
            </c:ext>
          </c:extLst>
        </c:ser>
        <c:ser>
          <c:idx val="15"/>
          <c:order val="15"/>
          <c:tx>
            <c:strRef>
              <c:f>'Depreciation funding ratio'!$R$4</c:f>
              <c:strCache>
                <c:ptCount val="1"/>
                <c:pt idx="0">
                  <c:v>Average</c:v>
                </c:pt>
              </c:strCache>
            </c:strRef>
          </c:tx>
          <c:spPr>
            <a:ln>
              <a:solidFill>
                <a:schemeClr val="accent2"/>
              </a:solidFill>
            </a:ln>
          </c:spPr>
          <c:marker>
            <c:symbol val="none"/>
          </c:marker>
          <c:cat>
            <c:numRef>
              <c:f>'Depreciation funding ratio'!$B$5:$B$15</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'Depreciation funding ratio'!$R$5:$R$15</c:f>
              <c:numCache>
                <c:formatCode>General</c:formatCode>
                <c:ptCount val="11"/>
                <c:pt idx="0">
                  <c:v>1.0927712196104611</c:v>
                </c:pt>
                <c:pt idx="1">
                  <c:v>1.0276732174541017</c:v>
                </c:pt>
                <c:pt idx="2">
                  <c:v>1.0451084623079878</c:v>
                </c:pt>
                <c:pt idx="3">
                  <c:v>1.2145388865712514</c:v>
                </c:pt>
                <c:pt idx="4">
                  <c:v>1.1178382454729923</c:v>
                </c:pt>
                <c:pt idx="5">
                  <c:v>1.0983808340451295</c:v>
                </c:pt>
                <c:pt idx="6">
                  <c:v>1.1017987897973578</c:v>
                </c:pt>
                <c:pt idx="7">
                  <c:v>1.070107045535553</c:v>
                </c:pt>
                <c:pt idx="8">
                  <c:v>1.0993043840678738</c:v>
                </c:pt>
                <c:pt idx="9">
                  <c:v>1.0747051423985794</c:v>
                </c:pt>
                <c:pt idx="10">
                  <c:v>1.1102497938541234</c:v>
                </c:pt>
              </c:numCache>
            </c:numRef>
          </c:val>
          <c:smooth val="0"/>
          <c:extLst xmlns:c16r2="http://schemas.microsoft.com/office/drawing/2015/06/chart">
            <c:ext xmlns:c16="http://schemas.microsoft.com/office/drawing/2014/chart" uri="{C3380CC4-5D6E-409C-BE32-E72D297353CC}">
              <c16:uniqueId val="{0000000F-4A24-4220-B735-A94B5053B5EB}"/>
            </c:ext>
          </c:extLst>
        </c:ser>
        <c:dLbls>
          <c:showLegendKey val="0"/>
          <c:showVal val="0"/>
          <c:showCatName val="0"/>
          <c:showSerName val="0"/>
          <c:showPercent val="0"/>
          <c:showBubbleSize val="0"/>
        </c:dLbls>
        <c:marker val="1"/>
        <c:smooth val="0"/>
        <c:axId val="121061760"/>
        <c:axId val="121063296"/>
      </c:lineChart>
      <c:catAx>
        <c:axId val="121061760"/>
        <c:scaling>
          <c:orientation val="minMax"/>
        </c:scaling>
        <c:delete val="0"/>
        <c:axPos val="b"/>
        <c:numFmt formatCode="General" sourceLinked="1"/>
        <c:majorTickMark val="out"/>
        <c:minorTickMark val="none"/>
        <c:tickLblPos val="nextTo"/>
        <c:crossAx val="121063296"/>
        <c:crosses val="autoZero"/>
        <c:auto val="1"/>
        <c:lblAlgn val="ctr"/>
        <c:lblOffset val="100"/>
        <c:noMultiLvlLbl val="0"/>
      </c:catAx>
      <c:valAx>
        <c:axId val="121063296"/>
        <c:scaling>
          <c:orientation val="minMax"/>
        </c:scaling>
        <c:delete val="0"/>
        <c:axPos val="l"/>
        <c:majorGridlines/>
        <c:numFmt formatCode="0%" sourceLinked="0"/>
        <c:majorTickMark val="out"/>
        <c:minorTickMark val="none"/>
        <c:tickLblPos val="nextTo"/>
        <c:crossAx val="121061760"/>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0.08268</cdr:x>
      <cdr:y>0.48549</cdr:y>
    </cdr:from>
    <cdr:to>
      <cdr:x>0.9838</cdr:x>
      <cdr:y>0.48833</cdr:y>
    </cdr:to>
    <cdr:cxnSp macro="">
      <cdr:nvCxnSpPr>
        <cdr:cNvPr id="3" name="Straight Connector 2"/>
        <cdr:cNvCxnSpPr/>
      </cdr:nvCxnSpPr>
      <cdr:spPr>
        <a:xfrm xmlns:a="http://schemas.openxmlformats.org/drawingml/2006/main" flipV="1">
          <a:off x="500027" y="1835831"/>
          <a:ext cx="5449739" cy="10740"/>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MorrisonLow2016">
  <a:themeElements>
    <a:clrScheme name="ML">
      <a:dk1>
        <a:srgbClr val="3F4042"/>
      </a:dk1>
      <a:lt1>
        <a:srgbClr val="FFFFFF"/>
      </a:lt1>
      <a:dk2>
        <a:srgbClr val="002941"/>
      </a:dk2>
      <a:lt2>
        <a:srgbClr val="8FD5FF"/>
      </a:lt2>
      <a:accent1>
        <a:srgbClr val="002941"/>
      </a:accent1>
      <a:accent2>
        <a:srgbClr val="9DBE3B"/>
      </a:accent2>
      <a:accent3>
        <a:srgbClr val="808285"/>
      </a:accent3>
      <a:accent4>
        <a:srgbClr val="D5E1AC"/>
      </a:accent4>
      <a:accent5>
        <a:srgbClr val="EED454"/>
      </a:accent5>
      <a:accent6>
        <a:srgbClr val="F8EDB7"/>
      </a:accent6>
      <a:hlink>
        <a:srgbClr val="006FB0"/>
      </a:hlink>
      <a:folHlink>
        <a:srgbClr val="8FD5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5DE4102805974F950F19505540C8E5" ma:contentTypeVersion="0" ma:contentTypeDescription="Create a new document." ma:contentTypeScope="" ma:versionID="cef74161cbd0d25b85cacb3f3028fbc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CDD92-49CA-4E41-8752-155488436B0C}">
  <ds:schemaRef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B601DD-B5E9-4511-AC4A-47B8C40F079C}">
  <ds:schemaRefs>
    <ds:schemaRef ds:uri="http://schemas.microsoft.com/sharepoint/v3/contenttype/forms"/>
  </ds:schemaRefs>
</ds:datastoreItem>
</file>

<file path=customXml/itemProps3.xml><?xml version="1.0" encoding="utf-8"?>
<ds:datastoreItem xmlns:ds="http://schemas.openxmlformats.org/officeDocument/2006/customXml" ds:itemID="{1B66C88B-48CA-4775-9EBE-9A43D9F94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F97C01F-3AD9-4905-AB1B-4EE8FE3EE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 template for word 3.dotx</Template>
  <TotalTime>2</TotalTime>
  <Pages>75</Pages>
  <Words>23235</Words>
  <Characters>132441</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pH creative</Company>
  <LinksUpToDate>false</LinksUpToDate>
  <CharactersWithSpaces>155366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McFarland</dc:creator>
  <cp:lastModifiedBy>Catherine McFarland</cp:lastModifiedBy>
  <cp:revision>4</cp:revision>
  <cp:lastPrinted>2018-08-01T22:04:00Z</cp:lastPrinted>
  <dcterms:created xsi:type="dcterms:W3CDTF">2018-08-01T22:02:00Z</dcterms:created>
  <dcterms:modified xsi:type="dcterms:W3CDTF">2018-08-01T22:04:00Z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0x0101006D5DE4102805974F950F19505540C8E5</vt:lpwstr>
  </property>
</Properties>
</file>