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9" w:rsidRDefault="00A36309" w:rsidP="00A36309">
      <w:bookmarkStart w:id="0" w:name="_GoBack"/>
      <w:bookmarkEnd w:id="0"/>
    </w:p>
    <w:tbl>
      <w:tblPr>
        <w:tblStyle w:val="Blanktable"/>
        <w:tblW w:w="0" w:type="auto"/>
        <w:tblLook w:val="04A0" w:firstRow="1" w:lastRow="0" w:firstColumn="1" w:lastColumn="0" w:noHBand="0" w:noVBand="1"/>
        <w:tblDescription w:val="This table is for layout only."/>
      </w:tblPr>
      <w:tblGrid>
        <w:gridCol w:w="8819"/>
      </w:tblGrid>
      <w:tr w:rsidR="00DD3B66" w:rsidTr="00342DBF">
        <w:trPr>
          <w:trHeight w:hRule="exact" w:val="5897"/>
        </w:trPr>
        <w:tc>
          <w:tcPr>
            <w:tcW w:w="8819" w:type="dxa"/>
            <w:vAlign w:val="bottom"/>
          </w:tcPr>
          <w:p w:rsidR="00773F2E" w:rsidRPr="0013424E" w:rsidRDefault="00DD3B66" w:rsidP="00DD3B66">
            <w:pPr>
              <w:pStyle w:val="Title"/>
            </w:pPr>
            <w:r>
              <w:t xml:space="preserve">Key findings from the 2015 </w:t>
            </w:r>
            <w:r w:rsidR="00540EDF">
              <w:t xml:space="preserve">Survey </w:t>
            </w:r>
            <w:r>
              <w:t>of AML/CFT reporting entities</w:t>
            </w:r>
          </w:p>
          <w:p w:rsidR="006B0386" w:rsidRDefault="006B0386" w:rsidP="006B0386">
            <w:pPr>
              <w:pStyle w:val="Title2"/>
            </w:pPr>
          </w:p>
        </w:tc>
      </w:tr>
      <w:tr w:rsidR="00DD3B66" w:rsidTr="007D3469">
        <w:trPr>
          <w:trHeight w:val="7258"/>
        </w:trPr>
        <w:tc>
          <w:tcPr>
            <w:tcW w:w="8819" w:type="dxa"/>
            <w:vAlign w:val="bottom"/>
          </w:tcPr>
          <w:p w:rsidR="00A36309" w:rsidRDefault="00A36309" w:rsidP="00DD3B66">
            <w:pPr>
              <w:pStyle w:val="Coverimage"/>
            </w:pPr>
          </w:p>
        </w:tc>
      </w:tr>
    </w:tbl>
    <w:p w:rsidR="00B62134" w:rsidRPr="00B62134" w:rsidRDefault="00B62134" w:rsidP="00B62134"/>
    <w:p w:rsidR="00B62134" w:rsidRDefault="00B62134" w:rsidP="00B62134">
      <w:pPr>
        <w:sectPr w:rsidR="00B62134" w:rsidSect="00B456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992" w:left="1418" w:header="425" w:footer="397" w:gutter="0"/>
          <w:cols w:space="708"/>
          <w:docGrid w:linePitch="360"/>
        </w:sectPr>
      </w:pPr>
    </w:p>
    <w:p w:rsidR="007D3469" w:rsidRPr="007D3469" w:rsidRDefault="000E09DC" w:rsidP="0015545F">
      <w:pPr>
        <w:pStyle w:val="NotforContentsheading1"/>
      </w:pPr>
      <w:r>
        <w:lastRenderedPageBreak/>
        <w:t>Contents</w:t>
      </w:r>
    </w:p>
    <w:p w:rsidR="00133D38" w:rsidRDefault="00860B2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r>
        <w:fldChar w:fldCharType="begin"/>
      </w:r>
      <w:r>
        <w:instrText xml:space="preserve"> TOC \o "1-2" \h \z \t "Heading appendix,1" </w:instrText>
      </w:r>
      <w:r>
        <w:fldChar w:fldCharType="separate"/>
      </w:r>
      <w:hyperlink w:anchor="_Toc447178476" w:history="1">
        <w:r w:rsidR="00133D38" w:rsidRPr="006B54AD">
          <w:rPr>
            <w:rStyle w:val="Hyperlink"/>
            <w:noProof/>
          </w:rPr>
          <w:t>Executive summary</w:t>
        </w:r>
        <w:r w:rsidR="00133D38">
          <w:rPr>
            <w:noProof/>
            <w:webHidden/>
          </w:rPr>
          <w:tab/>
        </w:r>
        <w:r w:rsidR="00133D38">
          <w:rPr>
            <w:noProof/>
            <w:webHidden/>
          </w:rPr>
          <w:fldChar w:fldCharType="begin"/>
        </w:r>
        <w:r w:rsidR="00133D38">
          <w:rPr>
            <w:noProof/>
            <w:webHidden/>
          </w:rPr>
          <w:instrText xml:space="preserve"> PAGEREF _Toc447178476 \h </w:instrText>
        </w:r>
        <w:r w:rsidR="00133D38">
          <w:rPr>
            <w:noProof/>
            <w:webHidden/>
          </w:rPr>
        </w:r>
        <w:r w:rsidR="00133D38">
          <w:rPr>
            <w:noProof/>
            <w:webHidden/>
          </w:rPr>
          <w:fldChar w:fldCharType="separate"/>
        </w:r>
        <w:r w:rsidR="00DF3E71">
          <w:rPr>
            <w:noProof/>
            <w:webHidden/>
          </w:rPr>
          <w:t>1</w:t>
        </w:r>
        <w:r w:rsidR="00133D38">
          <w:rPr>
            <w:noProof/>
            <w:webHidden/>
          </w:rPr>
          <w:fldChar w:fldCharType="end"/>
        </w:r>
      </w:hyperlink>
    </w:p>
    <w:p w:rsidR="00133D38" w:rsidRDefault="00FA58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447178477" w:history="1">
        <w:r w:rsidR="00133D38" w:rsidRPr="006B54AD">
          <w:rPr>
            <w:rStyle w:val="Hyperlink"/>
            <w:noProof/>
          </w:rPr>
          <w:t>Introduction</w:t>
        </w:r>
        <w:r w:rsidR="00133D38">
          <w:rPr>
            <w:noProof/>
            <w:webHidden/>
          </w:rPr>
          <w:tab/>
        </w:r>
        <w:r w:rsidR="00133D38">
          <w:rPr>
            <w:noProof/>
            <w:webHidden/>
          </w:rPr>
          <w:fldChar w:fldCharType="begin"/>
        </w:r>
        <w:r w:rsidR="00133D38">
          <w:rPr>
            <w:noProof/>
            <w:webHidden/>
          </w:rPr>
          <w:instrText xml:space="preserve"> PAGEREF _Toc447178477 \h </w:instrText>
        </w:r>
        <w:r w:rsidR="00133D38">
          <w:rPr>
            <w:noProof/>
            <w:webHidden/>
          </w:rPr>
        </w:r>
        <w:r w:rsidR="00133D38">
          <w:rPr>
            <w:noProof/>
            <w:webHidden/>
          </w:rPr>
          <w:fldChar w:fldCharType="separate"/>
        </w:r>
        <w:r w:rsidR="00DF3E71">
          <w:rPr>
            <w:noProof/>
            <w:webHidden/>
          </w:rPr>
          <w:t>3</w:t>
        </w:r>
        <w:r w:rsidR="00133D38">
          <w:rPr>
            <w:noProof/>
            <w:webHidden/>
          </w:rPr>
          <w:fldChar w:fldCharType="end"/>
        </w:r>
      </w:hyperlink>
    </w:p>
    <w:p w:rsidR="00133D38" w:rsidRDefault="00FA58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447178478" w:history="1">
        <w:r w:rsidR="00133D38" w:rsidRPr="006B54AD">
          <w:rPr>
            <w:rStyle w:val="Hyperlink"/>
            <w:noProof/>
          </w:rPr>
          <w:t>Information about our sector</w:t>
        </w:r>
        <w:r w:rsidR="00133D38">
          <w:rPr>
            <w:noProof/>
            <w:webHidden/>
          </w:rPr>
          <w:tab/>
        </w:r>
        <w:r w:rsidR="00133D38">
          <w:rPr>
            <w:noProof/>
            <w:webHidden/>
          </w:rPr>
          <w:fldChar w:fldCharType="begin"/>
        </w:r>
        <w:r w:rsidR="00133D38">
          <w:rPr>
            <w:noProof/>
            <w:webHidden/>
          </w:rPr>
          <w:instrText xml:space="preserve"> PAGEREF _Toc447178478 \h </w:instrText>
        </w:r>
        <w:r w:rsidR="00133D38">
          <w:rPr>
            <w:noProof/>
            <w:webHidden/>
          </w:rPr>
        </w:r>
        <w:r w:rsidR="00133D38">
          <w:rPr>
            <w:noProof/>
            <w:webHidden/>
          </w:rPr>
          <w:fldChar w:fldCharType="separate"/>
        </w:r>
        <w:r w:rsidR="00DF3E71">
          <w:rPr>
            <w:noProof/>
            <w:webHidden/>
          </w:rPr>
          <w:t>5</w:t>
        </w:r>
        <w:r w:rsidR="00133D38">
          <w:rPr>
            <w:noProof/>
            <w:webHidden/>
          </w:rPr>
          <w:fldChar w:fldCharType="end"/>
        </w:r>
      </w:hyperlink>
    </w:p>
    <w:p w:rsidR="00133D38" w:rsidRDefault="00FA58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447178479" w:history="1">
        <w:r w:rsidR="00133D38" w:rsidRPr="006B54AD">
          <w:rPr>
            <w:rStyle w:val="Hyperlink"/>
            <w:noProof/>
          </w:rPr>
          <w:t>Information Services</w:t>
        </w:r>
        <w:r w:rsidR="00133D38">
          <w:rPr>
            <w:noProof/>
            <w:webHidden/>
          </w:rPr>
          <w:tab/>
        </w:r>
        <w:r w:rsidR="00133D38">
          <w:rPr>
            <w:noProof/>
            <w:webHidden/>
          </w:rPr>
          <w:fldChar w:fldCharType="begin"/>
        </w:r>
        <w:r w:rsidR="00133D38">
          <w:rPr>
            <w:noProof/>
            <w:webHidden/>
          </w:rPr>
          <w:instrText xml:space="preserve"> PAGEREF _Toc447178479 \h </w:instrText>
        </w:r>
        <w:r w:rsidR="00133D38">
          <w:rPr>
            <w:noProof/>
            <w:webHidden/>
          </w:rPr>
        </w:r>
        <w:r w:rsidR="00133D38">
          <w:rPr>
            <w:noProof/>
            <w:webHidden/>
          </w:rPr>
          <w:fldChar w:fldCharType="separate"/>
        </w:r>
        <w:r w:rsidR="00DF3E71">
          <w:rPr>
            <w:noProof/>
            <w:webHidden/>
          </w:rPr>
          <w:t>8</w:t>
        </w:r>
        <w:r w:rsidR="00133D38">
          <w:rPr>
            <w:noProof/>
            <w:webHidden/>
          </w:rPr>
          <w:fldChar w:fldCharType="end"/>
        </w:r>
      </w:hyperlink>
    </w:p>
    <w:p w:rsidR="00133D38" w:rsidRDefault="00FA589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447178480" w:history="1">
        <w:r w:rsidR="00133D38" w:rsidRPr="006B54AD">
          <w:rPr>
            <w:rStyle w:val="Hyperlink"/>
            <w:noProof/>
          </w:rPr>
          <w:t>Sector understanding of the AML/CFT Act</w:t>
        </w:r>
        <w:r w:rsidR="00133D38">
          <w:rPr>
            <w:noProof/>
            <w:webHidden/>
          </w:rPr>
          <w:tab/>
        </w:r>
        <w:r w:rsidR="00133D38">
          <w:rPr>
            <w:noProof/>
            <w:webHidden/>
          </w:rPr>
          <w:fldChar w:fldCharType="begin"/>
        </w:r>
        <w:r w:rsidR="00133D38">
          <w:rPr>
            <w:noProof/>
            <w:webHidden/>
          </w:rPr>
          <w:instrText xml:space="preserve"> PAGEREF _Toc447178480 \h </w:instrText>
        </w:r>
        <w:r w:rsidR="00133D38">
          <w:rPr>
            <w:noProof/>
            <w:webHidden/>
          </w:rPr>
        </w:r>
        <w:r w:rsidR="00133D38">
          <w:rPr>
            <w:noProof/>
            <w:webHidden/>
          </w:rPr>
          <w:fldChar w:fldCharType="separate"/>
        </w:r>
        <w:r w:rsidR="00DF3E71">
          <w:rPr>
            <w:noProof/>
            <w:webHidden/>
          </w:rPr>
          <w:t>12</w:t>
        </w:r>
        <w:r w:rsidR="00133D38">
          <w:rPr>
            <w:noProof/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1" w:history="1">
        <w:r w:rsidR="00133D38" w:rsidRPr="006B54AD">
          <w:rPr>
            <w:rStyle w:val="Hyperlink"/>
          </w:rPr>
          <w:t>Risk Assessment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_Toc447178481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13</w:t>
        </w:r>
        <w:r w:rsidR="00133D38">
          <w:rPr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2" w:history="1">
        <w:r w:rsidR="00133D38" w:rsidRPr="006B54AD">
          <w:rPr>
            <w:rStyle w:val="Hyperlink"/>
          </w:rPr>
          <w:t>AML/CFT Programme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_Toc447178482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13</w:t>
        </w:r>
        <w:r w:rsidR="00133D38">
          <w:rPr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3" w:history="1">
        <w:r w:rsidR="00133D38" w:rsidRPr="006B54AD">
          <w:rPr>
            <w:rStyle w:val="Hyperlink"/>
          </w:rPr>
          <w:t>Annual Report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_Toc447178483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14</w:t>
        </w:r>
        <w:r w:rsidR="00133D38">
          <w:rPr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4" w:history="1">
        <w:r w:rsidR="00133D38" w:rsidRPr="006B54AD">
          <w:rPr>
            <w:rStyle w:val="Hyperlink"/>
          </w:rPr>
          <w:t>Submitting Suspicious Transaction Reports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_Toc447178484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15</w:t>
        </w:r>
        <w:r w:rsidR="00133D38">
          <w:rPr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5" w:history="1">
        <w:r w:rsidR="00133D38" w:rsidRPr="006B54AD">
          <w:rPr>
            <w:rStyle w:val="Hyperlink"/>
          </w:rPr>
          <w:t>Subsector ratings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_Toc447178485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15</w:t>
        </w:r>
        <w:r w:rsidR="00133D38">
          <w:rPr>
            <w:webHidden/>
          </w:rPr>
          <w:fldChar w:fldCharType="end"/>
        </w:r>
      </w:hyperlink>
    </w:p>
    <w:p w:rsidR="00133D38" w:rsidRDefault="00FA589B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447178486" w:history="1">
        <w:r w:rsidR="00133D38" w:rsidRPr="006B54AD">
          <w:rPr>
            <w:rStyle w:val="Hyperlink"/>
          </w:rPr>
          <w:t>Final comments</w:t>
        </w:r>
        <w:r w:rsidR="00133D38">
          <w:rPr>
            <w:webHidden/>
          </w:rPr>
          <w:tab/>
        </w:r>
        <w:r w:rsidR="00133D38">
          <w:rPr>
            <w:webHidden/>
          </w:rPr>
          <w:fldChar w:fldCharType="begin"/>
        </w:r>
        <w:r w:rsidR="00133D38">
          <w:rPr>
            <w:webHidden/>
          </w:rPr>
          <w:instrText xml:space="preserve"> PAGEREF _Toc447178486 \h </w:instrText>
        </w:r>
        <w:r w:rsidR="00133D38">
          <w:rPr>
            <w:webHidden/>
          </w:rPr>
        </w:r>
        <w:r w:rsidR="00133D38">
          <w:rPr>
            <w:webHidden/>
          </w:rPr>
          <w:fldChar w:fldCharType="separate"/>
        </w:r>
        <w:r w:rsidR="00DF3E71">
          <w:rPr>
            <w:webHidden/>
          </w:rPr>
          <w:t>15</w:t>
        </w:r>
        <w:r w:rsidR="00133D38">
          <w:rPr>
            <w:webHidden/>
          </w:rPr>
          <w:fldChar w:fldCharType="end"/>
        </w:r>
      </w:hyperlink>
    </w:p>
    <w:p w:rsidR="009669CF" w:rsidRPr="007202D5" w:rsidRDefault="00860B2B" w:rsidP="007202D5">
      <w:r>
        <w:rPr>
          <w:color w:val="1F546B"/>
        </w:rPr>
        <w:fldChar w:fldCharType="end"/>
      </w:r>
    </w:p>
    <w:p w:rsidR="004518B7" w:rsidRPr="007202D5" w:rsidRDefault="004518B7" w:rsidP="007202D5"/>
    <w:p w:rsidR="0013424E" w:rsidRDefault="004518B7" w:rsidP="001420E8">
      <w:r w:rsidRPr="007202D5">
        <w:br w:type="page"/>
      </w:r>
    </w:p>
    <w:p w:rsidR="006871D3" w:rsidRDefault="006871D3" w:rsidP="001420E8">
      <w:pPr>
        <w:sectPr w:rsidR="006871D3" w:rsidSect="004518B7">
          <w:headerReference w:type="default" r:id="rId15"/>
          <w:footerReference w:type="default" r:id="rId16"/>
          <w:pgSz w:w="11907" w:h="16840" w:code="9"/>
          <w:pgMar w:top="1418" w:right="1418" w:bottom="992" w:left="1418" w:header="425" w:footer="641" w:gutter="0"/>
          <w:pgNumType w:start="1"/>
          <w:cols w:space="708"/>
          <w:docGrid w:linePitch="360"/>
        </w:sectPr>
      </w:pPr>
    </w:p>
    <w:p w:rsidR="00860B2B" w:rsidRDefault="00860B2B" w:rsidP="00860B2B">
      <w:pPr>
        <w:pStyle w:val="Heading1"/>
      </w:pPr>
      <w:bookmarkStart w:id="1" w:name="_Toc447178476"/>
      <w:r>
        <w:lastRenderedPageBreak/>
        <w:t>Executive summary</w:t>
      </w:r>
      <w:bookmarkEnd w:id="1"/>
    </w:p>
    <w:p w:rsidR="006871D3" w:rsidRDefault="00C5076D" w:rsidP="00860B2B">
      <w:r>
        <w:t xml:space="preserve">This report summarises the key findings of the Department of Internal Affairs’ 2015 survey of its reporting entities under the Anti-Money Laundering and Countering Financing of </w:t>
      </w:r>
      <w:r w:rsidR="00483B54">
        <w:t>Terrorism Act 2009</w:t>
      </w:r>
      <w:r w:rsidR="005F15F3">
        <w:t xml:space="preserve"> (the Act).</w:t>
      </w:r>
    </w:p>
    <w:p w:rsidR="00E379B3" w:rsidRDefault="00E379B3" w:rsidP="00E379B3">
      <w:r>
        <w:t xml:space="preserve">Information collected in the survey gives us, as </w:t>
      </w:r>
      <w:r w:rsidR="009B2AC8">
        <w:t>a supervisor under the Act</w:t>
      </w:r>
      <w:r>
        <w:t xml:space="preserve">, an opportunity to gauge the level of </w:t>
      </w:r>
      <w:r w:rsidR="00434C5C">
        <w:t xml:space="preserve">understanding that our reporting entities have about </w:t>
      </w:r>
      <w:r>
        <w:t>their obligations.</w:t>
      </w:r>
    </w:p>
    <w:p w:rsidR="005F15F3" w:rsidRPr="00F24BAC" w:rsidRDefault="005F15F3" w:rsidP="00860B2B">
      <w:r>
        <w:t>We are</w:t>
      </w:r>
      <w:r w:rsidR="000F070C">
        <w:t xml:space="preserve"> also</w:t>
      </w:r>
      <w:r>
        <w:t xml:space="preserve"> interested in how </w:t>
      </w:r>
      <w:r w:rsidR="009B2AC8">
        <w:t xml:space="preserve">effective </w:t>
      </w:r>
      <w:r>
        <w:t>our communication</w:t>
      </w:r>
      <w:r w:rsidR="000F070C">
        <w:t xml:space="preserve"> </w:t>
      </w:r>
      <w:r w:rsidR="009B2AC8">
        <w:t>with</w:t>
      </w:r>
      <w:r w:rsidR="000F070C">
        <w:t xml:space="preserve"> the sector</w:t>
      </w:r>
      <w:r>
        <w:t xml:space="preserve"> is</w:t>
      </w:r>
      <w:r w:rsidR="00434C5C">
        <w:t xml:space="preserve">. </w:t>
      </w:r>
      <w:r w:rsidRPr="00F24BAC">
        <w:t xml:space="preserve">We use </w:t>
      </w:r>
      <w:r w:rsidR="00FC19F6" w:rsidRPr="00F24BAC">
        <w:t>survey i</w:t>
      </w:r>
      <w:r w:rsidRPr="00F24BAC">
        <w:t xml:space="preserve">nformation to </w:t>
      </w:r>
      <w:r w:rsidR="009B2AC8">
        <w:t>inform how and when we communicate information.</w:t>
      </w:r>
    </w:p>
    <w:p w:rsidR="000F070C" w:rsidRDefault="00070373" w:rsidP="00892016">
      <w:r>
        <w:t xml:space="preserve">This is the second year that we have conducted this survey and we </w:t>
      </w:r>
      <w:r w:rsidR="00E263EC">
        <w:t>received a good response rate</w:t>
      </w:r>
      <w:r w:rsidR="00DA00F3">
        <w:t xml:space="preserve"> of </w:t>
      </w:r>
      <w:r w:rsidR="00E263EC">
        <w:t xml:space="preserve">35 per cent. </w:t>
      </w:r>
      <w:r w:rsidR="000F070C">
        <w:t>I</w:t>
      </w:r>
      <w:r w:rsidR="00E263EC">
        <w:t>nvitations were sent to 972 individuals and 337 responses were received. This compares to 2014 when 788 invitations were sent and 308 responses were received</w:t>
      </w:r>
      <w:r w:rsidR="00DA00F3">
        <w:t xml:space="preserve">, giving a response rate of </w:t>
      </w:r>
      <w:r w:rsidR="00E263EC">
        <w:t>39 per cent.</w:t>
      </w:r>
      <w:r w:rsidR="000F070C">
        <w:t xml:space="preserve"> </w:t>
      </w:r>
    </w:p>
    <w:p w:rsidR="00272C4C" w:rsidRPr="003B0E84" w:rsidRDefault="00272C4C" w:rsidP="00892016">
      <w:pPr>
        <w:rPr>
          <w:b/>
          <w:color w:val="1F546B" w:themeColor="text2"/>
          <w:sz w:val="32"/>
          <w:szCs w:val="32"/>
        </w:rPr>
      </w:pPr>
      <w:r w:rsidRPr="003B0E84">
        <w:rPr>
          <w:b/>
          <w:color w:val="1F546B" w:themeColor="text2"/>
          <w:sz w:val="32"/>
          <w:szCs w:val="32"/>
        </w:rPr>
        <w:t>Survey findings</w:t>
      </w:r>
      <w:r w:rsidR="00CD5FEF" w:rsidRPr="003B0E84">
        <w:rPr>
          <w:b/>
          <w:color w:val="1F546B" w:themeColor="text2"/>
          <w:sz w:val="32"/>
          <w:szCs w:val="32"/>
        </w:rPr>
        <w:t xml:space="preserve"> – information services</w:t>
      </w:r>
    </w:p>
    <w:p w:rsidR="00E126EB" w:rsidRDefault="00982C68" w:rsidP="00860B2B">
      <w:r>
        <w:t>Almost all of our survey respondents have referred to the Department</w:t>
      </w:r>
      <w:r w:rsidR="0094387D">
        <w:t xml:space="preserve"> of Internal Affairs</w:t>
      </w:r>
      <w:r>
        <w:t>’</w:t>
      </w:r>
      <w:r w:rsidR="0094387D">
        <w:t xml:space="preserve"> (the Department)</w:t>
      </w:r>
      <w:r>
        <w:t xml:space="preserve"> website and th</w:t>
      </w:r>
      <w:r w:rsidR="00892016">
        <w:t>is</w:t>
      </w:r>
      <w:r>
        <w:t xml:space="preserve"> number has increased compared to last year (</w:t>
      </w:r>
      <w:r w:rsidR="00892016">
        <w:t xml:space="preserve">from </w:t>
      </w:r>
      <w:r w:rsidR="00E263EC">
        <w:t>87 per cent in 2014 to 91</w:t>
      </w:r>
      <w:r>
        <w:t xml:space="preserve"> per cent in 2015).</w:t>
      </w:r>
    </w:p>
    <w:p w:rsidR="0080402B" w:rsidRDefault="00EF5968" w:rsidP="00EF5968">
      <w:r>
        <w:t>Overall ratings for</w:t>
      </w:r>
      <w:r w:rsidR="007502F6">
        <w:t xml:space="preserve"> ease of finding information and usefulness of information on our website were positive. </w:t>
      </w:r>
    </w:p>
    <w:p w:rsidR="00EF5968" w:rsidRDefault="0080402B" w:rsidP="00EF5968">
      <w:r>
        <w:t>A number</w:t>
      </w:r>
      <w:r w:rsidR="00EF5968">
        <w:t xml:space="preserve"> of respondents told us that information in some areas of the website is easier to find and more useful than others. Average ratings in both areas have decreased</w:t>
      </w:r>
      <w:r w:rsidR="007502F6">
        <w:t xml:space="preserve"> </w:t>
      </w:r>
      <w:r w:rsidR="00434C5C">
        <w:t xml:space="preserve">slightly </w:t>
      </w:r>
      <w:r w:rsidR="007502F6">
        <w:t>compared to last year</w:t>
      </w:r>
      <w:r w:rsidR="00EF5968">
        <w:t>.</w:t>
      </w:r>
    </w:p>
    <w:p w:rsidR="00E9143E" w:rsidRDefault="008D1A81" w:rsidP="00EF5968">
      <w:r>
        <w:t xml:space="preserve">Requests for simplified language and an </w:t>
      </w:r>
      <w:r w:rsidR="0080402B">
        <w:t>impro</w:t>
      </w:r>
      <w:r>
        <w:t xml:space="preserve">ved </w:t>
      </w:r>
      <w:r w:rsidR="0029586E">
        <w:t xml:space="preserve">website </w:t>
      </w:r>
      <w:r>
        <w:t xml:space="preserve">search function were </w:t>
      </w:r>
      <w:r w:rsidR="006E254E">
        <w:t>made</w:t>
      </w:r>
      <w:r w:rsidR="00434C5C">
        <w:t xml:space="preserve"> and this is similar to last year’s survey. </w:t>
      </w:r>
      <w:r w:rsidR="00B85D89">
        <w:t>It is interesting to note that o</w:t>
      </w:r>
      <w:r>
        <w:t xml:space="preserve">pinion </w:t>
      </w:r>
      <w:r w:rsidR="00257A73">
        <w:t xml:space="preserve">about the website </w:t>
      </w:r>
      <w:r w:rsidR="00434C5C">
        <w:t xml:space="preserve">was </w:t>
      </w:r>
      <w:r>
        <w:t>divided, with other comments stating th</w:t>
      </w:r>
      <w:r w:rsidR="00B85D89">
        <w:t>at information is easy to find and set out simply.</w:t>
      </w:r>
      <w:r>
        <w:t xml:space="preserve"> </w:t>
      </w:r>
    </w:p>
    <w:p w:rsidR="008D1A81" w:rsidRPr="00D42D02" w:rsidRDefault="009B2AC8" w:rsidP="00EF5968">
      <w:pPr>
        <w:rPr>
          <w:i/>
        </w:rPr>
      </w:pPr>
      <w:r>
        <w:t>We plan to review the information on our website and how it is presented.</w:t>
      </w:r>
    </w:p>
    <w:p w:rsidR="00CD5FEF" w:rsidRDefault="00CD5FEF" w:rsidP="00860B2B">
      <w:r>
        <w:t>Most respondents have had additional contact with the Department</w:t>
      </w:r>
      <w:r w:rsidR="00EB6C34">
        <w:t xml:space="preserve"> (other than website or newsletters)</w:t>
      </w:r>
      <w:r>
        <w:t xml:space="preserve">, and this </w:t>
      </w:r>
      <w:r w:rsidR="00EB6C34">
        <w:t xml:space="preserve">number </w:t>
      </w:r>
      <w:r w:rsidR="00126BB5">
        <w:t>has increased (from 62 per cent in 2014 to 71</w:t>
      </w:r>
      <w:r>
        <w:t xml:space="preserve"> per cent in 2015).</w:t>
      </w:r>
    </w:p>
    <w:p w:rsidR="000F070C" w:rsidRDefault="0029586E" w:rsidP="00860B2B">
      <w:r>
        <w:t>A</w:t>
      </w:r>
      <w:r w:rsidR="00066FA8">
        <w:t xml:space="preserve"> reduction in</w:t>
      </w:r>
      <w:r w:rsidR="00B85D89">
        <w:t xml:space="preserve"> the </w:t>
      </w:r>
      <w:r w:rsidR="00434C5C">
        <w:t xml:space="preserve">numbers of </w:t>
      </w:r>
      <w:r w:rsidR="00066FA8">
        <w:t xml:space="preserve">roadshow and face to face interactions </w:t>
      </w:r>
      <w:r>
        <w:t>reflects the change</w:t>
      </w:r>
      <w:r w:rsidR="00066FA8">
        <w:t xml:space="preserve"> in our focus</w:t>
      </w:r>
      <w:r w:rsidR="00D11662">
        <w:t xml:space="preserve"> from </w:t>
      </w:r>
      <w:r w:rsidR="006D346F">
        <w:t>educ</w:t>
      </w:r>
      <w:r w:rsidR="00D11662">
        <w:t>ation</w:t>
      </w:r>
      <w:r w:rsidR="000F070C">
        <w:t xml:space="preserve"> to </w:t>
      </w:r>
      <w:r w:rsidR="003D162E">
        <w:t>more active supervision</w:t>
      </w:r>
      <w:r>
        <w:t xml:space="preserve">. </w:t>
      </w:r>
      <w:r w:rsidR="00066FA8">
        <w:t>The number of</w:t>
      </w:r>
      <w:r w:rsidR="00EB6C34">
        <w:t xml:space="preserve"> interactions </w:t>
      </w:r>
      <w:r>
        <w:t xml:space="preserve">due to </w:t>
      </w:r>
      <w:r w:rsidR="006D346F">
        <w:t xml:space="preserve">desk based </w:t>
      </w:r>
      <w:r w:rsidR="00066FA8">
        <w:t xml:space="preserve">programme reviews and </w:t>
      </w:r>
      <w:r w:rsidR="006D346F">
        <w:t xml:space="preserve">on-site </w:t>
      </w:r>
      <w:r w:rsidR="00066FA8">
        <w:t>inspections</w:t>
      </w:r>
      <w:r>
        <w:t xml:space="preserve"> has</w:t>
      </w:r>
      <w:r w:rsidR="00066FA8">
        <w:t xml:space="preserve"> increased accordingly.</w:t>
      </w:r>
      <w:r>
        <w:t xml:space="preserve"> </w:t>
      </w:r>
    </w:p>
    <w:p w:rsidR="00CD5FEF" w:rsidRDefault="0029586E" w:rsidP="00860B2B">
      <w:r>
        <w:t xml:space="preserve">The </w:t>
      </w:r>
      <w:r w:rsidR="00E950CA">
        <w:t xml:space="preserve">number </w:t>
      </w:r>
      <w:r>
        <w:t xml:space="preserve">of </w:t>
      </w:r>
      <w:r w:rsidR="00E950CA">
        <w:t xml:space="preserve">survey </w:t>
      </w:r>
      <w:r>
        <w:t xml:space="preserve">respondents </w:t>
      </w:r>
      <w:r w:rsidR="00E950CA">
        <w:t xml:space="preserve">who received information from us </w:t>
      </w:r>
      <w:r w:rsidR="008D1A81">
        <w:t>by telepho</w:t>
      </w:r>
      <w:r>
        <w:t>ne and email ha</w:t>
      </w:r>
      <w:r w:rsidR="00E950CA">
        <w:t xml:space="preserve">s increased </w:t>
      </w:r>
      <w:r w:rsidR="00545337">
        <w:t xml:space="preserve">considerably </w:t>
      </w:r>
      <w:r w:rsidR="00E950CA">
        <w:t>compared to 2014.</w:t>
      </w:r>
    </w:p>
    <w:p w:rsidR="00E950CA" w:rsidRDefault="006E254E" w:rsidP="00860B2B">
      <w:r>
        <w:t>T</w:t>
      </w:r>
      <w:r w:rsidR="00E950CA">
        <w:t xml:space="preserve">he majority of reporting entities </w:t>
      </w:r>
      <w:r>
        <w:t xml:space="preserve">use </w:t>
      </w:r>
      <w:r w:rsidR="00E950CA">
        <w:t>other information sources to help them to understand and comply with the Act. Consultants are the most popular option.</w:t>
      </w:r>
    </w:p>
    <w:p w:rsidR="0029586E" w:rsidRPr="003B0E84" w:rsidRDefault="0029586E" w:rsidP="0029586E">
      <w:pPr>
        <w:rPr>
          <w:b/>
          <w:color w:val="1F546B" w:themeColor="text2"/>
          <w:sz w:val="32"/>
          <w:szCs w:val="32"/>
        </w:rPr>
      </w:pPr>
      <w:r w:rsidRPr="003B0E84">
        <w:rPr>
          <w:b/>
          <w:color w:val="1F546B" w:themeColor="text2"/>
          <w:sz w:val="32"/>
          <w:szCs w:val="32"/>
        </w:rPr>
        <w:t>Survey findings – sector understanding of the Act.</w:t>
      </w:r>
    </w:p>
    <w:p w:rsidR="00544D72" w:rsidRDefault="00B50ABD" w:rsidP="0029586E">
      <w:r>
        <w:t>We repeated last year’s awareness questions and asked respondents to self</w:t>
      </w:r>
      <w:r w:rsidR="003D162E">
        <w:t>-</w:t>
      </w:r>
      <w:r>
        <w:t>rate their understanding of four areas</w:t>
      </w:r>
      <w:r w:rsidR="00544D72">
        <w:t>:</w:t>
      </w:r>
    </w:p>
    <w:p w:rsidR="00B50ABD" w:rsidRDefault="00B50ABD" w:rsidP="0029586E">
      <w:r>
        <w:t>Risk assessment,</w:t>
      </w:r>
      <w:r w:rsidR="001C27F3">
        <w:t xml:space="preserve"> Anti-Money Laundering and Countering Financing of Terrorism (</w:t>
      </w:r>
      <w:r>
        <w:t>AML/CFT</w:t>
      </w:r>
      <w:r w:rsidR="001C27F3">
        <w:t>)</w:t>
      </w:r>
      <w:r>
        <w:t xml:space="preserve"> Programme, Annual Report, </w:t>
      </w:r>
      <w:r w:rsidR="003D162E">
        <w:t xml:space="preserve">and </w:t>
      </w:r>
      <w:r>
        <w:t>Suspicious Transaction Reports.</w:t>
      </w:r>
    </w:p>
    <w:p w:rsidR="00B50ABD" w:rsidRDefault="00373E4E" w:rsidP="0029586E">
      <w:r>
        <w:t>The majority of respondents indicate</w:t>
      </w:r>
      <w:r w:rsidR="00434C5C">
        <w:t>d</w:t>
      </w:r>
      <w:r>
        <w:t xml:space="preserve"> that they have a r</w:t>
      </w:r>
      <w:r w:rsidR="00544D72">
        <w:t xml:space="preserve">easonable or </w:t>
      </w:r>
      <w:r>
        <w:t xml:space="preserve">extremely good understanding of each of these requirements. </w:t>
      </w:r>
      <w:r w:rsidR="00544D72">
        <w:t xml:space="preserve">Average ratings are very similar to last year and tell us that </w:t>
      </w:r>
      <w:r w:rsidR="00242514">
        <w:t xml:space="preserve">sector </w:t>
      </w:r>
      <w:r w:rsidR="00486E31">
        <w:t xml:space="preserve">confidence has been maintained. </w:t>
      </w:r>
    </w:p>
    <w:p w:rsidR="00373E4E" w:rsidRPr="0029586E" w:rsidRDefault="00791874" w:rsidP="0029586E">
      <w:r>
        <w:t xml:space="preserve">The increase </w:t>
      </w:r>
      <w:r w:rsidR="00434C5C">
        <w:t>in</w:t>
      </w:r>
      <w:r w:rsidR="0083430F">
        <w:t xml:space="preserve"> ratings for </w:t>
      </w:r>
      <w:r w:rsidR="00544D72">
        <w:t xml:space="preserve">understanding of </w:t>
      </w:r>
      <w:r w:rsidR="00434C5C">
        <w:t>Annual Report requirements</w:t>
      </w:r>
      <w:r>
        <w:t xml:space="preserve"> is evident</w:t>
      </w:r>
      <w:r w:rsidR="0083430F">
        <w:t xml:space="preserve">. </w:t>
      </w:r>
      <w:r w:rsidR="00486E31">
        <w:t>Respondents ha</w:t>
      </w:r>
      <w:r w:rsidR="003D162E">
        <w:t>d</w:t>
      </w:r>
      <w:r w:rsidR="00434C5C">
        <w:t xml:space="preserve"> now </w:t>
      </w:r>
      <w:r w:rsidR="00486E31">
        <w:t xml:space="preserve">completed one report cycle and </w:t>
      </w:r>
      <w:r w:rsidR="0083430F">
        <w:t xml:space="preserve">have </w:t>
      </w:r>
      <w:r>
        <w:t>higher confidence and</w:t>
      </w:r>
      <w:r w:rsidR="00486E31">
        <w:t xml:space="preserve"> ratings</w:t>
      </w:r>
      <w:r w:rsidR="0083430F">
        <w:t xml:space="preserve"> in this area compared to last year</w:t>
      </w:r>
      <w:r w:rsidR="00486E31">
        <w:t>. Guidelines and templates were developed by the Department to support this process and comments indicate that these were generally well received.</w:t>
      </w:r>
    </w:p>
    <w:p w:rsidR="00544D72" w:rsidRDefault="00544D72" w:rsidP="00544D72">
      <w:r>
        <w:t>At the</w:t>
      </w:r>
      <w:r w:rsidR="00791874">
        <w:t xml:space="preserve"> lower end of the rating scales</w:t>
      </w:r>
      <w:r>
        <w:t xml:space="preserve"> there has </w:t>
      </w:r>
      <w:r w:rsidR="00363198">
        <w:t xml:space="preserve">also </w:t>
      </w:r>
      <w:r>
        <w:t>been some development</w:t>
      </w:r>
      <w:r w:rsidR="00791874">
        <w:t>. Fewer respondents rated</w:t>
      </w:r>
      <w:r>
        <w:t xml:space="preserve"> themselves as having no understanding or very little understanding in any area. </w:t>
      </w:r>
    </w:p>
    <w:p w:rsidR="00B1182D" w:rsidRDefault="00242514" w:rsidP="00860B2B">
      <w:r>
        <w:t>There were a number of similar</w:t>
      </w:r>
      <w:r w:rsidR="00B1182D">
        <w:t xml:space="preserve"> themes in the comments </w:t>
      </w:r>
      <w:r>
        <w:t xml:space="preserve">provided </w:t>
      </w:r>
      <w:r w:rsidR="00B1182D">
        <w:t xml:space="preserve">this year and last year. </w:t>
      </w:r>
      <w:r w:rsidR="00545337">
        <w:t xml:space="preserve">The cost of compliance, </w:t>
      </w:r>
      <w:r>
        <w:t>especially for small businesses</w:t>
      </w:r>
      <w:r w:rsidR="00545337">
        <w:t>,</w:t>
      </w:r>
      <w:r w:rsidR="00B1182D">
        <w:t xml:space="preserve"> </w:t>
      </w:r>
      <w:r w:rsidR="00791874">
        <w:t xml:space="preserve">is </w:t>
      </w:r>
      <w:r w:rsidR="00545337">
        <w:t xml:space="preserve">a concern </w:t>
      </w:r>
      <w:r w:rsidR="00791874">
        <w:t>raised by a number of respondents</w:t>
      </w:r>
      <w:r w:rsidR="00AE04EC">
        <w:t>.</w:t>
      </w:r>
    </w:p>
    <w:p w:rsidR="00B1182D" w:rsidRDefault="00242514" w:rsidP="00860B2B">
      <w:r>
        <w:t xml:space="preserve">Other comments reflect initial challenges but </w:t>
      </w:r>
      <w:r w:rsidR="00B1182D">
        <w:t xml:space="preserve">increased confidence over time. </w:t>
      </w:r>
    </w:p>
    <w:p w:rsidR="00AE04EC" w:rsidRDefault="003D162E" w:rsidP="00860B2B">
      <w:r>
        <w:t>Overall, the Department is pleased with these results and the level of awareness the sector has with its obligations under the Act. There is room for improvement, and</w:t>
      </w:r>
      <w:r w:rsidR="00BC6EA3">
        <w:t xml:space="preserve"> we will continue to support those in the</w:t>
      </w:r>
      <w:r>
        <w:t xml:space="preserve"> sector </w:t>
      </w:r>
      <w:r w:rsidR="00BC6EA3">
        <w:t>who are</w:t>
      </w:r>
      <w:r>
        <w:t xml:space="preserve"> trying to comply.</w:t>
      </w:r>
      <w:r w:rsidR="00BC6EA3">
        <w:t xml:space="preserve"> </w:t>
      </w:r>
    </w:p>
    <w:p w:rsidR="00AE04EC" w:rsidRDefault="007E0BE6" w:rsidP="00860B2B">
      <w:r>
        <w:t>T</w:t>
      </w:r>
      <w:r w:rsidR="009B2507">
        <w:t>hank</w:t>
      </w:r>
      <w:r>
        <w:t xml:space="preserve"> you to</w:t>
      </w:r>
      <w:r w:rsidR="009B2507">
        <w:t xml:space="preserve"> everyone who spent time responding to this s</w:t>
      </w:r>
      <w:r w:rsidR="000113E7">
        <w:t xml:space="preserve">urvey and providing us with this </w:t>
      </w:r>
      <w:r w:rsidR="009B2507">
        <w:t>valuable information.</w:t>
      </w:r>
    </w:p>
    <w:p w:rsidR="00D42D02" w:rsidRDefault="00860B2B" w:rsidP="00860B2B">
      <w:pPr>
        <w:sectPr w:rsidR="00D42D02" w:rsidSect="00133D38">
          <w:footerReference w:type="default" r:id="rId17"/>
          <w:pgSz w:w="11907" w:h="16840" w:code="9"/>
          <w:pgMar w:top="1418" w:right="1418" w:bottom="992" w:left="1418" w:header="425" w:footer="641" w:gutter="0"/>
          <w:pgNumType w:start="1"/>
          <w:cols w:space="708"/>
          <w:docGrid w:linePitch="360"/>
        </w:sectPr>
      </w:pPr>
      <w:r>
        <w:br w:type="page"/>
      </w:r>
    </w:p>
    <w:p w:rsidR="005D3404" w:rsidRPr="00210FAA" w:rsidRDefault="005D3404" w:rsidP="005D3404">
      <w:pPr>
        <w:pStyle w:val="Heading1"/>
      </w:pPr>
      <w:bookmarkStart w:id="2" w:name="_Toc447178477"/>
      <w:r w:rsidRPr="00210FAA">
        <w:t>Introduction</w:t>
      </w:r>
      <w:bookmarkEnd w:id="2"/>
    </w:p>
    <w:p w:rsidR="00B375F1" w:rsidRPr="0045463D" w:rsidRDefault="00B375F1" w:rsidP="00B375F1">
      <w:r w:rsidRPr="0045463D">
        <w:t>The Department</w:t>
      </w:r>
      <w:r w:rsidR="00172EC8" w:rsidRPr="0045463D">
        <w:t xml:space="preserve"> </w:t>
      </w:r>
      <w:r w:rsidRPr="0045463D">
        <w:t xml:space="preserve">is </w:t>
      </w:r>
      <w:r w:rsidR="00FC03B0" w:rsidRPr="0045463D">
        <w:t xml:space="preserve">one of three government agencies </w:t>
      </w:r>
      <w:r w:rsidR="0074713B">
        <w:t xml:space="preserve">under the Act </w:t>
      </w:r>
      <w:r w:rsidRPr="0045463D">
        <w:t>responsib</w:t>
      </w:r>
      <w:r w:rsidR="00FC03B0" w:rsidRPr="0045463D">
        <w:t xml:space="preserve">le for ensuring that </w:t>
      </w:r>
      <w:r w:rsidRPr="0045463D">
        <w:t>financial businesses in New Zealand</w:t>
      </w:r>
      <w:r w:rsidR="001C27F3">
        <w:t>, known as reporting entities,</w:t>
      </w:r>
      <w:r w:rsidRPr="0045463D">
        <w:t xml:space="preserve"> have robust programmes in place to detect and deter money laundering and financing of terrorism. </w:t>
      </w:r>
      <w:r w:rsidR="001C27F3">
        <w:t xml:space="preserve">Obligations </w:t>
      </w:r>
      <w:r w:rsidRPr="0045463D">
        <w:t xml:space="preserve">came into full force on 30 June 2013. </w:t>
      </w:r>
    </w:p>
    <w:p w:rsidR="00B375F1" w:rsidRPr="0045463D" w:rsidRDefault="00B375F1" w:rsidP="00B375F1">
      <w:r w:rsidRPr="0045463D">
        <w:t xml:space="preserve">Other supervisors under the Act are </w:t>
      </w:r>
      <w:r w:rsidR="001C27F3">
        <w:t xml:space="preserve">the </w:t>
      </w:r>
      <w:r w:rsidRPr="0045463D">
        <w:t xml:space="preserve">Reserve Bank of New Zealand and </w:t>
      </w:r>
      <w:r w:rsidR="001C27F3">
        <w:t xml:space="preserve">the </w:t>
      </w:r>
      <w:r w:rsidRPr="0045463D">
        <w:t>Financial Markets Authority.</w:t>
      </w:r>
    </w:p>
    <w:p w:rsidR="00B375F1" w:rsidRPr="0045463D" w:rsidRDefault="001C27F3" w:rsidP="00B375F1">
      <w:r>
        <w:t>By complying with the Act, businesses help to</w:t>
      </w:r>
      <w:r w:rsidR="00B375F1" w:rsidRPr="0045463D">
        <w:t xml:space="preserve"> disrupt criminal activity, </w:t>
      </w:r>
      <w:r>
        <w:t xml:space="preserve">and </w:t>
      </w:r>
      <w:r w:rsidR="00B375F1" w:rsidRPr="0045463D">
        <w:t>maintain the integrity of our financial institutions.</w:t>
      </w:r>
      <w:r w:rsidR="00DD3B66" w:rsidRPr="0045463D">
        <w:t xml:space="preserve"> T</w:t>
      </w:r>
      <w:r w:rsidR="00B375F1" w:rsidRPr="0045463D">
        <w:t>his ensures that New Zealanders have confidence in our financial system and that our good international reputation is maintained.</w:t>
      </w:r>
    </w:p>
    <w:p w:rsidR="00B375F1" w:rsidRDefault="00B375F1" w:rsidP="00B375F1">
      <w:r>
        <w:t xml:space="preserve">This survey has been conducted to provide </w:t>
      </w:r>
      <w:r w:rsidR="001C27F3">
        <w:t xml:space="preserve">us with information </w:t>
      </w:r>
      <w:r>
        <w:t xml:space="preserve">about the confidence and level of understanding that our reporting entities have </w:t>
      </w:r>
      <w:r w:rsidR="001C27F3">
        <w:t xml:space="preserve">with their obligations under </w:t>
      </w:r>
      <w:r w:rsidR="00473572">
        <w:t>the Act, with a particular focus on</w:t>
      </w:r>
      <w:r>
        <w:t xml:space="preserve"> four </w:t>
      </w:r>
      <w:r w:rsidR="00473572">
        <w:t>key requirements</w:t>
      </w:r>
      <w:r>
        <w:t xml:space="preserve">. </w:t>
      </w:r>
      <w:r w:rsidR="00473572">
        <w:t>We conducted a similar survey for the first time in 2014.</w:t>
      </w:r>
    </w:p>
    <w:p w:rsidR="00172EC8" w:rsidRDefault="00172EC8" w:rsidP="00172EC8">
      <w:r>
        <w:t>We also wanted to find out about our reporting entities</w:t>
      </w:r>
      <w:r w:rsidR="00C5076D">
        <w:t>’</w:t>
      </w:r>
      <w:r>
        <w:t xml:space="preserve"> experiences </w:t>
      </w:r>
      <w:r w:rsidR="001C27F3">
        <w:t xml:space="preserve">when </w:t>
      </w:r>
      <w:r>
        <w:t xml:space="preserve">engaging with </w:t>
      </w:r>
      <w:r w:rsidR="0094387D">
        <w:t>us</w:t>
      </w:r>
      <w:r w:rsidR="001C27F3">
        <w:t>,</w:t>
      </w:r>
      <w:r>
        <w:t xml:space="preserve"> and their perceptions of information available from </w:t>
      </w:r>
      <w:r w:rsidR="0094387D">
        <w:t>the Department</w:t>
      </w:r>
      <w:r w:rsidR="0094387D" w:rsidRPr="00DD3B66">
        <w:t xml:space="preserve"> </w:t>
      </w:r>
      <w:r w:rsidR="00DD3B66">
        <w:t>and the wider sector</w:t>
      </w:r>
      <w:r w:rsidRPr="00DD3B66">
        <w:t xml:space="preserve"> </w:t>
      </w:r>
      <w:r>
        <w:t>to support compliance.</w:t>
      </w:r>
    </w:p>
    <w:p w:rsidR="00172EC8" w:rsidRDefault="0094387D" w:rsidP="00172EC8">
      <w:r>
        <w:t>We would like</w:t>
      </w:r>
      <w:r w:rsidR="00172EC8">
        <w:t xml:space="preserve"> to further develo</w:t>
      </w:r>
      <w:r w:rsidR="00791874">
        <w:t xml:space="preserve">p </w:t>
      </w:r>
      <w:r>
        <w:t xml:space="preserve">our </w:t>
      </w:r>
      <w:r w:rsidR="00791874">
        <w:t>understanding of our sector</w:t>
      </w:r>
      <w:r w:rsidR="00172EC8">
        <w:t xml:space="preserve"> so that we can continue to refine our regulatory approach and improve services. </w:t>
      </w:r>
    </w:p>
    <w:p w:rsidR="006C5B97" w:rsidRPr="00483B54" w:rsidRDefault="00390C2F" w:rsidP="00172EC8">
      <w:r>
        <w:t>A Support D</w:t>
      </w:r>
      <w:r w:rsidR="006C5B97" w:rsidRPr="00A702F9">
        <w:t>ocument acc</w:t>
      </w:r>
      <w:r>
        <w:t xml:space="preserve">ompanies this </w:t>
      </w:r>
      <w:r w:rsidR="0094387D">
        <w:t>r</w:t>
      </w:r>
      <w:r>
        <w:t>eport</w:t>
      </w:r>
      <w:r w:rsidR="00E126EB">
        <w:t xml:space="preserve"> of key findings</w:t>
      </w:r>
      <w:r w:rsidR="006C5B97" w:rsidRPr="00A702F9">
        <w:t xml:space="preserve"> which contains</w:t>
      </w:r>
      <w:r w:rsidR="00C5076D" w:rsidRPr="00A702F9">
        <w:t xml:space="preserve"> additional </w:t>
      </w:r>
      <w:r w:rsidR="00E126EB">
        <w:t xml:space="preserve">analysis of </w:t>
      </w:r>
      <w:r w:rsidR="00C5076D" w:rsidRPr="00A702F9">
        <w:t>survey data</w:t>
      </w:r>
      <w:r w:rsidR="00B34FE6">
        <w:t xml:space="preserve"> </w:t>
      </w:r>
      <w:r w:rsidR="00483B54">
        <w:t>and</w:t>
      </w:r>
      <w:r w:rsidR="00C5076D" w:rsidRPr="00A702F9">
        <w:t xml:space="preserve"> some comparisons to </w:t>
      </w:r>
      <w:r w:rsidR="00C5076D" w:rsidRPr="00E90D72">
        <w:t>2014</w:t>
      </w:r>
      <w:r w:rsidR="009A5E70" w:rsidRPr="00E90D72">
        <w:t xml:space="preserve"> </w:t>
      </w:r>
      <w:r w:rsidR="00E90D72" w:rsidRPr="00E90D72">
        <w:t>(Appendix A)</w:t>
      </w:r>
      <w:r w:rsidR="00C5076D" w:rsidRPr="00E90D72">
        <w:t>. A complete copy of individual survey responses is also provided</w:t>
      </w:r>
      <w:r w:rsidR="00FA2CD9">
        <w:t xml:space="preserve">. A </w:t>
      </w:r>
      <w:r w:rsidR="00596EF7">
        <w:t xml:space="preserve">small amount of </w:t>
      </w:r>
      <w:r w:rsidR="007E0BE6">
        <w:t xml:space="preserve">information </w:t>
      </w:r>
      <w:r w:rsidR="00FA2CD9">
        <w:t>has been withheld</w:t>
      </w:r>
      <w:r w:rsidR="00596EF7">
        <w:t xml:space="preserve"> to</w:t>
      </w:r>
      <w:r w:rsidR="00483B54" w:rsidRPr="00E90D72">
        <w:t xml:space="preserve"> </w:t>
      </w:r>
      <w:r w:rsidR="00483B54">
        <w:t xml:space="preserve">ensure </w:t>
      </w:r>
      <w:r w:rsidR="00FA2CD9">
        <w:t xml:space="preserve">the </w:t>
      </w:r>
      <w:r w:rsidR="00483B54" w:rsidRPr="00483B54">
        <w:t>anonymity</w:t>
      </w:r>
      <w:r w:rsidR="00FA2CD9">
        <w:t xml:space="preserve"> of the respondent.</w:t>
      </w:r>
    </w:p>
    <w:p w:rsidR="00B375F1" w:rsidRDefault="00C5076D" w:rsidP="009D5F2B">
      <w:pPr>
        <w:rPr>
          <w:b/>
          <w:color w:val="1F546B" w:themeColor="text2"/>
          <w:sz w:val="32"/>
          <w:szCs w:val="32"/>
        </w:rPr>
      </w:pPr>
      <w:r w:rsidRPr="003B0E84">
        <w:rPr>
          <w:b/>
          <w:color w:val="1F546B" w:themeColor="text2"/>
          <w:sz w:val="32"/>
          <w:szCs w:val="32"/>
        </w:rPr>
        <w:t>Our survey a</w:t>
      </w:r>
      <w:r w:rsidR="00B375F1" w:rsidRPr="003B0E84">
        <w:rPr>
          <w:b/>
          <w:color w:val="1F546B" w:themeColor="text2"/>
          <w:sz w:val="32"/>
          <w:szCs w:val="32"/>
        </w:rPr>
        <w:t>pproach</w:t>
      </w:r>
    </w:p>
    <w:p w:rsidR="00B375F1" w:rsidRDefault="00B375F1" w:rsidP="009B6699">
      <w:pPr>
        <w:spacing w:before="0" w:after="0"/>
      </w:pPr>
      <w:r>
        <w:t xml:space="preserve">An email invitation was sent to all </w:t>
      </w:r>
      <w:r w:rsidR="00C20C97">
        <w:t xml:space="preserve">known </w:t>
      </w:r>
      <w:r>
        <w:t xml:space="preserve">reporting entities </w:t>
      </w:r>
      <w:r w:rsidR="006C5B97">
        <w:t xml:space="preserve">as of </w:t>
      </w:r>
      <w:r w:rsidR="00945FFF">
        <w:t>7 May 2015</w:t>
      </w:r>
      <w:r>
        <w:t>. Respondents participated by clicking on the link contained in the email, which connecte</w:t>
      </w:r>
      <w:r w:rsidR="007D7B90">
        <w:t>d them to the web-based survey.</w:t>
      </w:r>
    </w:p>
    <w:p w:rsidR="001622AC" w:rsidRDefault="00B375F1" w:rsidP="00B375F1">
      <w:r>
        <w:t>The survey was open for response for a period of two weeks</w:t>
      </w:r>
      <w:r w:rsidR="0045463D">
        <w:t xml:space="preserve"> </w:t>
      </w:r>
      <w:r>
        <w:t>with a reminder</w:t>
      </w:r>
      <w:r w:rsidR="00F5174F">
        <w:t xml:space="preserve"> invitation</w:t>
      </w:r>
      <w:r w:rsidR="006C5B97">
        <w:t xml:space="preserve"> email sent at the mid-point.</w:t>
      </w:r>
    </w:p>
    <w:p w:rsidR="00F5174F" w:rsidRDefault="00B375F1" w:rsidP="003C1ED5">
      <w:r>
        <w:t>The</w:t>
      </w:r>
      <w:r w:rsidR="0045463D">
        <w:t xml:space="preserve"> survey i</w:t>
      </w:r>
      <w:r w:rsidR="00A702F9">
        <w:t>nvolved participants responding</w:t>
      </w:r>
      <w:r w:rsidR="0045463D">
        <w:t xml:space="preserve"> to </w:t>
      </w:r>
      <w:r w:rsidR="00945FFF">
        <w:t>a maximum of twenty one</w:t>
      </w:r>
      <w:r>
        <w:t xml:space="preserve"> </w:t>
      </w:r>
      <w:r w:rsidR="006F3C57">
        <w:t xml:space="preserve">fixed or </w:t>
      </w:r>
      <w:r w:rsidR="001622AC">
        <w:t>multi-</w:t>
      </w:r>
      <w:r w:rsidR="00EF423B">
        <w:t>choice and</w:t>
      </w:r>
      <w:r w:rsidR="001622AC">
        <w:t xml:space="preserve"> </w:t>
      </w:r>
      <w:r w:rsidR="00EF423B">
        <w:t xml:space="preserve">rating scale </w:t>
      </w:r>
      <w:r>
        <w:t>questions</w:t>
      </w:r>
      <w:r w:rsidR="00791874">
        <w:t>. U</w:t>
      </w:r>
      <w:r w:rsidR="009536BD">
        <w:t>p to fourteen</w:t>
      </w:r>
      <w:r w:rsidR="00EF423B">
        <w:t xml:space="preserve"> questions </w:t>
      </w:r>
      <w:r>
        <w:t xml:space="preserve">required an answer and </w:t>
      </w:r>
      <w:r w:rsidR="00EF423B">
        <w:t xml:space="preserve">seven </w:t>
      </w:r>
      <w:r w:rsidR="002103FE">
        <w:t xml:space="preserve">offered </w:t>
      </w:r>
      <w:r w:rsidR="00EF423B">
        <w:t>an optional, free text</w:t>
      </w:r>
      <w:r w:rsidR="00AA2519">
        <w:t xml:space="preserve">, </w:t>
      </w:r>
      <w:r w:rsidR="00EF423B">
        <w:t>opportunity for comment</w:t>
      </w:r>
      <w:r>
        <w:t>.</w:t>
      </w:r>
    </w:p>
    <w:p w:rsidR="006F3C57" w:rsidRDefault="002103FE" w:rsidP="006F3C57">
      <w:r>
        <w:t xml:space="preserve">We included </w:t>
      </w:r>
      <w:r w:rsidR="003C1ED5">
        <w:t xml:space="preserve">two demographic questions relating to </w:t>
      </w:r>
      <w:r>
        <w:t>sub</w:t>
      </w:r>
      <w:r w:rsidR="003C1ED5">
        <w:t xml:space="preserve">sector and location </w:t>
      </w:r>
      <w:r>
        <w:t xml:space="preserve">and this </w:t>
      </w:r>
      <w:r w:rsidR="003C1ED5">
        <w:t>provide</w:t>
      </w:r>
      <w:r>
        <w:t>s</w:t>
      </w:r>
      <w:r w:rsidR="003C1ED5">
        <w:t xml:space="preserve"> the option </w:t>
      </w:r>
      <w:r>
        <w:t>to consider</w:t>
      </w:r>
      <w:r w:rsidR="002C4E75">
        <w:t xml:space="preserve"> these aspects</w:t>
      </w:r>
      <w:r>
        <w:t xml:space="preserve"> when analysing </w:t>
      </w:r>
      <w:r w:rsidR="003C1ED5">
        <w:t>response</w:t>
      </w:r>
      <w:r>
        <w:t>s. W</w:t>
      </w:r>
      <w:r w:rsidR="00C20C97">
        <w:t xml:space="preserve">e did not </w:t>
      </w:r>
      <w:r>
        <w:t>ask</w:t>
      </w:r>
      <w:r w:rsidR="002C4E75">
        <w:t xml:space="preserve"> for </w:t>
      </w:r>
      <w:r w:rsidR="006370E8">
        <w:t>further details such as</w:t>
      </w:r>
      <w:r w:rsidR="00C20C97">
        <w:t xml:space="preserve"> relative size of business</w:t>
      </w:r>
      <w:r w:rsidR="002C4E75">
        <w:t>es</w:t>
      </w:r>
      <w:r w:rsidR="006F3C57">
        <w:t xml:space="preserve">. </w:t>
      </w:r>
      <w:r w:rsidR="006F3C57" w:rsidRPr="006370E8">
        <w:t>All responses are anonymous.</w:t>
      </w:r>
    </w:p>
    <w:p w:rsidR="00C546C7" w:rsidRPr="006370E8" w:rsidRDefault="00C546C7" w:rsidP="006F3C57">
      <w:r>
        <w:t>Where</w:t>
      </w:r>
      <w:r w:rsidR="00B6525F">
        <w:t xml:space="preserve"> we </w:t>
      </w:r>
      <w:r w:rsidR="00126BB5">
        <w:t>provide</w:t>
      </w:r>
      <w:r w:rsidR="00B6525F">
        <w:t xml:space="preserve"> information</w:t>
      </w:r>
      <w:r w:rsidR="00126BB5">
        <w:t xml:space="preserve"> and analysis </w:t>
      </w:r>
      <w:r w:rsidR="00B6525F">
        <w:t>about subsector</w:t>
      </w:r>
      <w:r w:rsidR="00126BB5">
        <w:t xml:space="preserve"> groups</w:t>
      </w:r>
      <w:r w:rsidR="00B6525F">
        <w:t xml:space="preserve"> </w:t>
      </w:r>
      <w:r>
        <w:t xml:space="preserve">the </w:t>
      </w:r>
      <w:r w:rsidR="00126BB5">
        <w:t xml:space="preserve">overall </w:t>
      </w:r>
      <w:r>
        <w:t>total</w:t>
      </w:r>
      <w:r w:rsidR="00126BB5">
        <w:t xml:space="preserve"> </w:t>
      </w:r>
      <w:r>
        <w:t xml:space="preserve">of </w:t>
      </w:r>
      <w:r w:rsidR="00126BB5">
        <w:t xml:space="preserve">survey </w:t>
      </w:r>
      <w:r>
        <w:t>responses increases. This is because a number of respondents identify with mor</w:t>
      </w:r>
      <w:r w:rsidR="00B6525F">
        <w:t xml:space="preserve">e than one business type and </w:t>
      </w:r>
      <w:r w:rsidR="00126BB5">
        <w:t>their responses are</w:t>
      </w:r>
      <w:r w:rsidR="00B6525F">
        <w:t xml:space="preserve"> </w:t>
      </w:r>
      <w:r w:rsidR="00A75968">
        <w:t xml:space="preserve">therefore </w:t>
      </w:r>
      <w:r w:rsidR="00B6525F">
        <w:t>included in more than one data set.</w:t>
      </w:r>
    </w:p>
    <w:p w:rsidR="007D7B90" w:rsidRDefault="009B6699" w:rsidP="00B375F1">
      <w:r>
        <w:t>Invitations</w:t>
      </w:r>
      <w:r w:rsidR="00EF423B">
        <w:t xml:space="preserve"> </w:t>
      </w:r>
      <w:r>
        <w:t xml:space="preserve">were </w:t>
      </w:r>
      <w:r w:rsidR="003E5AFE">
        <w:t>sent to 972 individuals and</w:t>
      </w:r>
      <w:r w:rsidR="00EF423B">
        <w:t xml:space="preserve"> 337 responses were received, </w:t>
      </w:r>
      <w:r w:rsidR="00AA6B33">
        <w:t xml:space="preserve">which is </w:t>
      </w:r>
      <w:r w:rsidR="00EF423B">
        <w:t xml:space="preserve">a </w:t>
      </w:r>
      <w:r w:rsidR="00A75968">
        <w:t>response rate of 35</w:t>
      </w:r>
      <w:r w:rsidR="00A203EA">
        <w:t xml:space="preserve"> per cent</w:t>
      </w:r>
      <w:r w:rsidR="00EF423B">
        <w:t>.</w:t>
      </w:r>
      <w:r w:rsidR="009536BD">
        <w:t xml:space="preserve"> </w:t>
      </w:r>
      <w:r w:rsidR="00A203EA">
        <w:t>T</w:t>
      </w:r>
      <w:r w:rsidR="006370E8">
        <w:t xml:space="preserve">his is </w:t>
      </w:r>
      <w:r w:rsidR="00A203EA">
        <w:t xml:space="preserve">lower than last year’s </w:t>
      </w:r>
      <w:r w:rsidR="006370E8">
        <w:t>response rate</w:t>
      </w:r>
      <w:r w:rsidR="00A75968">
        <w:t xml:space="preserve"> of 39</w:t>
      </w:r>
      <w:r w:rsidR="00A203EA">
        <w:t xml:space="preserve"> per cent. </w:t>
      </w:r>
    </w:p>
    <w:p w:rsidR="00AA2519" w:rsidRDefault="009536BD" w:rsidP="00AA2519">
      <w:r>
        <w:t xml:space="preserve">The margin of error is </w:t>
      </w:r>
      <w:r w:rsidR="00D935CE">
        <w:t>±</w:t>
      </w:r>
      <w:r w:rsidR="007D7B90">
        <w:t>4.32 with a 95 per cent confidence level.</w:t>
      </w:r>
    </w:p>
    <w:p w:rsidR="006F3C57" w:rsidRDefault="006F3C57" w:rsidP="00387276">
      <w:pPr>
        <w:spacing w:after="0"/>
      </w:pPr>
      <w:r>
        <w:t>Survey Sample</w:t>
      </w:r>
    </w:p>
    <w:p w:rsidR="00387276" w:rsidRPr="00750AFB" w:rsidRDefault="00750AFB" w:rsidP="00387276">
      <w:pPr>
        <w:spacing w:after="0"/>
      </w:pPr>
      <w:r w:rsidRPr="00750AFB">
        <w:t>Listed bel</w:t>
      </w:r>
      <w:r w:rsidR="006F3C57">
        <w:t>ow are the business types that t</w:t>
      </w:r>
      <w:r w:rsidR="00387276" w:rsidRPr="00750AFB">
        <w:t xml:space="preserve">he Department is responsible for supervising: 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Cash Transport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Casino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Debt Collection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Factor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Financial Leasing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Foreign Exchange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Non-Bank and Non-Deposit Taking Lender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Non-Bank Credit Card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Payment Provider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Payroll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Remittance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Safe Deposit</w:t>
      </w:r>
    </w:p>
    <w:p w:rsidR="00387276" w:rsidRPr="00750AFB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Tax Pooling</w:t>
      </w:r>
    </w:p>
    <w:p w:rsidR="00387276" w:rsidRDefault="00387276" w:rsidP="00750AFB">
      <w:pPr>
        <w:pStyle w:val="ListParagraph"/>
        <w:numPr>
          <w:ilvl w:val="0"/>
          <w:numId w:val="45"/>
        </w:numPr>
        <w:spacing w:before="0" w:after="0"/>
      </w:pPr>
      <w:r w:rsidRPr="00750AFB">
        <w:t>Trust and Company Service Provider</w:t>
      </w:r>
    </w:p>
    <w:p w:rsidR="008827AE" w:rsidRDefault="008827AE" w:rsidP="00C546C7">
      <w:pPr>
        <w:spacing w:before="0" w:after="0"/>
      </w:pPr>
    </w:p>
    <w:p w:rsidR="00941001" w:rsidRDefault="008827AE" w:rsidP="00C546C7">
      <w:pPr>
        <w:spacing w:before="0" w:after="0"/>
      </w:pPr>
      <w:r>
        <w:t>The survey design provides an option for respondents to also select “other” and then include a free</w:t>
      </w:r>
      <w:r w:rsidR="00230532">
        <w:t xml:space="preserve"> text response to describe the business.</w:t>
      </w:r>
    </w:p>
    <w:p w:rsidR="00941001" w:rsidRDefault="00941001" w:rsidP="00C546C7">
      <w:pPr>
        <w:spacing w:before="0" w:after="0"/>
      </w:pPr>
    </w:p>
    <w:p w:rsidR="00CF40CE" w:rsidRDefault="008827AE" w:rsidP="00941001">
      <w:pPr>
        <w:spacing w:before="0" w:after="0"/>
      </w:pPr>
      <w:r>
        <w:t>I</w:t>
      </w:r>
      <w:r w:rsidR="0060559F">
        <w:t xml:space="preserve">n 2014 four additional </w:t>
      </w:r>
      <w:r>
        <w:t xml:space="preserve">categories were created in order to manage response information provided in the “other” category. </w:t>
      </w:r>
      <w:r w:rsidR="00941001">
        <w:t>We revised o</w:t>
      </w:r>
      <w:r>
        <w:t xml:space="preserve">ur approach this year </w:t>
      </w:r>
      <w:r w:rsidR="00941001">
        <w:t>and</w:t>
      </w:r>
      <w:r w:rsidR="0038713B">
        <w:t xml:space="preserve"> allocated</w:t>
      </w:r>
      <w:r>
        <w:t xml:space="preserve"> these responses into one of the</w:t>
      </w:r>
      <w:r w:rsidR="00941001">
        <w:t xml:space="preserve"> above</w:t>
      </w:r>
      <w:r>
        <w:t xml:space="preserve"> business types</w:t>
      </w:r>
      <w:r w:rsidR="00CF40CE">
        <w:t xml:space="preserve"> where</w:t>
      </w:r>
      <w:r w:rsidR="00B14CB0">
        <w:t xml:space="preserve"> it was reasonable to do so from the </w:t>
      </w:r>
      <w:r w:rsidR="0038713B">
        <w:t>information given</w:t>
      </w:r>
      <w:r w:rsidR="00CF40CE">
        <w:t>. Further information</w:t>
      </w:r>
      <w:r w:rsidR="0038713B">
        <w:t xml:space="preserve"> about our approach</w:t>
      </w:r>
      <w:r w:rsidR="00B14CB0">
        <w:t xml:space="preserve"> is provided </w:t>
      </w:r>
      <w:r w:rsidR="0038713B">
        <w:t xml:space="preserve">on page 6 of this report </w:t>
      </w:r>
      <w:r w:rsidR="00B14CB0">
        <w:t xml:space="preserve">and </w:t>
      </w:r>
      <w:r w:rsidR="00CF4C5F">
        <w:t xml:space="preserve">in the </w:t>
      </w:r>
      <w:r w:rsidR="00B14CB0">
        <w:t>support document (Figure 1.1).</w:t>
      </w:r>
    </w:p>
    <w:p w:rsidR="00CF40CE" w:rsidRDefault="00CF40CE" w:rsidP="00941001">
      <w:pPr>
        <w:spacing w:before="0" w:after="0"/>
      </w:pPr>
    </w:p>
    <w:p w:rsidR="00C43CB8" w:rsidRDefault="00C43CB8" w:rsidP="00941001">
      <w:pPr>
        <w:spacing w:before="0" w:after="0"/>
      </w:pPr>
      <w:r>
        <w:t>As a result</w:t>
      </w:r>
      <w:r w:rsidR="00B14CB0">
        <w:t xml:space="preserve"> of this revised approach</w:t>
      </w:r>
      <w:r>
        <w:t xml:space="preserve"> we </w:t>
      </w:r>
      <w:r w:rsidR="00052D65">
        <w:t xml:space="preserve">have </w:t>
      </w:r>
      <w:r w:rsidR="00C60726">
        <w:t>avoid</w:t>
      </w:r>
      <w:r w:rsidR="00052D65">
        <w:t>ed</w:t>
      </w:r>
      <w:r w:rsidR="00CF40CE">
        <w:t xml:space="preserve"> making</w:t>
      </w:r>
      <w:r>
        <w:t xml:space="preserve"> </w:t>
      </w:r>
      <w:r w:rsidR="00F909C7">
        <w:t xml:space="preserve">lots of </w:t>
      </w:r>
      <w:r>
        <w:t xml:space="preserve">direct comparisons between subsector data from the </w:t>
      </w:r>
      <w:r w:rsidR="00B14CB0">
        <w:t xml:space="preserve">2014 and 2015 </w:t>
      </w:r>
      <w:r>
        <w:t>surveys</w:t>
      </w:r>
      <w:r w:rsidR="007373B3">
        <w:t xml:space="preserve"> in this report</w:t>
      </w:r>
      <w:r>
        <w:t>.</w:t>
      </w:r>
    </w:p>
    <w:p w:rsidR="00387276" w:rsidRPr="0032202B" w:rsidRDefault="006370E8" w:rsidP="0032202B">
      <w:pPr>
        <w:keepLines w:val="0"/>
      </w:pPr>
      <w:r>
        <w:br w:type="page"/>
      </w:r>
    </w:p>
    <w:p w:rsidR="006F3C57" w:rsidRPr="00BC1B27" w:rsidRDefault="00BC1B27" w:rsidP="00BC1B27">
      <w:pPr>
        <w:pStyle w:val="Heading1"/>
      </w:pPr>
      <w:bookmarkStart w:id="3" w:name="_Toc447178478"/>
      <w:r>
        <w:t>I</w:t>
      </w:r>
      <w:r w:rsidR="00063F97" w:rsidRPr="00BC1B27">
        <w:t>nformation</w:t>
      </w:r>
      <w:r w:rsidR="002C4E75" w:rsidRPr="00BC1B27">
        <w:t xml:space="preserve"> </w:t>
      </w:r>
      <w:r w:rsidR="00C049C0" w:rsidRPr="00BC1B27">
        <w:t>about our sector</w:t>
      </w:r>
      <w:bookmarkEnd w:id="3"/>
    </w:p>
    <w:p w:rsidR="00150923" w:rsidRDefault="00B41CDA" w:rsidP="00AA2519">
      <w:r>
        <w:t xml:space="preserve">The </w:t>
      </w:r>
      <w:r w:rsidR="0032202B">
        <w:t xml:space="preserve">survey began by asking </w:t>
      </w:r>
      <w:r>
        <w:t xml:space="preserve">respondents to </w:t>
      </w:r>
      <w:r w:rsidR="00C940DC">
        <w:t xml:space="preserve">tell us which </w:t>
      </w:r>
      <w:r w:rsidR="00707415">
        <w:t>business sector(s</w:t>
      </w:r>
      <w:r>
        <w:t>)</w:t>
      </w:r>
      <w:r w:rsidR="00AA2519">
        <w:t xml:space="preserve"> they </w:t>
      </w:r>
      <w:r w:rsidR="00707415">
        <w:t>identify with</w:t>
      </w:r>
      <w:r w:rsidR="00AA2519">
        <w:t>.</w:t>
      </w:r>
      <w:r w:rsidR="004313B5">
        <w:t xml:space="preserve"> </w:t>
      </w:r>
      <w:r w:rsidR="00A57CDF">
        <w:t xml:space="preserve">We note that this information includes data from some </w:t>
      </w:r>
      <w:r w:rsidR="007E025C">
        <w:t xml:space="preserve">reporting </w:t>
      </w:r>
      <w:r w:rsidR="00A57CDF">
        <w:t>entities not required to submit an annual report</w:t>
      </w:r>
      <w:r w:rsidR="007E025C">
        <w:rPr>
          <w:rStyle w:val="FootnoteReference"/>
        </w:rPr>
        <w:footnoteReference w:id="1"/>
      </w:r>
      <w:r w:rsidR="00A57CDF">
        <w:t>. Therefore we refer only to survey data in this section.</w:t>
      </w:r>
    </w:p>
    <w:p w:rsidR="00063F97" w:rsidRDefault="00063F97" w:rsidP="00AA2519">
      <w:pPr>
        <w:rPr>
          <w:b/>
        </w:rPr>
      </w:pPr>
      <w:r w:rsidRPr="00D11662">
        <w:rPr>
          <w:b/>
        </w:rPr>
        <w:t>Figure 1</w:t>
      </w:r>
      <w:r w:rsidR="00D11662" w:rsidRPr="00D11662">
        <w:rPr>
          <w:b/>
        </w:rPr>
        <w:t xml:space="preserve">: </w:t>
      </w:r>
      <w:r w:rsidR="00791874">
        <w:rPr>
          <w:b/>
        </w:rPr>
        <w:t>Subs</w:t>
      </w:r>
      <w:r w:rsidR="003B0E84">
        <w:rPr>
          <w:b/>
        </w:rPr>
        <w:t>ector breakdown.</w:t>
      </w:r>
    </w:p>
    <w:p w:rsidR="004F5E2D" w:rsidRDefault="004F5E2D" w:rsidP="00AA2519">
      <w:pPr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47EFA17D">
            <wp:extent cx="5760000" cy="38495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662" w:rsidRDefault="00D11662" w:rsidP="00AA2519">
      <w:pPr>
        <w:rPr>
          <w:b/>
        </w:rPr>
      </w:pPr>
    </w:p>
    <w:p w:rsidR="003B0E84" w:rsidRDefault="00366122" w:rsidP="003B0E84">
      <w:r>
        <w:t>Figure 1</w:t>
      </w:r>
      <w:r w:rsidR="003B0E84">
        <w:t xml:space="preserve"> shows the number of selections</w:t>
      </w:r>
      <w:r>
        <w:t xml:space="preserve"> in each</w:t>
      </w:r>
      <w:r w:rsidR="003B0E84">
        <w:t xml:space="preserve"> subsector. </w:t>
      </w:r>
      <w:r w:rsidR="00B85D89">
        <w:t>Seven s</w:t>
      </w:r>
      <w:r w:rsidR="003B0E84">
        <w:t xml:space="preserve">ubsectors have fewer than ten selections. These have been grouped together and displayed to one side for ease of reference. </w:t>
      </w:r>
    </w:p>
    <w:p w:rsidR="003B0E84" w:rsidRDefault="003B0E84" w:rsidP="003B0E84">
      <w:r>
        <w:t xml:space="preserve">More than one selection was permitted and </w:t>
      </w:r>
      <w:r w:rsidR="00C43CB8">
        <w:t xml:space="preserve">the </w:t>
      </w:r>
      <w:r>
        <w:t xml:space="preserve">total count </w:t>
      </w:r>
      <w:r w:rsidR="00C43CB8">
        <w:t xml:space="preserve">is </w:t>
      </w:r>
      <w:r>
        <w:t>366 selections from 337 respondents</w:t>
      </w:r>
      <w:r w:rsidR="00C43CB8">
        <w:t>. This s</w:t>
      </w:r>
      <w:r>
        <w:t>hows that a number of our reporting entities id</w:t>
      </w:r>
      <w:r w:rsidR="00B85D89">
        <w:t>entify with more than one subsector</w:t>
      </w:r>
      <w:r>
        <w:t xml:space="preserve">. For example, nine respondents indicated that they operate both foreign exchange and remittance </w:t>
      </w:r>
      <w:r w:rsidR="001F5CD5">
        <w:t>services</w:t>
      </w:r>
      <w:r>
        <w:t>.</w:t>
      </w:r>
    </w:p>
    <w:p w:rsidR="00D30EF4" w:rsidRDefault="00D30EF4" w:rsidP="003B0E8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8B6F7" wp14:editId="520FE16B">
                <wp:simplePos x="0" y="0"/>
                <wp:positionH relativeFrom="column">
                  <wp:posOffset>99695</wp:posOffset>
                </wp:positionH>
                <wp:positionV relativeFrom="paragraph">
                  <wp:posOffset>54610</wp:posOffset>
                </wp:positionV>
                <wp:extent cx="5667375" cy="695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3B" w:rsidRPr="00D30EF4" w:rsidRDefault="0038713B">
                            <w:pPr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</w:pPr>
                            <w:r w:rsidRPr="00D30EF4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 xml:space="preserve">The largest subsector </w:t>
                            </w:r>
                            <w:r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>the Department</w:t>
                            </w:r>
                            <w:r w:rsidRPr="00D30EF4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 xml:space="preserve"> supervises is Non-Bank and Non-Deposit Taking Lenders.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6" o:spid="_x0000_s1026" style="position:absolute;margin-left:7.85pt;margin-top:4.3pt;width:446.2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" fillcolor="white [3201]" strokecolor="#1f546b [3215]" strokeweight="1.5pt">
                <v:textbox>
                  <w:txbxContent>
                    <w:p w:rsidR="0038713B" w:rsidRPr="00D30EF4" w:rsidRDefault="0038713B">
                      <w:pPr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</w:pPr>
                      <w:r w:rsidRPr="00D30EF4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 xml:space="preserve">The largest subsector </w:t>
                      </w:r>
                      <w:r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>the Department</w:t>
                      </w:r>
                      <w:r w:rsidRPr="00D30EF4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 xml:space="preserve"> supervises is Non-Bank and Non-Deposit Taking Lenders.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EF4" w:rsidRDefault="00D30EF4" w:rsidP="00063F97"/>
    <w:p w:rsidR="00D30EF4" w:rsidRDefault="00D30EF4" w:rsidP="00063F97"/>
    <w:p w:rsidR="00D30EF4" w:rsidRDefault="00063F97" w:rsidP="00063F97">
      <w:r>
        <w:t xml:space="preserve">The largest </w:t>
      </w:r>
      <w:r w:rsidR="00D30EF4">
        <w:t>sub</w:t>
      </w:r>
      <w:r>
        <w:t xml:space="preserve">sector by a considerable margin is Non-Bank and Non-Deposit taking Lenders. This is consistent with last year’s survey. </w:t>
      </w:r>
    </w:p>
    <w:p w:rsidR="00063F97" w:rsidRDefault="00063F97" w:rsidP="00063F97">
      <w:r>
        <w:t xml:space="preserve">All fourteen </w:t>
      </w:r>
      <w:r w:rsidR="00791874">
        <w:t xml:space="preserve">business types that the Department is responsible for supervising </w:t>
      </w:r>
      <w:r>
        <w:t>were represented with at least one respondent.</w:t>
      </w:r>
    </w:p>
    <w:p w:rsidR="008235EA" w:rsidRDefault="00AA2519" w:rsidP="00B375F1">
      <w:r w:rsidRPr="00750AFB">
        <w:t>“Other”</w:t>
      </w:r>
      <w:r w:rsidR="00B41CDA" w:rsidRPr="00750AFB">
        <w:t xml:space="preserve"> </w:t>
      </w:r>
      <w:r w:rsidR="00707415">
        <w:t>was</w:t>
      </w:r>
      <w:r w:rsidR="00791874">
        <w:t xml:space="preserve"> provided as </w:t>
      </w:r>
      <w:r w:rsidR="00707415">
        <w:t>an</w:t>
      </w:r>
      <w:r w:rsidR="00063F97">
        <w:t xml:space="preserve"> answer</w:t>
      </w:r>
      <w:r w:rsidR="00707415">
        <w:t xml:space="preserve"> </w:t>
      </w:r>
      <w:r w:rsidR="00B41CDA" w:rsidRPr="00750AFB">
        <w:t xml:space="preserve">option </w:t>
      </w:r>
      <w:r w:rsidR="00695EDC">
        <w:t>and</w:t>
      </w:r>
      <w:r w:rsidR="00AC3CB6">
        <w:t xml:space="preserve"> </w:t>
      </w:r>
      <w:r w:rsidR="00063F97">
        <w:t>s</w:t>
      </w:r>
      <w:r w:rsidR="00750AFB" w:rsidRPr="00750AFB">
        <w:t>ixty three responses</w:t>
      </w:r>
      <w:r w:rsidR="00B34FE6">
        <w:t xml:space="preserve"> were supplied</w:t>
      </w:r>
      <w:r w:rsidR="00063F97">
        <w:t>. W</w:t>
      </w:r>
      <w:r w:rsidR="00276825">
        <w:t xml:space="preserve">e </w:t>
      </w:r>
      <w:r w:rsidR="008235EA">
        <w:t xml:space="preserve">allocated </w:t>
      </w:r>
      <w:r w:rsidR="00063F97">
        <w:t xml:space="preserve">fifty nine of these </w:t>
      </w:r>
      <w:r w:rsidR="008235EA">
        <w:t>response</w:t>
      </w:r>
      <w:r w:rsidR="00063F97">
        <w:t xml:space="preserve">s </w:t>
      </w:r>
      <w:r w:rsidR="00276825">
        <w:t>t</w:t>
      </w:r>
      <w:r w:rsidRPr="00750AFB">
        <w:t xml:space="preserve">o one of the above </w:t>
      </w:r>
      <w:r w:rsidR="00D30EF4">
        <w:t>sub</w:t>
      </w:r>
      <w:r w:rsidR="0032202B">
        <w:t>sectors</w:t>
      </w:r>
      <w:r w:rsidR="008235EA">
        <w:t xml:space="preserve"> using </w:t>
      </w:r>
      <w:r w:rsidR="00791874">
        <w:t>the information specified</w:t>
      </w:r>
      <w:r w:rsidR="00276825">
        <w:t xml:space="preserve">. </w:t>
      </w:r>
      <w:r w:rsidR="00063F97">
        <w:t>The</w:t>
      </w:r>
      <w:r w:rsidR="00791874">
        <w:t xml:space="preserve"> remaining</w:t>
      </w:r>
      <w:r w:rsidR="00063F97">
        <w:t xml:space="preserve"> group of four “other” represents responses that we were unable to categorise from the information given</w:t>
      </w:r>
      <w:r w:rsidR="00063F97" w:rsidRPr="00750AFB">
        <w:t>.</w:t>
      </w:r>
    </w:p>
    <w:p w:rsidR="00366122" w:rsidRDefault="00366122" w:rsidP="00366122">
      <w:r>
        <w:t xml:space="preserve">A table showing some examples of the responses and allocations can be found in the support document </w:t>
      </w:r>
      <w:r w:rsidR="004258E5">
        <w:t>- Figure 1.1</w:t>
      </w:r>
      <w:r>
        <w:t>.</w:t>
      </w:r>
    </w:p>
    <w:p w:rsidR="003B0E84" w:rsidRDefault="003B0E84" w:rsidP="00B375F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AED8" wp14:editId="470B80AA">
                <wp:simplePos x="0" y="0"/>
                <wp:positionH relativeFrom="column">
                  <wp:posOffset>61595</wp:posOffset>
                </wp:positionH>
                <wp:positionV relativeFrom="paragraph">
                  <wp:posOffset>111125</wp:posOffset>
                </wp:positionV>
                <wp:extent cx="5419725" cy="695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3B" w:rsidRPr="00C353FF" w:rsidRDefault="0038713B" w:rsidP="003B0E84">
                            <w:pPr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</w:pPr>
                            <w:r w:rsidRPr="00C353FF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>Most businesses we supervise are located (or have their head office) in Auckland.</w:t>
                            </w:r>
                          </w:p>
                          <w:p w:rsidR="0038713B" w:rsidRDefault="00387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9" o:spid="_x0000_s1027" style="position:absolute;margin-left:4.85pt;margin-top:8.75pt;width:42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" fillcolor="white [3201]" strokecolor="#1f546b [3215]" strokeweight="1.5pt">
                <v:textbox>
                  <w:txbxContent>
                    <w:p w:rsidR="0038713B" w:rsidRPr="00C353FF" w:rsidRDefault="0038713B" w:rsidP="003B0E84">
                      <w:pPr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</w:pPr>
                      <w:r w:rsidRPr="00C353FF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>Most businesses we supervise are located (or have their head office) in Auckland.</w:t>
                      </w:r>
                    </w:p>
                    <w:p w:rsidR="0038713B" w:rsidRDefault="0038713B"/>
                  </w:txbxContent>
                </v:textbox>
              </v:roundrect>
            </w:pict>
          </mc:Fallback>
        </mc:AlternateContent>
      </w:r>
    </w:p>
    <w:p w:rsidR="003B0E84" w:rsidRDefault="003B0E84" w:rsidP="00B375F1">
      <w:r>
        <w:tab/>
      </w:r>
      <w:r>
        <w:tab/>
      </w:r>
    </w:p>
    <w:p w:rsidR="003B0E84" w:rsidRDefault="003B0E84" w:rsidP="00B375F1"/>
    <w:p w:rsidR="00791874" w:rsidRDefault="00695EDC" w:rsidP="00B375F1">
      <w:r>
        <w:t xml:space="preserve">Over two hundred businesses </w:t>
      </w:r>
      <w:r w:rsidR="00082531">
        <w:t>are located (or have their hea</w:t>
      </w:r>
      <w:r w:rsidR="008235EA">
        <w:t>d office) in Auckland, and represent</w:t>
      </w:r>
      <w:r w:rsidR="003B0E84">
        <w:t xml:space="preserve"> 60</w:t>
      </w:r>
      <w:r w:rsidR="00082531">
        <w:t xml:space="preserve"> p</w:t>
      </w:r>
      <w:r w:rsidR="00250FE4">
        <w:t xml:space="preserve">er cent of </w:t>
      </w:r>
      <w:r w:rsidR="005E63DF">
        <w:t xml:space="preserve">survey respondents. </w:t>
      </w:r>
      <w:r w:rsidR="00791874">
        <w:t>This is consistent with last year’s survey</w:t>
      </w:r>
      <w:r w:rsidR="00B562C6">
        <w:t xml:space="preserve"> result</w:t>
      </w:r>
      <w:r w:rsidR="00791874">
        <w:t>. Details are provided</w:t>
      </w:r>
      <w:r w:rsidR="00A3218E">
        <w:t xml:space="preserve"> in the </w:t>
      </w:r>
      <w:r w:rsidR="004258E5">
        <w:t xml:space="preserve">Support Document </w:t>
      </w:r>
      <w:r w:rsidR="006606F9">
        <w:t>Figure 1.2</w:t>
      </w:r>
      <w:r w:rsidR="0078570A">
        <w:t xml:space="preserve"> – Respondent Location</w:t>
      </w:r>
      <w:r w:rsidR="004258E5">
        <w:t>s</w:t>
      </w:r>
      <w:r w:rsidR="00250FE4">
        <w:t>.</w:t>
      </w:r>
      <w:r w:rsidR="00A3218E">
        <w:t xml:space="preserve"> </w:t>
      </w:r>
    </w:p>
    <w:p w:rsidR="00250FE4" w:rsidRDefault="00250FE4" w:rsidP="00B375F1">
      <w:r>
        <w:t xml:space="preserve">There are a small number of </w:t>
      </w:r>
      <w:r w:rsidR="008235EA">
        <w:t>businesses based offshore that t</w:t>
      </w:r>
      <w:r w:rsidR="00B562C6">
        <w:t>he Department is responsible</w:t>
      </w:r>
      <w:r w:rsidR="00C353FF">
        <w:t xml:space="preserve"> for supervising</w:t>
      </w:r>
      <w:r w:rsidR="00A75968">
        <w:t>, accounting for three per cent of responses</w:t>
      </w:r>
      <w:r w:rsidR="00C353FF">
        <w:t>.</w:t>
      </w:r>
    </w:p>
    <w:p w:rsidR="008235EA" w:rsidRDefault="00A96AD3" w:rsidP="008235EA">
      <w:r w:rsidRPr="001A64CD">
        <w:rPr>
          <w:b/>
        </w:rPr>
        <w:t>Figure 2</w:t>
      </w:r>
      <w:r w:rsidR="008B37FD" w:rsidRPr="001A64CD">
        <w:rPr>
          <w:b/>
        </w:rPr>
        <w:t xml:space="preserve">: </w:t>
      </w:r>
      <w:r w:rsidR="00150923">
        <w:rPr>
          <w:b/>
        </w:rPr>
        <w:t>Membership of a Designated Business Group (DBG).</w:t>
      </w:r>
      <w:r w:rsidR="00A75968">
        <w:rPr>
          <w:noProof/>
          <w:lang w:eastAsia="en-NZ"/>
        </w:rPr>
        <w:drawing>
          <wp:inline distT="0" distB="0" distL="0" distR="0" wp14:anchorId="1F53DEB0" wp14:editId="6F92D31C">
            <wp:extent cx="5760085" cy="377275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7FD">
        <w:t>F</w:t>
      </w:r>
      <w:r w:rsidR="009F09BD">
        <w:t>igure 2 shows that t</w:t>
      </w:r>
      <w:r w:rsidR="008235EA">
        <w:t xml:space="preserve">he majority of respondents do not belong </w:t>
      </w:r>
      <w:r w:rsidR="009F09BD">
        <w:t xml:space="preserve">to a DBG. We recognise that </w:t>
      </w:r>
      <w:r w:rsidR="00364510">
        <w:t xml:space="preserve">many of our reporting </w:t>
      </w:r>
      <w:r w:rsidR="008235EA">
        <w:t>entities are small</w:t>
      </w:r>
      <w:r w:rsidR="00364510">
        <w:t xml:space="preserve"> independent</w:t>
      </w:r>
      <w:r w:rsidR="008235EA">
        <w:t xml:space="preserve"> businesses therefore</w:t>
      </w:r>
      <w:r w:rsidR="00354A34">
        <w:t xml:space="preserve"> membership of a DBG may not be </w:t>
      </w:r>
      <w:r w:rsidR="008235EA">
        <w:t>an option.</w:t>
      </w:r>
    </w:p>
    <w:p w:rsidR="00B74C67" w:rsidRDefault="00364510" w:rsidP="00B74C67">
      <w:r>
        <w:t>A slight</w:t>
      </w:r>
      <w:r w:rsidR="00354A34">
        <w:t xml:space="preserve"> increase of five</w:t>
      </w:r>
      <w:r w:rsidR="008235EA">
        <w:t xml:space="preserve"> per cent in DBG membership from 2014 to 2015 is likely to reflect take up by larger businesses realising the </w:t>
      </w:r>
      <w:r w:rsidR="000F10AB">
        <w:t xml:space="preserve">collective </w:t>
      </w:r>
      <w:r w:rsidR="008235EA">
        <w:t xml:space="preserve">advantages of </w:t>
      </w:r>
      <w:r w:rsidR="00877AB1">
        <w:t>forming a DBG</w:t>
      </w:r>
      <w:r w:rsidR="008235EA">
        <w:t>.</w:t>
      </w:r>
      <w:r w:rsidR="00C353FF">
        <w:t xml:space="preserve"> </w:t>
      </w:r>
    </w:p>
    <w:p w:rsidR="00025A40" w:rsidRDefault="005347E9" w:rsidP="007E471F">
      <w:pPr>
        <w:pStyle w:val="Heading1"/>
      </w:pPr>
      <w:bookmarkStart w:id="4" w:name="_Toc447178479"/>
      <w:r w:rsidRPr="00F4201C">
        <w:rPr>
          <w:szCs w:val="52"/>
        </w:rPr>
        <w:t>Information Services</w:t>
      </w:r>
      <w:bookmarkEnd w:id="4"/>
    </w:p>
    <w:p w:rsidR="000F10AB" w:rsidRDefault="005347E9" w:rsidP="005347E9">
      <w:r>
        <w:t>There has been a small increase</w:t>
      </w:r>
      <w:r w:rsidR="006730C6">
        <w:t xml:space="preserve"> </w:t>
      </w:r>
      <w:r w:rsidR="00F709B2">
        <w:t xml:space="preserve">this year </w:t>
      </w:r>
      <w:r>
        <w:t xml:space="preserve">in </w:t>
      </w:r>
      <w:r w:rsidR="00270488">
        <w:t>the number of r</w:t>
      </w:r>
      <w:r>
        <w:t xml:space="preserve">espondents </w:t>
      </w:r>
      <w:r w:rsidR="00270488">
        <w:t>who report referring to the D</w:t>
      </w:r>
      <w:r w:rsidR="00C353FF">
        <w:t>epartment’s website, from 87 per cent to 91</w:t>
      </w:r>
      <w:r w:rsidR="005209E3">
        <w:t xml:space="preserve"> per cent</w:t>
      </w:r>
      <w:r w:rsidR="00270488">
        <w:t xml:space="preserve">. This </w:t>
      </w:r>
      <w:r w:rsidR="00385994">
        <w:t xml:space="preserve">shows </w:t>
      </w:r>
      <w:r w:rsidR="00CB5BE1">
        <w:t>the</w:t>
      </w:r>
      <w:r w:rsidR="00354A34">
        <w:t xml:space="preserve"> </w:t>
      </w:r>
      <w:r w:rsidR="00B41AED">
        <w:t xml:space="preserve">high number of </w:t>
      </w:r>
      <w:r w:rsidR="00210FAA">
        <w:t xml:space="preserve">our </w:t>
      </w:r>
      <w:r w:rsidR="00270488">
        <w:t>reporting</w:t>
      </w:r>
      <w:r w:rsidR="00B41AED">
        <w:t xml:space="preserve"> entities</w:t>
      </w:r>
      <w:r w:rsidRPr="00270488">
        <w:t xml:space="preserve"> </w:t>
      </w:r>
      <w:r w:rsidR="00B41AED">
        <w:t xml:space="preserve">who </w:t>
      </w:r>
      <w:r w:rsidR="00210FAA">
        <w:t>use o</w:t>
      </w:r>
      <w:r w:rsidR="00354A34">
        <w:t>ur website</w:t>
      </w:r>
      <w:r w:rsidR="00210FAA">
        <w:t xml:space="preserve"> as an information source.</w:t>
      </w:r>
    </w:p>
    <w:p w:rsidR="00530A29" w:rsidRPr="00025A40" w:rsidRDefault="00A30A84" w:rsidP="005347E9">
      <w:pPr>
        <w:rPr>
          <w:b/>
        </w:rPr>
      </w:pPr>
      <w:r w:rsidRPr="00025A40">
        <w:rPr>
          <w:b/>
        </w:rPr>
        <w:t>Figure 3</w:t>
      </w:r>
      <w:r w:rsidR="007E471F">
        <w:rPr>
          <w:b/>
        </w:rPr>
        <w:t>:</w:t>
      </w:r>
      <w:r w:rsidRPr="00025A40">
        <w:rPr>
          <w:b/>
        </w:rPr>
        <w:t xml:space="preserve"> </w:t>
      </w:r>
      <w:r w:rsidR="001A64CD" w:rsidRPr="00025A40">
        <w:rPr>
          <w:b/>
        </w:rPr>
        <w:t>Individual website ratings 2015.</w:t>
      </w:r>
    </w:p>
    <w:p w:rsidR="00530A29" w:rsidRDefault="00570ACC" w:rsidP="005347E9">
      <w:r>
        <w:rPr>
          <w:noProof/>
          <w:lang w:eastAsia="en-NZ"/>
        </w:rPr>
        <w:drawing>
          <wp:inline distT="0" distB="0" distL="0" distR="0" wp14:anchorId="4AF1FDF9" wp14:editId="40A90A01">
            <wp:extent cx="5760085" cy="3831441"/>
            <wp:effectExtent l="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BD" w:rsidRDefault="009F09BD" w:rsidP="005347E9">
      <w:r>
        <w:t xml:space="preserve">Figure 3 shows the </w:t>
      </w:r>
      <w:r w:rsidR="001A64CD">
        <w:t xml:space="preserve">ratings </w:t>
      </w:r>
      <w:r w:rsidR="00261821">
        <w:t xml:space="preserve">made by </w:t>
      </w:r>
      <w:r w:rsidR="000A5C44">
        <w:t xml:space="preserve">survey </w:t>
      </w:r>
      <w:r w:rsidR="00261821">
        <w:t>respondents for two</w:t>
      </w:r>
      <w:r>
        <w:t xml:space="preserve"> questions </w:t>
      </w:r>
      <w:r w:rsidR="00A75C2E">
        <w:t xml:space="preserve">asking </w:t>
      </w:r>
      <w:r>
        <w:t>about our website.</w:t>
      </w:r>
      <w:r w:rsidR="00570ACC">
        <w:t xml:space="preserve"> Ratings are from 1-5, with 1 being easiest/most useful and 5 being most difficult/not helpful.</w:t>
      </w:r>
    </w:p>
    <w:p w:rsidR="007E471F" w:rsidRDefault="007E471F" w:rsidP="005347E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1E13" wp14:editId="3B506292">
                <wp:simplePos x="0" y="0"/>
                <wp:positionH relativeFrom="column">
                  <wp:posOffset>-14605</wp:posOffset>
                </wp:positionH>
                <wp:positionV relativeFrom="paragraph">
                  <wp:posOffset>90805</wp:posOffset>
                </wp:positionV>
                <wp:extent cx="5467350" cy="762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6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3B" w:rsidRPr="00017A89" w:rsidRDefault="003871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A89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>Almost all respondents have referred to our website for information. Overall ratings are positive, but there is room for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5" o:spid="_x0000_s1028" style="position:absolute;margin-left:-1.15pt;margin-top:7.15pt;width:43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" fillcolor="white [3201]" strokecolor="#1f546b [3215]" strokeweight="1.5pt">
                <v:textbox>
                  <w:txbxContent>
                    <w:p w:rsidR="0038713B" w:rsidRPr="00017A89" w:rsidRDefault="0038713B">
                      <w:pPr>
                        <w:rPr>
                          <w:sz w:val="28"/>
                          <w:szCs w:val="28"/>
                        </w:rPr>
                      </w:pPr>
                      <w:r w:rsidRPr="00017A89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>Almost all respondents have referred to our website for information. Overall ratings are positive, but there is room for improvement.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71F" w:rsidRDefault="007E471F" w:rsidP="005347E9"/>
    <w:p w:rsidR="007E471F" w:rsidRDefault="007E471F" w:rsidP="00A30A84"/>
    <w:p w:rsidR="007E471F" w:rsidRPr="009D5F2B" w:rsidRDefault="007E471F" w:rsidP="007E471F">
      <w:pPr>
        <w:rPr>
          <w:b/>
          <w:color w:val="1F546B" w:themeColor="text2"/>
          <w:sz w:val="32"/>
          <w:szCs w:val="32"/>
        </w:rPr>
      </w:pPr>
      <w:r w:rsidRPr="009D5F2B">
        <w:rPr>
          <w:b/>
          <w:color w:val="1F546B" w:themeColor="text2"/>
          <w:sz w:val="32"/>
          <w:szCs w:val="32"/>
        </w:rPr>
        <w:t>Website ease of use</w:t>
      </w:r>
    </w:p>
    <w:p w:rsidR="007E471F" w:rsidRDefault="007E471F" w:rsidP="007E471F">
      <w:r>
        <w:t>Over half of the respondents rated the Department’s website as extremely easy or reasonably easy to use.</w:t>
      </w:r>
    </w:p>
    <w:p w:rsidR="007E471F" w:rsidRDefault="007E471F" w:rsidP="007E471F">
      <w:r>
        <w:t xml:space="preserve">A third of respondents indicated that some information is easier to find than others. </w:t>
      </w:r>
    </w:p>
    <w:p w:rsidR="00D30EF4" w:rsidRDefault="00A30A84" w:rsidP="00A30A84">
      <w:r>
        <w:t>Average individual ratings for ease of finding information show a slight reduction compared to 2014 (from 2.53 to 2.51).</w:t>
      </w:r>
    </w:p>
    <w:p w:rsidR="003B0E84" w:rsidRDefault="00C546C7" w:rsidP="00A30A84">
      <w:r>
        <w:t>There were no notable difference</w:t>
      </w:r>
      <w:r w:rsidR="007E471F">
        <w:t>s in website ratings across sub</w:t>
      </w:r>
      <w:r>
        <w:t>sectors. A breakdown is pro</w:t>
      </w:r>
      <w:r w:rsidR="007E471F">
        <w:t xml:space="preserve">vided in the support document - </w:t>
      </w:r>
      <w:r>
        <w:t>Figure 3.1.</w:t>
      </w:r>
    </w:p>
    <w:p w:rsidR="00764AD7" w:rsidRDefault="00764AD7" w:rsidP="005347E9">
      <w:r w:rsidRPr="00460E18">
        <w:t xml:space="preserve">Sixty seven respondents provided additional comments. Some indicated that navigating the </w:t>
      </w:r>
      <w:r w:rsidR="007E471F">
        <w:t>web</w:t>
      </w:r>
      <w:r w:rsidRPr="00460E18">
        <w:t xml:space="preserve">site is easy using the search function, while others </w:t>
      </w:r>
      <w:r w:rsidR="00DE2B2D" w:rsidRPr="00460E18">
        <w:t xml:space="preserve">expressed the </w:t>
      </w:r>
      <w:r w:rsidRPr="00460E18">
        <w:t>opposite</w:t>
      </w:r>
      <w:r w:rsidR="00DE2B2D" w:rsidRPr="00460E18">
        <w:t xml:space="preserve"> viewpoint.</w:t>
      </w:r>
    </w:p>
    <w:p w:rsidR="00ED0E18" w:rsidRDefault="003D182F" w:rsidP="003D182F">
      <w:pPr>
        <w:ind w:firstLine="567"/>
        <w:rPr>
          <w:b/>
          <w:color w:val="1F546B" w:themeColor="text2"/>
        </w:rPr>
      </w:pPr>
      <w:r>
        <w:rPr>
          <w:noProof/>
          <w:lang w:eastAsia="en-NZ"/>
        </w:rPr>
        <w:drawing>
          <wp:inline distT="0" distB="0" distL="0" distR="0" wp14:anchorId="48BDC12F" wp14:editId="32A9000B">
            <wp:extent cx="3109229" cy="847417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9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8" w:rsidRDefault="003D182F" w:rsidP="003D182F">
      <w:pPr>
        <w:ind w:left="3969" w:firstLine="567"/>
        <w:rPr>
          <w:b/>
          <w:color w:val="1F546B" w:themeColor="text2"/>
        </w:rPr>
      </w:pPr>
      <w:r>
        <w:rPr>
          <w:noProof/>
          <w:lang w:eastAsia="en-NZ"/>
        </w:rPr>
        <w:drawing>
          <wp:inline distT="0" distB="0" distL="0" distR="0" wp14:anchorId="7E7772F7" wp14:editId="72755359">
            <wp:extent cx="2420322" cy="853514"/>
            <wp:effectExtent l="0" t="0" r="0" b="381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20322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1F" w:rsidRPr="009D5F2B" w:rsidRDefault="007E471F" w:rsidP="005347E9">
      <w:pPr>
        <w:rPr>
          <w:b/>
          <w:color w:val="1F546B" w:themeColor="text2"/>
          <w:sz w:val="32"/>
          <w:szCs w:val="32"/>
        </w:rPr>
      </w:pPr>
      <w:r w:rsidRPr="009D5F2B">
        <w:rPr>
          <w:b/>
          <w:color w:val="1F546B" w:themeColor="text2"/>
          <w:sz w:val="32"/>
          <w:szCs w:val="32"/>
        </w:rPr>
        <w:t>Website information</w:t>
      </w:r>
    </w:p>
    <w:p w:rsidR="00530A29" w:rsidRDefault="00530A29" w:rsidP="005347E9">
      <w:r>
        <w:t>Almost two thirds of respondents rated information on the website as being extremely useful or reasonably useful.</w:t>
      </w:r>
    </w:p>
    <w:p w:rsidR="00530A29" w:rsidRDefault="00530A29" w:rsidP="005347E9">
      <w:r>
        <w:t>A quarter of respondents indicated that they find some information more useful than others.</w:t>
      </w:r>
    </w:p>
    <w:p w:rsidR="005347E9" w:rsidRDefault="000A5C44" w:rsidP="005347E9">
      <w:r>
        <w:t>Average r</w:t>
      </w:r>
      <w:r w:rsidR="00B41AED">
        <w:t>atings for u</w:t>
      </w:r>
      <w:r w:rsidR="005347E9" w:rsidRPr="000932D4">
        <w:t>sef</w:t>
      </w:r>
      <w:r w:rsidR="005347E9">
        <w:t>ulness o</w:t>
      </w:r>
      <w:r w:rsidR="005347E9" w:rsidRPr="000932D4">
        <w:t>f information</w:t>
      </w:r>
      <w:r w:rsidR="00B41AED">
        <w:t xml:space="preserve"> provided on our website also show a </w:t>
      </w:r>
      <w:r w:rsidR="005347E9">
        <w:t xml:space="preserve">slight reduction </w:t>
      </w:r>
      <w:r w:rsidR="00B41AED">
        <w:t xml:space="preserve">compared to </w:t>
      </w:r>
      <w:r w:rsidR="005347E9">
        <w:t>2014 (from 2.49 to 2.25)</w:t>
      </w:r>
      <w:r w:rsidR="00B34FE6">
        <w:t>.</w:t>
      </w:r>
    </w:p>
    <w:p w:rsidR="005347E9" w:rsidRDefault="00DE2B2D" w:rsidP="00B74C67">
      <w:r>
        <w:t xml:space="preserve">Forty six respondents provided additional comments. </w:t>
      </w:r>
      <w:r w:rsidR="00DD2AD2">
        <w:t xml:space="preserve">Again, </w:t>
      </w:r>
      <w:r>
        <w:t>opinion</w:t>
      </w:r>
      <w:r w:rsidR="00DD2AD2">
        <w:t>s were split between t</w:t>
      </w:r>
      <w:r>
        <w:t xml:space="preserve">hose </w:t>
      </w:r>
      <w:r w:rsidR="00DD2AD2">
        <w:t xml:space="preserve">finding </w:t>
      </w:r>
      <w:r>
        <w:t>the information useful and easy to understand to those request</w:t>
      </w:r>
      <w:r w:rsidR="00DD2AD2">
        <w:t>ing</w:t>
      </w:r>
      <w:r>
        <w:t xml:space="preserve"> simplification of the language and additional guidance material.</w:t>
      </w:r>
    </w:p>
    <w:p w:rsidR="00C76DDD" w:rsidRDefault="003D182F" w:rsidP="003D182F">
      <w:pPr>
        <w:ind w:firstLine="567"/>
        <w:jc w:val="both"/>
      </w:pPr>
      <w:r>
        <w:rPr>
          <w:noProof/>
          <w:lang w:eastAsia="en-NZ"/>
        </w:rPr>
        <w:drawing>
          <wp:inline distT="0" distB="0" distL="0" distR="0" wp14:anchorId="66CB892A" wp14:editId="295A0359">
            <wp:extent cx="2804403" cy="475529"/>
            <wp:effectExtent l="0" t="0" r="0" b="127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4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CE">
        <w:tab/>
      </w:r>
      <w:r w:rsidR="000703CE">
        <w:tab/>
      </w:r>
      <w:r w:rsidR="000703CE">
        <w:tab/>
      </w:r>
      <w:r w:rsidR="000703CE">
        <w:tab/>
      </w:r>
      <w:r w:rsidR="000703CE">
        <w:tab/>
      </w:r>
      <w:r w:rsidR="000703CE">
        <w:tab/>
      </w:r>
      <w:r w:rsidR="000703CE">
        <w:tab/>
      </w:r>
    </w:p>
    <w:p w:rsidR="003D182F" w:rsidRDefault="003D182F" w:rsidP="003D182F">
      <w:pPr>
        <w:ind w:left="3969"/>
        <w:jc w:val="both"/>
      </w:pPr>
      <w:r>
        <w:rPr>
          <w:noProof/>
          <w:lang w:eastAsia="en-NZ"/>
        </w:rPr>
        <w:drawing>
          <wp:inline distT="0" distB="0" distL="0" distR="0" wp14:anchorId="0F2CF8FD" wp14:editId="4B58C306">
            <wp:extent cx="2651990" cy="1012024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1990" cy="10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29" w:rsidRPr="00464FE2" w:rsidRDefault="00530A29" w:rsidP="00530A29">
      <w:r w:rsidRPr="00464FE2">
        <w:t>There are no significant differences in website ratings across subsectors.</w:t>
      </w:r>
      <w:r w:rsidR="000A5C44">
        <w:t xml:space="preserve"> A </w:t>
      </w:r>
      <w:r w:rsidR="007E471F">
        <w:t xml:space="preserve">breakdown is provided </w:t>
      </w:r>
      <w:r w:rsidR="00A3218E">
        <w:t>in the Support Document -</w:t>
      </w:r>
      <w:r w:rsidR="000A5C44">
        <w:t xml:space="preserve"> Figure 3.1.</w:t>
      </w:r>
    </w:p>
    <w:p w:rsidR="00354A34" w:rsidRPr="00691175" w:rsidRDefault="00354A34" w:rsidP="00354A34">
      <w:r w:rsidRPr="00691175">
        <w:t xml:space="preserve">We recognise the importance </w:t>
      </w:r>
      <w:r w:rsidR="00B34FE6">
        <w:t xml:space="preserve">of </w:t>
      </w:r>
      <w:r w:rsidR="00210FAA" w:rsidRPr="00691175">
        <w:t xml:space="preserve">our website in providing </w:t>
      </w:r>
      <w:r w:rsidR="00210FAA" w:rsidRPr="00B66D38">
        <w:t xml:space="preserve">information to </w:t>
      </w:r>
      <w:r w:rsidR="00B66D38" w:rsidRPr="00B66D38">
        <w:t xml:space="preserve">our </w:t>
      </w:r>
      <w:r w:rsidRPr="00B66D38">
        <w:t>sector</w:t>
      </w:r>
      <w:r w:rsidRPr="00691175">
        <w:t>. Survey results</w:t>
      </w:r>
      <w:r w:rsidR="00B66D38">
        <w:t xml:space="preserve"> and comments</w:t>
      </w:r>
      <w:r w:rsidRPr="00691175">
        <w:t xml:space="preserve"> </w:t>
      </w:r>
      <w:r w:rsidR="00AC5BD9" w:rsidRPr="00691175">
        <w:t xml:space="preserve">will be </w:t>
      </w:r>
      <w:r w:rsidR="00162BF3">
        <w:t>considered when</w:t>
      </w:r>
      <w:r w:rsidR="00460E18" w:rsidRPr="00691175">
        <w:t xml:space="preserve"> decisions </w:t>
      </w:r>
      <w:r w:rsidR="00162BF3">
        <w:t xml:space="preserve">are made on </w:t>
      </w:r>
      <w:r w:rsidR="00460E18" w:rsidRPr="00691175">
        <w:t xml:space="preserve">any </w:t>
      </w:r>
      <w:r w:rsidR="00CB5BE1">
        <w:t>c</w:t>
      </w:r>
      <w:r w:rsidR="00AC5BD9" w:rsidRPr="00691175">
        <w:t>hanges</w:t>
      </w:r>
      <w:r w:rsidR="00691175">
        <w:t>.</w:t>
      </w:r>
    </w:p>
    <w:p w:rsidR="007E471F" w:rsidRDefault="007E471F" w:rsidP="00017A89"/>
    <w:p w:rsidR="007E471F" w:rsidRDefault="007E471F" w:rsidP="00017A89"/>
    <w:p w:rsidR="007E471F" w:rsidRPr="009D5F2B" w:rsidRDefault="007E471F" w:rsidP="00017A89">
      <w:pPr>
        <w:rPr>
          <w:b/>
          <w:color w:val="1F546B" w:themeColor="text2"/>
          <w:sz w:val="32"/>
          <w:szCs w:val="32"/>
        </w:rPr>
      </w:pPr>
      <w:r w:rsidRPr="009D5F2B">
        <w:rPr>
          <w:b/>
          <w:color w:val="1F546B" w:themeColor="text2"/>
          <w:sz w:val="32"/>
          <w:szCs w:val="32"/>
        </w:rPr>
        <w:t>Other interaction</w:t>
      </w:r>
    </w:p>
    <w:p w:rsidR="00C060A1" w:rsidRDefault="00784025" w:rsidP="00017A89">
      <w:r>
        <w:t>Seventy percent of re</w:t>
      </w:r>
      <w:r w:rsidRPr="00784025">
        <w:t>spondents</w:t>
      </w:r>
      <w:r>
        <w:t xml:space="preserve"> have had contact with the Department (other than the website or newsletters). </w:t>
      </w:r>
    </w:p>
    <w:p w:rsidR="001A3B65" w:rsidRPr="001A3B65" w:rsidRDefault="001A3B65" w:rsidP="00017A89">
      <w:pPr>
        <w:rPr>
          <w:b/>
        </w:rPr>
      </w:pPr>
      <w:r w:rsidRPr="001A3B65">
        <w:rPr>
          <w:b/>
        </w:rPr>
        <w:t>Figure 4: Types of interaction with the Department</w:t>
      </w:r>
    </w:p>
    <w:p w:rsidR="001A3B65" w:rsidRDefault="001A3B65" w:rsidP="00017A89">
      <w:r>
        <w:rPr>
          <w:noProof/>
          <w:lang w:eastAsia="en-NZ"/>
        </w:rPr>
        <w:drawing>
          <wp:inline distT="0" distB="0" distL="0" distR="0" wp14:anchorId="0C780678" wp14:editId="4B871F90">
            <wp:extent cx="5760085" cy="3616669"/>
            <wp:effectExtent l="0" t="0" r="0" b="3175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A1" w:rsidRDefault="008210D9" w:rsidP="00C060A1">
      <w:r>
        <w:t>Figure 4</w:t>
      </w:r>
      <w:r w:rsidR="001A3B65">
        <w:t xml:space="preserve"> shows the ways survey respondents interact with the Department. </w:t>
      </w:r>
      <w:r w:rsidR="00C060A1">
        <w:t>A total of 482 selections were made by 231 respondents.</w:t>
      </w:r>
    </w:p>
    <w:p w:rsidR="001A3B65" w:rsidRDefault="001A3B65" w:rsidP="001A3B65">
      <w:r>
        <w:t xml:space="preserve">Interactions through programme reviews and on-site inspections have increased compared to 2014 which reflects changes in the Department’s work programme over the past twelve months. </w:t>
      </w:r>
    </w:p>
    <w:p w:rsidR="007E471F" w:rsidRDefault="00784025" w:rsidP="00017A89">
      <w:r>
        <w:t>There have been notable increases in the number of telephone and email interactions</w:t>
      </w:r>
      <w:r w:rsidR="001A3B65">
        <w:t xml:space="preserve"> compared to 2014</w:t>
      </w:r>
      <w:r>
        <w:t>.</w:t>
      </w:r>
      <w:r w:rsidR="00066FA8">
        <w:t xml:space="preserve"> </w:t>
      </w:r>
    </w:p>
    <w:p w:rsidR="000A18B5" w:rsidRPr="009D5F2B" w:rsidRDefault="007E471F" w:rsidP="00017A89">
      <w:pPr>
        <w:rPr>
          <w:b/>
          <w:color w:val="1F546B" w:themeColor="text2"/>
          <w:sz w:val="32"/>
          <w:szCs w:val="32"/>
        </w:rPr>
      </w:pPr>
      <w:r w:rsidRPr="009D5F2B">
        <w:rPr>
          <w:b/>
          <w:color w:val="1F546B" w:themeColor="text2"/>
          <w:sz w:val="32"/>
          <w:szCs w:val="32"/>
        </w:rPr>
        <w:t>Other sources of information</w:t>
      </w:r>
    </w:p>
    <w:p w:rsidR="00B93D65" w:rsidRDefault="00B93D65" w:rsidP="00B74C67">
      <w:r w:rsidRPr="00B93D65">
        <w:t xml:space="preserve">Three quarters of </w:t>
      </w:r>
      <w:r>
        <w:t xml:space="preserve">respondents have used other sources of information to assist </w:t>
      </w:r>
      <w:r w:rsidR="00210FAA">
        <w:t xml:space="preserve">their </w:t>
      </w:r>
      <w:r>
        <w:t xml:space="preserve">understanding of compliance with the Act’s requirements. </w:t>
      </w:r>
    </w:p>
    <w:p w:rsidR="00B93D65" w:rsidRDefault="00B93D65" w:rsidP="00B74C67">
      <w:r>
        <w:t>Multiple selections indicate that our reporting entities are aware of the range of sources available and are actively using them (235 respondents made a total of 616 selections).</w:t>
      </w:r>
    </w:p>
    <w:p w:rsidR="00225287" w:rsidRDefault="00C353FF" w:rsidP="00225287">
      <w:r>
        <w:t>In</w:t>
      </w:r>
      <w:r w:rsidR="00053760">
        <w:t xml:space="preserve"> our survey </w:t>
      </w:r>
      <w:r>
        <w:t>w</w:t>
      </w:r>
      <w:r w:rsidR="00225287">
        <w:t>e provided nine specific sources to choose from</w:t>
      </w:r>
      <w:r w:rsidR="00053760">
        <w:t>,</w:t>
      </w:r>
      <w:r w:rsidR="00225287">
        <w:t xml:space="preserve"> as well as an “other” option. All rece</w:t>
      </w:r>
      <w:r w:rsidR="000A5C44">
        <w:t>ived at least thirty selections by survey respondents.</w:t>
      </w:r>
    </w:p>
    <w:p w:rsidR="00C060A1" w:rsidRDefault="00C060A1" w:rsidP="00225287"/>
    <w:p w:rsidR="00B93D65" w:rsidRPr="00025A40" w:rsidRDefault="00A96AD3" w:rsidP="00B74C67">
      <w:pPr>
        <w:rPr>
          <w:b/>
        </w:rPr>
      </w:pPr>
      <w:r w:rsidRPr="00025A40">
        <w:rPr>
          <w:b/>
        </w:rPr>
        <w:t xml:space="preserve">Figure </w:t>
      </w:r>
      <w:r w:rsidR="008210D9">
        <w:rPr>
          <w:b/>
        </w:rPr>
        <w:t>5</w:t>
      </w:r>
      <w:r w:rsidR="00025A40" w:rsidRPr="00025A40">
        <w:rPr>
          <w:b/>
        </w:rPr>
        <w:t xml:space="preserve">: </w:t>
      </w:r>
      <w:r w:rsidR="00D30EF4">
        <w:rPr>
          <w:b/>
        </w:rPr>
        <w:t>Five most popular non-D</w:t>
      </w:r>
      <w:r w:rsidR="00EF55FE">
        <w:rPr>
          <w:b/>
        </w:rPr>
        <w:t>epartment</w:t>
      </w:r>
      <w:r w:rsidR="00D30EF4">
        <w:rPr>
          <w:b/>
        </w:rPr>
        <w:t xml:space="preserve"> </w:t>
      </w:r>
      <w:r w:rsidR="00025A40" w:rsidRPr="00025A40">
        <w:rPr>
          <w:b/>
        </w:rPr>
        <w:t>sources of information</w:t>
      </w:r>
    </w:p>
    <w:p w:rsidR="00B93D65" w:rsidRDefault="00025A40" w:rsidP="00B74C67">
      <w:r>
        <w:rPr>
          <w:noProof/>
          <w:lang w:eastAsia="en-NZ"/>
        </w:rPr>
        <w:drawing>
          <wp:inline distT="0" distB="0" distL="0" distR="0" wp14:anchorId="132A67B4" wp14:editId="5CD91205">
            <wp:extent cx="5742930" cy="3846909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42930" cy="38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21" w:rsidRDefault="008210D9" w:rsidP="00A65F62">
      <w:r>
        <w:t>Figure 5</w:t>
      </w:r>
      <w:r w:rsidR="00261821">
        <w:t xml:space="preserve"> shows</w:t>
      </w:r>
      <w:r w:rsidR="00C353FF">
        <w:t xml:space="preserve"> the</w:t>
      </w:r>
      <w:r w:rsidR="00261821">
        <w:t xml:space="preserve"> five non-D</w:t>
      </w:r>
      <w:r w:rsidR="00EF55FE">
        <w:t>epartment</w:t>
      </w:r>
      <w:r w:rsidR="00261821">
        <w:t xml:space="preserve"> sources of information mostly commonly used by our survey respondents. </w:t>
      </w:r>
      <w:r w:rsidR="00A65F62">
        <w:t xml:space="preserve">These are the same sources that </w:t>
      </w:r>
      <w:r w:rsidR="005209E3">
        <w:t>received the m</w:t>
      </w:r>
      <w:r w:rsidR="00A65F62">
        <w:t xml:space="preserve">ost </w:t>
      </w:r>
      <w:r w:rsidR="005209E3">
        <w:t xml:space="preserve">selections </w:t>
      </w:r>
      <w:r w:rsidR="00A65F62">
        <w:t>in 2014.</w:t>
      </w:r>
      <w:r w:rsidR="00261821">
        <w:t xml:space="preserve"> </w:t>
      </w:r>
    </w:p>
    <w:p w:rsidR="007E471F" w:rsidRDefault="007E471F" w:rsidP="00A65F6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F49E" wp14:editId="409612D0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5743575" cy="857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57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3B" w:rsidRPr="00017A89" w:rsidRDefault="0038713B" w:rsidP="00017A89">
                            <w:pPr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</w:pPr>
                            <w:r w:rsidRPr="00017A89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>Our reporting entities recognise the value of using other information sources to help them understand and comply with the Act.</w:t>
                            </w:r>
                          </w:p>
                          <w:p w:rsidR="0038713B" w:rsidRDefault="00387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6" o:spid="_x0000_s1029" style="position:absolute;margin-left:.35pt;margin-top:15.85pt;width:452.2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" fillcolor="white [3201]" strokecolor="#1f546b [3215]" strokeweight="1.5pt">
                <v:textbox>
                  <w:txbxContent>
                    <w:p w:rsidR="0038713B" w:rsidRPr="00017A89" w:rsidRDefault="0038713B" w:rsidP="00017A89">
                      <w:pPr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</w:pPr>
                      <w:r w:rsidRPr="00017A89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>Our reporting entities recognise the value of using other information sources to help them understand and comply with the Act.</w:t>
                      </w:r>
                    </w:p>
                    <w:p w:rsidR="0038713B" w:rsidRDefault="0038713B"/>
                  </w:txbxContent>
                </v:textbox>
              </v:roundrect>
            </w:pict>
          </mc:Fallback>
        </mc:AlternateContent>
      </w:r>
    </w:p>
    <w:p w:rsidR="007E471F" w:rsidRDefault="007E471F" w:rsidP="00A65F62"/>
    <w:p w:rsidR="007E471F" w:rsidRDefault="007E471F" w:rsidP="00A65F62"/>
    <w:p w:rsidR="007E471F" w:rsidRDefault="007E471F" w:rsidP="00A65F62"/>
    <w:p w:rsidR="00A65F62" w:rsidRDefault="0055237D" w:rsidP="00A65F62">
      <w:r>
        <w:t xml:space="preserve">Consultants remain the most </w:t>
      </w:r>
      <w:r w:rsidR="000A18B5">
        <w:t>popular option, although the percentage of respondents using this source has reduced slightly compared to</w:t>
      </w:r>
      <w:r w:rsidR="00025A40">
        <w:t xml:space="preserve"> last year’s survey (from 58</w:t>
      </w:r>
      <w:r w:rsidR="005209E3">
        <w:t xml:space="preserve"> per cent to</w:t>
      </w:r>
      <w:r w:rsidR="00025A40">
        <w:t xml:space="preserve"> 51</w:t>
      </w:r>
      <w:r w:rsidR="005209E3">
        <w:t xml:space="preserve"> per cent</w:t>
      </w:r>
      <w:r w:rsidR="000A18B5">
        <w:t>).</w:t>
      </w:r>
    </w:p>
    <w:p w:rsidR="000A18B5" w:rsidRDefault="009A5E70" w:rsidP="000A18B5">
      <w:r>
        <w:t>The FIU has overtaken</w:t>
      </w:r>
      <w:r w:rsidR="00A65F62">
        <w:t xml:space="preserve"> legal professionals as the second </w:t>
      </w:r>
      <w:r w:rsidR="00025A40">
        <w:t>most popular source (from 36</w:t>
      </w:r>
      <w:r w:rsidR="005209E3">
        <w:t xml:space="preserve"> per cent to </w:t>
      </w:r>
      <w:r w:rsidR="00A65F62">
        <w:t>4</w:t>
      </w:r>
      <w:r w:rsidR="00025A40">
        <w:t>7</w:t>
      </w:r>
      <w:r w:rsidR="005209E3">
        <w:t xml:space="preserve"> per cent</w:t>
      </w:r>
      <w:r>
        <w:t>)</w:t>
      </w:r>
      <w:r w:rsidR="00A65F62">
        <w:t>.</w:t>
      </w:r>
    </w:p>
    <w:p w:rsidR="003B163A" w:rsidRDefault="00261821" w:rsidP="00B74C67">
      <w:r>
        <w:t>A</w:t>
      </w:r>
      <w:r w:rsidR="003B163A">
        <w:t>ustralian Transaction Reports and Analysis Centre (AUST</w:t>
      </w:r>
      <w:r>
        <w:t>RAC</w:t>
      </w:r>
      <w:r w:rsidR="003B163A">
        <w:t xml:space="preserve">) </w:t>
      </w:r>
      <w:r>
        <w:t xml:space="preserve">was </w:t>
      </w:r>
      <w:r w:rsidR="007E471F">
        <w:t>provided</w:t>
      </w:r>
      <w:r w:rsidR="00B21C23">
        <w:t xml:space="preserve"> </w:t>
      </w:r>
      <w:r>
        <w:t>as a selection option this year and receiv</w:t>
      </w:r>
      <w:r w:rsidR="00025A40">
        <w:t>ed thirty two selections (13</w:t>
      </w:r>
      <w:r w:rsidR="005209E3">
        <w:t xml:space="preserve"> per cent</w:t>
      </w:r>
      <w:r>
        <w:t>)</w:t>
      </w:r>
      <w:r w:rsidR="00B21C23">
        <w:t>.</w:t>
      </w:r>
      <w:r w:rsidR="009A5E70">
        <w:t xml:space="preserve"> </w:t>
      </w:r>
    </w:p>
    <w:p w:rsidR="00A72282" w:rsidRPr="000A18B5" w:rsidRDefault="00B21C23" w:rsidP="00B74C67">
      <w:r>
        <w:t>In the “other” category, a</w:t>
      </w:r>
      <w:r w:rsidR="000A18B5">
        <w:t xml:space="preserve"> number of respondents told us that auditors are also used as an additional source of information.</w:t>
      </w:r>
    </w:p>
    <w:p w:rsidR="00304ABF" w:rsidRPr="00225287" w:rsidRDefault="00304ABF" w:rsidP="000A18B5">
      <w:pPr>
        <w:pStyle w:val="Heading1"/>
        <w:rPr>
          <w:sz w:val="48"/>
          <w:szCs w:val="48"/>
        </w:rPr>
      </w:pPr>
      <w:bookmarkStart w:id="5" w:name="_Toc447178480"/>
      <w:r w:rsidRPr="00225287">
        <w:rPr>
          <w:sz w:val="48"/>
          <w:szCs w:val="48"/>
        </w:rPr>
        <w:t>Sector understanding of the AML/CFT Act</w:t>
      </w:r>
      <w:bookmarkEnd w:id="5"/>
    </w:p>
    <w:p w:rsidR="00304ABF" w:rsidRDefault="00304ABF" w:rsidP="00B375F1">
      <w:r>
        <w:t xml:space="preserve">As a supervisor under the Act, we want to </w:t>
      </w:r>
      <w:r w:rsidR="00014CD7">
        <w:t xml:space="preserve">be confident </w:t>
      </w:r>
      <w:r>
        <w:t>that our reporting entities understand their obligations.</w:t>
      </w:r>
    </w:p>
    <w:p w:rsidR="00BD5124" w:rsidRDefault="00014CD7" w:rsidP="00B375F1">
      <w:r>
        <w:t>O</w:t>
      </w:r>
      <w:r w:rsidR="00A70465">
        <w:t xml:space="preserve">ur </w:t>
      </w:r>
      <w:r w:rsidR="001D4147">
        <w:t>2014</w:t>
      </w:r>
      <w:r w:rsidR="00AE71A9">
        <w:t xml:space="preserve"> survey</w:t>
      </w:r>
      <w:r w:rsidR="00A70465">
        <w:t xml:space="preserve"> </w:t>
      </w:r>
      <w:r w:rsidR="001D4147">
        <w:t>focus</w:t>
      </w:r>
      <w:r>
        <w:t>ed</w:t>
      </w:r>
      <w:r w:rsidR="001D4147">
        <w:t xml:space="preserve"> o</w:t>
      </w:r>
      <w:r w:rsidR="00BD5124">
        <w:t>n four areas</w:t>
      </w:r>
      <w:r w:rsidR="008235EA">
        <w:t xml:space="preserve"> and </w:t>
      </w:r>
      <w:r w:rsidR="000633AE">
        <w:t xml:space="preserve">we </w:t>
      </w:r>
      <w:r>
        <w:t>repeated</w:t>
      </w:r>
      <w:r w:rsidR="000633AE">
        <w:t xml:space="preserve"> them </w:t>
      </w:r>
      <w:r>
        <w:t>this year</w:t>
      </w:r>
      <w:r w:rsidR="001D4147">
        <w:t>:</w:t>
      </w:r>
    </w:p>
    <w:p w:rsidR="001D4147" w:rsidRDefault="00B74C67" w:rsidP="00A70465">
      <w:pPr>
        <w:pStyle w:val="ListParagraph"/>
        <w:numPr>
          <w:ilvl w:val="0"/>
          <w:numId w:val="46"/>
        </w:numPr>
        <w:spacing w:after="0"/>
      </w:pPr>
      <w:r>
        <w:t>How would you rate your business’s u</w:t>
      </w:r>
      <w:r w:rsidR="001D4147">
        <w:t>nderstanding of conducting a risk assessment</w:t>
      </w:r>
      <w:r w:rsidR="00EE0D7F">
        <w:t xml:space="preserve"> to assess the </w:t>
      </w:r>
      <w:r>
        <w:t xml:space="preserve">money laundering and terrorist financing risks your business </w:t>
      </w:r>
      <w:r w:rsidR="00EE0D7F">
        <w:t>reasonably expects to face</w:t>
      </w:r>
      <w:r>
        <w:t>?</w:t>
      </w:r>
    </w:p>
    <w:p w:rsidR="001D4147" w:rsidRDefault="00B74C67" w:rsidP="00A70465">
      <w:pPr>
        <w:pStyle w:val="ListParagraph"/>
        <w:numPr>
          <w:ilvl w:val="0"/>
          <w:numId w:val="46"/>
        </w:numPr>
        <w:spacing w:after="0"/>
      </w:pPr>
      <w:r>
        <w:t>How would you rate your business’s u</w:t>
      </w:r>
      <w:r w:rsidR="001D4147">
        <w:t>nderstanding of develo</w:t>
      </w:r>
      <w:r w:rsidR="00EE0D7F">
        <w:t xml:space="preserve">ping and regularly reviewing </w:t>
      </w:r>
      <w:r>
        <w:t xml:space="preserve">the </w:t>
      </w:r>
      <w:r w:rsidR="001D4147">
        <w:t>AML/CFT Programme</w:t>
      </w:r>
      <w:r>
        <w:t xml:space="preserve"> for your business?</w:t>
      </w:r>
    </w:p>
    <w:p w:rsidR="001D4147" w:rsidRDefault="00B74C67" w:rsidP="00A70465">
      <w:pPr>
        <w:pStyle w:val="ListParagraph"/>
        <w:numPr>
          <w:ilvl w:val="0"/>
          <w:numId w:val="46"/>
        </w:numPr>
        <w:spacing w:after="0"/>
      </w:pPr>
      <w:r>
        <w:t>How would you rate your business’s u</w:t>
      </w:r>
      <w:r w:rsidR="001D4147">
        <w:t xml:space="preserve">nderstanding </w:t>
      </w:r>
      <w:r>
        <w:t xml:space="preserve">of the </w:t>
      </w:r>
      <w:r w:rsidR="001D4147">
        <w:t>information</w:t>
      </w:r>
      <w:r>
        <w:t xml:space="preserve"> you need to provide in </w:t>
      </w:r>
      <w:r w:rsidR="00A70465">
        <w:t xml:space="preserve">your </w:t>
      </w:r>
      <w:r w:rsidR="001D4147">
        <w:t>Annual Report</w:t>
      </w:r>
      <w:r>
        <w:t xml:space="preserve"> to the Sector Supervisor (i.e. </w:t>
      </w:r>
      <w:r w:rsidR="00AE71A9">
        <w:t xml:space="preserve">to </w:t>
      </w:r>
      <w:r w:rsidR="00EF55FE">
        <w:t>the Department</w:t>
      </w:r>
      <w:r>
        <w:t>)?</w:t>
      </w:r>
    </w:p>
    <w:p w:rsidR="001D4147" w:rsidRDefault="00B74C67" w:rsidP="00A70465">
      <w:pPr>
        <w:pStyle w:val="ListParagraph"/>
        <w:numPr>
          <w:ilvl w:val="0"/>
          <w:numId w:val="46"/>
        </w:numPr>
        <w:spacing w:after="0"/>
      </w:pPr>
      <w:r>
        <w:t>How would you rate your business’s u</w:t>
      </w:r>
      <w:r w:rsidR="001D4147">
        <w:t>nderstanding of the requirement to submit Suspicious Transaction</w:t>
      </w:r>
      <w:r>
        <w:t>s</w:t>
      </w:r>
      <w:r w:rsidR="001D4147">
        <w:t xml:space="preserve"> Reports (STRs) to the Police Financial Intelligence Unit</w:t>
      </w:r>
      <w:r w:rsidR="00EE0D7F">
        <w:t xml:space="preserve"> (FIU)</w:t>
      </w:r>
      <w:r>
        <w:t>?</w:t>
      </w:r>
    </w:p>
    <w:p w:rsidR="000251C1" w:rsidRDefault="000251C1" w:rsidP="000251C1">
      <w:pPr>
        <w:pStyle w:val="ListParagraph"/>
        <w:spacing w:after="0"/>
        <w:ind w:left="720"/>
      </w:pPr>
    </w:p>
    <w:p w:rsidR="00A72F05" w:rsidRPr="00F16394" w:rsidRDefault="008210D9" w:rsidP="00B375F1">
      <w:pPr>
        <w:rPr>
          <w:b/>
        </w:rPr>
      </w:pPr>
      <w:r>
        <w:rPr>
          <w:b/>
        </w:rPr>
        <w:t>Figure 6</w:t>
      </w:r>
      <w:r w:rsidR="00F16394" w:rsidRPr="00F16394">
        <w:rPr>
          <w:b/>
        </w:rPr>
        <w:t xml:space="preserve">: Comparison of </w:t>
      </w:r>
      <w:r w:rsidR="007B164E">
        <w:rPr>
          <w:b/>
        </w:rPr>
        <w:t xml:space="preserve">individual </w:t>
      </w:r>
      <w:r w:rsidR="00F16394" w:rsidRPr="00F16394">
        <w:rPr>
          <w:b/>
        </w:rPr>
        <w:t>average awareness ratings</w:t>
      </w:r>
    </w:p>
    <w:p w:rsidR="00E14873" w:rsidRDefault="00F16394" w:rsidP="00B375F1">
      <w:r>
        <w:rPr>
          <w:noProof/>
          <w:lang w:eastAsia="en-NZ"/>
        </w:rPr>
        <w:drawing>
          <wp:inline distT="0" distB="0" distL="0" distR="0" wp14:anchorId="60A147D0" wp14:editId="264CD5CC">
            <wp:extent cx="5760085" cy="3849903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8E" w:rsidRDefault="008210D9" w:rsidP="00A3218E">
      <w:r>
        <w:t>Figure 6</w:t>
      </w:r>
      <w:r w:rsidR="00A72F05">
        <w:t xml:space="preserve"> shows average individ</w:t>
      </w:r>
      <w:r w:rsidR="000251C1">
        <w:t xml:space="preserve">ual ratings for 2014 and 2015 for </w:t>
      </w:r>
      <w:r w:rsidR="00A72F05">
        <w:t>each of the focus area questions.</w:t>
      </w:r>
      <w:r w:rsidR="00A3218E">
        <w:t xml:space="preserve"> Subsector averages </w:t>
      </w:r>
      <w:r w:rsidR="000251C1">
        <w:t xml:space="preserve">are provided </w:t>
      </w:r>
      <w:r w:rsidR="00A3218E">
        <w:t>in the Support Document - Figure</w:t>
      </w:r>
      <w:r w:rsidR="000251C1">
        <w:t>s</w:t>
      </w:r>
      <w:r w:rsidR="00A23A01">
        <w:t xml:space="preserve"> 6.1- 6</w:t>
      </w:r>
      <w:r w:rsidR="00A3218E">
        <w:t>.4.</w:t>
      </w:r>
    </w:p>
    <w:p w:rsidR="000251C1" w:rsidRDefault="000251C1" w:rsidP="00A3218E"/>
    <w:p w:rsidR="000251C1" w:rsidRDefault="000251C1" w:rsidP="00A3218E"/>
    <w:p w:rsidR="00A72F05" w:rsidRDefault="00A72F05" w:rsidP="00A72F05">
      <w:pPr>
        <w:spacing w:before="0"/>
      </w:pPr>
      <w:r>
        <w:t>Questions use a self-rating scale from 1-5, with 1 being low and 5 being high:</w:t>
      </w:r>
    </w:p>
    <w:p w:rsidR="00A72F05" w:rsidRDefault="00A72F05" w:rsidP="00A72F05">
      <w:pPr>
        <w:pStyle w:val="ListParagraph"/>
        <w:numPr>
          <w:ilvl w:val="0"/>
          <w:numId w:val="47"/>
        </w:numPr>
        <w:spacing w:before="0"/>
      </w:pPr>
      <w:r>
        <w:t>No understanding at all</w:t>
      </w:r>
    </w:p>
    <w:p w:rsidR="00A72F05" w:rsidRDefault="00A72F05" w:rsidP="00A72F05">
      <w:pPr>
        <w:pStyle w:val="ListParagraph"/>
        <w:numPr>
          <w:ilvl w:val="0"/>
          <w:numId w:val="47"/>
        </w:numPr>
        <w:spacing w:before="0"/>
      </w:pPr>
      <w:r>
        <w:t>Very little understanding of the requirements</w:t>
      </w:r>
    </w:p>
    <w:p w:rsidR="00A72F05" w:rsidRDefault="00A72F05" w:rsidP="00A72F05">
      <w:pPr>
        <w:pStyle w:val="ListParagraph"/>
        <w:numPr>
          <w:ilvl w:val="0"/>
          <w:numId w:val="47"/>
        </w:numPr>
        <w:spacing w:before="0"/>
      </w:pPr>
      <w:r>
        <w:t>Some understanding of the requirements</w:t>
      </w:r>
    </w:p>
    <w:p w:rsidR="00A72F05" w:rsidRDefault="00A72F05" w:rsidP="00A72F05">
      <w:pPr>
        <w:pStyle w:val="ListParagraph"/>
        <w:numPr>
          <w:ilvl w:val="0"/>
          <w:numId w:val="47"/>
        </w:numPr>
        <w:spacing w:before="0"/>
      </w:pPr>
      <w:r>
        <w:t>A reasonable understanding of the requirements</w:t>
      </w:r>
    </w:p>
    <w:p w:rsidR="00A72F05" w:rsidRDefault="00A72F05" w:rsidP="00A72F05">
      <w:pPr>
        <w:pStyle w:val="ListParagraph"/>
        <w:numPr>
          <w:ilvl w:val="0"/>
          <w:numId w:val="47"/>
        </w:numPr>
        <w:spacing w:before="0"/>
      </w:pPr>
      <w:r>
        <w:t>An extremely good understanding of the requirements</w:t>
      </w:r>
    </w:p>
    <w:p w:rsidR="008E7137" w:rsidRDefault="00A72F05" w:rsidP="00A72F05">
      <w:r>
        <w:t>Each rating question was followed by the opportunity for respondents to include a comment about that area. This enabled us to collect additional, specific information.</w:t>
      </w:r>
    </w:p>
    <w:p w:rsidR="000251C1" w:rsidRDefault="000251C1" w:rsidP="00A72F0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6CD53" wp14:editId="6EDFDE1D">
                <wp:simplePos x="0" y="0"/>
                <wp:positionH relativeFrom="column">
                  <wp:posOffset>-90805</wp:posOffset>
                </wp:positionH>
                <wp:positionV relativeFrom="paragraph">
                  <wp:posOffset>122555</wp:posOffset>
                </wp:positionV>
                <wp:extent cx="5695950" cy="809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13B" w:rsidRPr="00CD6F2A" w:rsidRDefault="0038713B" w:rsidP="00C353FF">
                            <w:pPr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</w:pPr>
                            <w:r w:rsidRPr="00CD6F2A">
                              <w:rPr>
                                <w:b/>
                                <w:color w:val="1F546B" w:themeColor="text2"/>
                                <w:sz w:val="28"/>
                                <w:szCs w:val="28"/>
                              </w:rPr>
                              <w:t>Reporting entities have maintained or improved their understanding of four important obligations under the 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3" o:spid="_x0000_s1030" style="position:absolute;margin-left:-7.15pt;margin-top:9.65pt;width:448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" fillcolor="white [3201]" strokecolor="#1f546b [3215]" strokeweight="1.5pt">
                <v:textbox>
                  <w:txbxContent>
                    <w:p w:rsidR="0038713B" w:rsidRPr="00CD6F2A" w:rsidRDefault="0038713B" w:rsidP="00C353FF">
                      <w:pPr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</w:pPr>
                      <w:r w:rsidRPr="00CD6F2A">
                        <w:rPr>
                          <w:b/>
                          <w:color w:val="1F546B" w:themeColor="text2"/>
                          <w:sz w:val="28"/>
                          <w:szCs w:val="28"/>
                        </w:rPr>
                        <w:t>Reporting entities have maintained or improved their understanding of four important obligations under the Act.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1C1" w:rsidRDefault="000251C1" w:rsidP="00A72F05"/>
    <w:p w:rsidR="000251C1" w:rsidRDefault="000251C1" w:rsidP="00A72F05"/>
    <w:p w:rsidR="00B375F1" w:rsidRPr="003014B1" w:rsidRDefault="00B375F1" w:rsidP="004F3AD4">
      <w:pPr>
        <w:pStyle w:val="Heading2"/>
        <w:rPr>
          <w:b w:val="0"/>
          <w:color w:val="1F546B" w:themeColor="text2"/>
          <w:szCs w:val="36"/>
        </w:rPr>
      </w:pPr>
      <w:bookmarkStart w:id="6" w:name="_Toc447178481"/>
      <w:r w:rsidRPr="003014B1">
        <w:rPr>
          <w:color w:val="1F546B" w:themeColor="text2"/>
          <w:szCs w:val="36"/>
        </w:rPr>
        <w:t>Risk Assessment</w:t>
      </w:r>
      <w:bookmarkEnd w:id="6"/>
    </w:p>
    <w:p w:rsidR="00F51FD3" w:rsidRDefault="00F51FD3" w:rsidP="00B375F1">
      <w:r>
        <w:t>There has been a slight reduction in individual respondent</w:t>
      </w:r>
      <w:r w:rsidR="00CF4444">
        <w:t>’</w:t>
      </w:r>
      <w:r>
        <w:t>s confidence ratings compared to last year</w:t>
      </w:r>
      <w:r w:rsidR="007B164E">
        <w:t>, from 4.17 to 4.11</w:t>
      </w:r>
      <w:r>
        <w:t>.</w:t>
      </w:r>
    </w:p>
    <w:p w:rsidR="002545D6" w:rsidRDefault="005E3AF2" w:rsidP="00B375F1">
      <w:r>
        <w:t>Overall t</w:t>
      </w:r>
      <w:r w:rsidR="005A4E91">
        <w:t xml:space="preserve">here is a high degree of </w:t>
      </w:r>
      <w:r>
        <w:t xml:space="preserve">reported </w:t>
      </w:r>
      <w:r w:rsidR="005A4E91">
        <w:t xml:space="preserve">confidence </w:t>
      </w:r>
      <w:r>
        <w:t>from individual</w:t>
      </w:r>
      <w:r w:rsidR="005A4E91">
        <w:t xml:space="preserve"> r</w:t>
      </w:r>
      <w:r>
        <w:t xml:space="preserve">espondents, with 85 per cent </w:t>
      </w:r>
      <w:r w:rsidR="005A4E91">
        <w:t>rating their understanding as reasonable or extremely good.</w:t>
      </w:r>
    </w:p>
    <w:p w:rsidR="00A72282" w:rsidRDefault="00DC7A2A" w:rsidP="00B375F1">
      <w:r>
        <w:t>E</w:t>
      </w:r>
      <w:r w:rsidR="00C044AA">
        <w:t>ighty comments were provided</w:t>
      </w:r>
      <w:r>
        <w:t xml:space="preserve"> linked to</w:t>
      </w:r>
      <w:r w:rsidR="009F05B9">
        <w:t xml:space="preserve"> the</w:t>
      </w:r>
      <w:r>
        <w:t xml:space="preserve"> risk assessment</w:t>
      </w:r>
      <w:r w:rsidR="00C044AA">
        <w:t xml:space="preserve">. Some comments offer reflection on the learning process their business has been though. Others state that they are small, low risk entities. Many refer to helpful sources (both </w:t>
      </w:r>
      <w:r w:rsidR="009F05B9">
        <w:t xml:space="preserve">from </w:t>
      </w:r>
      <w:r w:rsidR="00EF55FE">
        <w:t>the Department</w:t>
      </w:r>
      <w:r w:rsidR="00C044AA">
        <w:t xml:space="preserve"> and others) that they have used to support compliance.</w:t>
      </w:r>
    </w:p>
    <w:p w:rsidR="00071184" w:rsidRDefault="00071184" w:rsidP="00B375F1"/>
    <w:p w:rsidR="00CF4444" w:rsidRDefault="00331F77" w:rsidP="00331F77">
      <w:pPr>
        <w:ind w:left="1134" w:firstLine="567"/>
      </w:pPr>
      <w:r>
        <w:rPr>
          <w:noProof/>
          <w:lang w:eastAsia="en-NZ"/>
        </w:rPr>
        <w:drawing>
          <wp:inline distT="0" distB="0" distL="0" distR="0" wp14:anchorId="72483BB2" wp14:editId="6EDDCB65">
            <wp:extent cx="3310415" cy="1201016"/>
            <wp:effectExtent l="0" t="0" r="4445" b="0"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10415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F1" w:rsidRPr="009D5F2B" w:rsidRDefault="00B375F1" w:rsidP="004F3AD4">
      <w:pPr>
        <w:pStyle w:val="Heading2"/>
        <w:rPr>
          <w:color w:val="1F546B" w:themeColor="text2"/>
          <w:szCs w:val="36"/>
        </w:rPr>
      </w:pPr>
      <w:bookmarkStart w:id="7" w:name="_Toc447178482"/>
      <w:r w:rsidRPr="003014B1">
        <w:rPr>
          <w:color w:val="1F546B" w:themeColor="text2"/>
          <w:szCs w:val="36"/>
        </w:rPr>
        <w:t>AML/CFT Programme</w:t>
      </w:r>
      <w:bookmarkEnd w:id="7"/>
    </w:p>
    <w:p w:rsidR="007B164E" w:rsidRDefault="001D113B" w:rsidP="00B375F1">
      <w:r>
        <w:t>Self-reported understanding</w:t>
      </w:r>
      <w:r w:rsidR="00FB6FA7">
        <w:t xml:space="preserve"> for individual respondents </w:t>
      </w:r>
      <w:r>
        <w:t>in 2014 was high and has remained constant this year</w:t>
      </w:r>
      <w:r w:rsidR="00FB6FA7">
        <w:t xml:space="preserve"> at </w:t>
      </w:r>
      <w:r w:rsidR="000251C1">
        <w:t xml:space="preserve">an average of </w:t>
      </w:r>
      <w:r w:rsidR="00FB6FA7">
        <w:t>4.03</w:t>
      </w:r>
      <w:r>
        <w:t xml:space="preserve">. </w:t>
      </w:r>
    </w:p>
    <w:p w:rsidR="00A72282" w:rsidRDefault="001D113B" w:rsidP="00B375F1">
      <w:r>
        <w:t>Almost eighty percent are confident in rating their understanding as reasonable or extremely good.</w:t>
      </w:r>
    </w:p>
    <w:p w:rsidR="00D51CEC" w:rsidRDefault="009A5E70" w:rsidP="00D51CEC">
      <w:r>
        <w:t>Sixty two comme</w:t>
      </w:r>
      <w:r w:rsidR="007B164E">
        <w:t>nts were provided. They reflect</w:t>
      </w:r>
      <w:r>
        <w:t xml:space="preserve"> the</w:t>
      </w:r>
      <w:r w:rsidR="009B5007">
        <w:t xml:space="preserve"> </w:t>
      </w:r>
      <w:r w:rsidR="00A61D81">
        <w:t xml:space="preserve">range of support </w:t>
      </w:r>
      <w:r>
        <w:t xml:space="preserve">sources </w:t>
      </w:r>
      <w:r w:rsidR="009B5007">
        <w:t>being used in this area (</w:t>
      </w:r>
      <w:r>
        <w:t>includ</w:t>
      </w:r>
      <w:r w:rsidR="00FE0A21">
        <w:t>ing</w:t>
      </w:r>
      <w:r>
        <w:t xml:space="preserve"> </w:t>
      </w:r>
      <w:r w:rsidR="00EF55FE">
        <w:t>Department</w:t>
      </w:r>
      <w:r w:rsidR="009B5007">
        <w:t xml:space="preserve"> and non-D</w:t>
      </w:r>
      <w:r w:rsidR="00EF55FE">
        <w:t>epartment</w:t>
      </w:r>
      <w:r w:rsidR="009B5007">
        <w:t xml:space="preserve"> sour</w:t>
      </w:r>
      <w:r w:rsidR="00C63F3E">
        <w:t>ces). Some respondents provided</w:t>
      </w:r>
      <w:r w:rsidR="009B5007">
        <w:t xml:space="preserve"> details of the challenges</w:t>
      </w:r>
      <w:r w:rsidR="00C63F3E">
        <w:t xml:space="preserve"> experienced</w:t>
      </w:r>
      <w:r w:rsidR="009B5007">
        <w:t xml:space="preserve"> and </w:t>
      </w:r>
      <w:r w:rsidR="00C63F3E">
        <w:t>approach taken.</w:t>
      </w:r>
      <w:r w:rsidR="009B5007">
        <w:t xml:space="preserve"> </w:t>
      </w:r>
    </w:p>
    <w:p w:rsidR="00E9040A" w:rsidRDefault="00E9040A" w:rsidP="00D51CEC"/>
    <w:p w:rsidR="00D51CEC" w:rsidRDefault="00331F77" w:rsidP="00D51CEC">
      <w:r>
        <w:rPr>
          <w:noProof/>
          <w:lang w:eastAsia="en-NZ"/>
        </w:rPr>
        <w:drawing>
          <wp:inline distT="0" distB="0" distL="0" distR="0" wp14:anchorId="01B88CBC" wp14:editId="30BF52E9">
            <wp:extent cx="5760085" cy="1088016"/>
            <wp:effectExtent l="0" t="0" r="0" b="0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F1" w:rsidRPr="009D5F2B" w:rsidRDefault="005209E3" w:rsidP="009D5F2B">
      <w:pPr>
        <w:pStyle w:val="Heading2"/>
        <w:rPr>
          <w:color w:val="1F546B" w:themeColor="text2"/>
          <w:szCs w:val="36"/>
        </w:rPr>
      </w:pPr>
      <w:bookmarkStart w:id="8" w:name="_Toc447178483"/>
      <w:r w:rsidRPr="009D5F2B">
        <w:rPr>
          <w:color w:val="1F546B" w:themeColor="text2"/>
          <w:szCs w:val="36"/>
        </w:rPr>
        <w:t>Annual Report</w:t>
      </w:r>
      <w:bookmarkEnd w:id="8"/>
    </w:p>
    <w:p w:rsidR="00A61D81" w:rsidRDefault="00AE506F" w:rsidP="00AA2519">
      <w:r>
        <w:t xml:space="preserve">Self-reported understanding for individual respondents </w:t>
      </w:r>
      <w:r w:rsidR="00AA2519">
        <w:t xml:space="preserve">in 2014 was in the mid-range (average </w:t>
      </w:r>
      <w:r>
        <w:t xml:space="preserve">of 3.33) and shows an increased </w:t>
      </w:r>
      <w:r w:rsidR="00AA2519">
        <w:t>rating</w:t>
      </w:r>
      <w:r>
        <w:t xml:space="preserve"> this year to</w:t>
      </w:r>
      <w:r w:rsidR="008E7137">
        <w:t xml:space="preserve"> an average of </w:t>
      </w:r>
      <w:r>
        <w:t xml:space="preserve">3.90. </w:t>
      </w:r>
    </w:p>
    <w:p w:rsidR="00AB6691" w:rsidRDefault="00AE506F" w:rsidP="00AA2519">
      <w:r>
        <w:t xml:space="preserve">Seventy five </w:t>
      </w:r>
      <w:r w:rsidR="00AA2519">
        <w:t>per cent of respondents are confident in rating their understanding as reasonable or extremely good.</w:t>
      </w:r>
    </w:p>
    <w:p w:rsidR="00DB6B45" w:rsidRDefault="00BD4662" w:rsidP="00DB6B45">
      <w:r>
        <w:t>Respondents complet</w:t>
      </w:r>
      <w:r w:rsidR="008E7137">
        <w:t xml:space="preserve">ing </w:t>
      </w:r>
      <w:r w:rsidR="00DB6B45">
        <w:t>the survey in 2014 had no</w:t>
      </w:r>
      <w:r w:rsidR="00FE0A21">
        <w:t>t yet</w:t>
      </w:r>
      <w:r w:rsidR="00DB6B45">
        <w:t xml:space="preserve"> </w:t>
      </w:r>
      <w:r w:rsidR="00FE0A21">
        <w:t>submitted an</w:t>
      </w:r>
      <w:r w:rsidR="00DB6B45">
        <w:t xml:space="preserve"> annual report</w:t>
      </w:r>
      <w:r>
        <w:t xml:space="preserve"> and this was reflected in the lowest ratings</w:t>
      </w:r>
      <w:r w:rsidR="00A61D81">
        <w:t xml:space="preserve"> of the four areas. </w:t>
      </w:r>
      <w:r>
        <w:t>A year later, o</w:t>
      </w:r>
      <w:r w:rsidR="00DB6B45">
        <w:t xml:space="preserve">ne annual report submission </w:t>
      </w:r>
      <w:r>
        <w:t xml:space="preserve">cycle has been completed </w:t>
      </w:r>
      <w:r w:rsidR="00DB6B45">
        <w:t>(August 2014)</w:t>
      </w:r>
      <w:r>
        <w:t xml:space="preserve"> and this process has improved </w:t>
      </w:r>
      <w:r w:rsidR="00A61D81">
        <w:t>respondent</w:t>
      </w:r>
      <w:r w:rsidR="00DC7A2A">
        <w:t>s</w:t>
      </w:r>
      <w:r w:rsidR="00A61D81">
        <w:t xml:space="preserve">’ </w:t>
      </w:r>
      <w:r>
        <w:t>understanding.</w:t>
      </w:r>
    </w:p>
    <w:p w:rsidR="004A4747" w:rsidRDefault="008E7137" w:rsidP="004A4747">
      <w:r>
        <w:t>Some c</w:t>
      </w:r>
      <w:r w:rsidR="00DC7A2A">
        <w:t xml:space="preserve">omments </w:t>
      </w:r>
      <w:r w:rsidR="009E3CAD">
        <w:t>indicate that the Department’s</w:t>
      </w:r>
      <w:r w:rsidR="00564F4D">
        <w:t xml:space="preserve"> templates and guidelines have been helpful in supporting bu</w:t>
      </w:r>
      <w:r w:rsidR="00C63F3E">
        <w:t xml:space="preserve">sinesses through the process. </w:t>
      </w:r>
      <w:r w:rsidR="004A4747">
        <w:t>Others say they find it confusing and not easily applied to their business.</w:t>
      </w:r>
    </w:p>
    <w:p w:rsidR="00071184" w:rsidRDefault="00071184" w:rsidP="004A4747"/>
    <w:p w:rsidR="00331F77" w:rsidRPr="00331F77" w:rsidRDefault="00331F77" w:rsidP="002402F5">
      <w:r>
        <w:rPr>
          <w:noProof/>
          <w:lang w:eastAsia="en-NZ"/>
        </w:rPr>
        <w:drawing>
          <wp:inline distT="0" distB="0" distL="0" distR="0" wp14:anchorId="544BFF13" wp14:editId="0285639B">
            <wp:extent cx="3627434" cy="1201016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7434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77" w:rsidRDefault="00331F77" w:rsidP="002402F5">
      <w:pPr>
        <w:ind w:left="2835" w:firstLine="567"/>
        <w:rPr>
          <w:color w:val="1F546B" w:themeColor="text2"/>
        </w:rPr>
      </w:pPr>
      <w:r>
        <w:rPr>
          <w:noProof/>
          <w:lang w:eastAsia="en-NZ"/>
        </w:rPr>
        <w:drawing>
          <wp:inline distT="0" distB="0" distL="0" distR="0" wp14:anchorId="25FA15C5" wp14:editId="0621DF24">
            <wp:extent cx="3432345" cy="1036410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32345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77" w:rsidRDefault="00331F77" w:rsidP="004F3AD4">
      <w:pPr>
        <w:pStyle w:val="Heading2"/>
        <w:rPr>
          <w:color w:val="1F546B" w:themeColor="text2"/>
          <w:sz w:val="24"/>
          <w:szCs w:val="24"/>
        </w:rPr>
      </w:pPr>
    </w:p>
    <w:p w:rsidR="00071184" w:rsidRPr="00071184" w:rsidRDefault="00071184" w:rsidP="00071184"/>
    <w:p w:rsidR="00AA2519" w:rsidRPr="009D5F2B" w:rsidRDefault="00B375F1" w:rsidP="004F3AD4">
      <w:pPr>
        <w:pStyle w:val="Heading2"/>
        <w:rPr>
          <w:color w:val="1F546B" w:themeColor="text2"/>
          <w:szCs w:val="36"/>
        </w:rPr>
      </w:pPr>
      <w:bookmarkStart w:id="9" w:name="_Toc447178484"/>
      <w:r w:rsidRPr="003014B1">
        <w:rPr>
          <w:color w:val="1F546B" w:themeColor="text2"/>
          <w:szCs w:val="36"/>
        </w:rPr>
        <w:t>Submitting Suspicious Transaction Reports</w:t>
      </w:r>
      <w:bookmarkEnd w:id="9"/>
    </w:p>
    <w:p w:rsidR="00AA2519" w:rsidRDefault="00AA2519" w:rsidP="00AA2519">
      <w:r>
        <w:t xml:space="preserve">Self-reported understanding </w:t>
      </w:r>
      <w:r w:rsidR="00AB6691">
        <w:t xml:space="preserve">for individuals </w:t>
      </w:r>
      <w:r>
        <w:t>in 2014 was relatively high and has remained const</w:t>
      </w:r>
      <w:r w:rsidR="00AB6691">
        <w:t xml:space="preserve">ant this year at </w:t>
      </w:r>
      <w:r w:rsidR="008E7137">
        <w:t xml:space="preserve">an average of </w:t>
      </w:r>
      <w:r w:rsidR="00AB6691">
        <w:t>3.95.</w:t>
      </w:r>
    </w:p>
    <w:p w:rsidR="00564F4D" w:rsidRDefault="0037677A" w:rsidP="00A72282">
      <w:r>
        <w:t>Seventy six per cent of</w:t>
      </w:r>
      <w:r w:rsidR="003A5A72">
        <w:t xml:space="preserve"> </w:t>
      </w:r>
      <w:r w:rsidR="00AA2519" w:rsidRPr="005347E9">
        <w:t>respondents are confident in rating their understanding as reasonable or extremel</w:t>
      </w:r>
      <w:r>
        <w:t>y good</w:t>
      </w:r>
      <w:r w:rsidR="00AA2519" w:rsidRPr="005347E9">
        <w:t>.</w:t>
      </w:r>
    </w:p>
    <w:p w:rsidR="00071184" w:rsidRDefault="00071184" w:rsidP="00A72282"/>
    <w:p w:rsidR="0037677A" w:rsidRDefault="00071184" w:rsidP="00071184">
      <w:pPr>
        <w:ind w:left="1134" w:firstLine="567"/>
      </w:pPr>
      <w:r>
        <w:rPr>
          <w:noProof/>
          <w:lang w:eastAsia="en-NZ"/>
        </w:rPr>
        <w:drawing>
          <wp:inline distT="0" distB="0" distL="0" distR="0" wp14:anchorId="214BEB94" wp14:editId="2F640118">
            <wp:extent cx="3182388" cy="755970"/>
            <wp:effectExtent l="0" t="0" r="0" b="635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82388" cy="7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82" w:rsidRPr="009D5F2B" w:rsidRDefault="000C1D3A" w:rsidP="003014B1">
      <w:pPr>
        <w:pStyle w:val="Heading2"/>
        <w:rPr>
          <w:color w:val="1F546B" w:themeColor="text2"/>
          <w:szCs w:val="36"/>
        </w:rPr>
      </w:pPr>
      <w:bookmarkStart w:id="10" w:name="_Toc447178485"/>
      <w:r w:rsidRPr="003014B1">
        <w:rPr>
          <w:color w:val="1F546B" w:themeColor="text2"/>
          <w:szCs w:val="36"/>
        </w:rPr>
        <w:t>S</w:t>
      </w:r>
      <w:r w:rsidR="00A72282" w:rsidRPr="003014B1">
        <w:rPr>
          <w:color w:val="1F546B" w:themeColor="text2"/>
          <w:szCs w:val="36"/>
        </w:rPr>
        <w:t>ubsector</w:t>
      </w:r>
      <w:r w:rsidRPr="003014B1">
        <w:rPr>
          <w:color w:val="1F546B" w:themeColor="text2"/>
          <w:szCs w:val="36"/>
        </w:rPr>
        <w:t xml:space="preserve"> ratings</w:t>
      </w:r>
      <w:bookmarkEnd w:id="10"/>
    </w:p>
    <w:p w:rsidR="00A72282" w:rsidRDefault="00EF55FE" w:rsidP="00A72282">
      <w:pPr>
        <w:spacing w:after="0"/>
      </w:pPr>
      <w:r>
        <w:t>The Department</w:t>
      </w:r>
      <w:r w:rsidR="00EC7556">
        <w:t xml:space="preserve">’s </w:t>
      </w:r>
      <w:r w:rsidR="00A72282">
        <w:t>three highest risk subsectors</w:t>
      </w:r>
      <w:r w:rsidR="00EC7556">
        <w:rPr>
          <w:rStyle w:val="FootnoteReference"/>
        </w:rPr>
        <w:footnoteReference w:id="2"/>
      </w:r>
      <w:r w:rsidR="001B24EC">
        <w:t xml:space="preserve"> </w:t>
      </w:r>
      <w:r w:rsidR="00A72282">
        <w:t>a</w:t>
      </w:r>
      <w:r w:rsidR="00EC7556">
        <w:t>re</w:t>
      </w:r>
      <w:r w:rsidR="00A72282">
        <w:t xml:space="preserve"> Remitters, Trust and Company Service Providers</w:t>
      </w:r>
      <w:r w:rsidR="0064161A">
        <w:t>,</w:t>
      </w:r>
      <w:r w:rsidR="00A72282">
        <w:t xml:space="preserve"> and Casino</w:t>
      </w:r>
      <w:r w:rsidR="0064161A">
        <w:t>s</w:t>
      </w:r>
      <w:r w:rsidR="00A72282">
        <w:t xml:space="preserve">. </w:t>
      </w:r>
      <w:r w:rsidR="00CE6209">
        <w:t>At the time we carried out</w:t>
      </w:r>
      <w:r w:rsidR="006A2BC2">
        <w:t xml:space="preserve"> the survey, t</w:t>
      </w:r>
      <w:r w:rsidR="00A72282">
        <w:t xml:space="preserve">hese </w:t>
      </w:r>
      <w:r w:rsidR="006A2BC2">
        <w:t>mad</w:t>
      </w:r>
      <w:r w:rsidR="00A72282">
        <w:t xml:space="preserve">e up </w:t>
      </w:r>
      <w:r w:rsidR="001B6CB8">
        <w:t xml:space="preserve">approximately </w:t>
      </w:r>
      <w:r w:rsidR="00A72282">
        <w:t xml:space="preserve">23 per cent of </w:t>
      </w:r>
      <w:r w:rsidR="00025C2C">
        <w:t>the known reporting</w:t>
      </w:r>
      <w:r w:rsidR="00A72282">
        <w:t xml:space="preserve"> entities</w:t>
      </w:r>
      <w:r w:rsidR="00025C2C">
        <w:t xml:space="preserve"> that</w:t>
      </w:r>
      <w:r w:rsidR="00A72282">
        <w:t xml:space="preserve"> </w:t>
      </w:r>
      <w:r w:rsidR="000C1D3A">
        <w:t xml:space="preserve">we </w:t>
      </w:r>
      <w:r w:rsidR="00A72282">
        <w:t>supervis</w:t>
      </w:r>
      <w:r w:rsidR="000C1D3A">
        <w:t>e</w:t>
      </w:r>
      <w:r w:rsidR="006A2BC2">
        <w:t xml:space="preserve"> and </w:t>
      </w:r>
      <w:r w:rsidR="00A72282">
        <w:t xml:space="preserve">are adequately </w:t>
      </w:r>
      <w:r w:rsidR="0037677A">
        <w:t>represented in our survey</w:t>
      </w:r>
      <w:r w:rsidR="006A2BC2">
        <w:t xml:space="preserve"> sample</w:t>
      </w:r>
      <w:r w:rsidR="0037677A">
        <w:t xml:space="preserve"> (20</w:t>
      </w:r>
      <w:r w:rsidR="00A72282">
        <w:t xml:space="preserve"> per</w:t>
      </w:r>
      <w:r w:rsidR="0037677A">
        <w:t xml:space="preserve"> </w:t>
      </w:r>
      <w:r w:rsidR="00A72282">
        <w:t>cent of respondents).</w:t>
      </w:r>
    </w:p>
    <w:p w:rsidR="00A72282" w:rsidRDefault="00A72282" w:rsidP="00A72282">
      <w:r>
        <w:t>Casino</w:t>
      </w:r>
      <w:r w:rsidR="0064161A">
        <w:t>s</w:t>
      </w:r>
      <w:r>
        <w:t xml:space="preserve"> remain </w:t>
      </w:r>
      <w:r w:rsidR="000C1D3A">
        <w:t xml:space="preserve">one of the </w:t>
      </w:r>
      <w:r>
        <w:t>most confident subsector</w:t>
      </w:r>
      <w:r w:rsidR="000C1D3A">
        <w:t>s</w:t>
      </w:r>
      <w:r>
        <w:t xml:space="preserve"> </w:t>
      </w:r>
      <w:r w:rsidR="000C1D3A">
        <w:t xml:space="preserve">in rating their </w:t>
      </w:r>
      <w:r>
        <w:t>understanding of conducting a risk assessment (</w:t>
      </w:r>
      <w:r w:rsidR="008E7137">
        <w:t xml:space="preserve">average of </w:t>
      </w:r>
      <w:r>
        <w:t>4.75).</w:t>
      </w:r>
    </w:p>
    <w:p w:rsidR="00A72282" w:rsidRDefault="00A72282" w:rsidP="00A72282">
      <w:r>
        <w:t>Average ratings for risk assessment</w:t>
      </w:r>
      <w:r w:rsidR="0064161A">
        <w:t>s</w:t>
      </w:r>
      <w:r>
        <w:t xml:space="preserve"> for </w:t>
      </w:r>
      <w:r w:rsidR="000C1D3A">
        <w:t xml:space="preserve">each </w:t>
      </w:r>
      <w:r w:rsidR="009672FB">
        <w:t xml:space="preserve">of the high risk </w:t>
      </w:r>
      <w:r>
        <w:t>subsectors have reduced slightly</w:t>
      </w:r>
      <w:r w:rsidR="000C1D3A">
        <w:t xml:space="preserve"> this year</w:t>
      </w:r>
      <w:r>
        <w:t>, which is consistent with the individual respondent trend in our survey.</w:t>
      </w:r>
    </w:p>
    <w:p w:rsidR="009672FB" w:rsidRDefault="009672FB" w:rsidP="00225287">
      <w:r>
        <w:t xml:space="preserve">Overall, there are no </w:t>
      </w:r>
      <w:r w:rsidR="000B6991">
        <w:t xml:space="preserve">particular patterns or differences in </w:t>
      </w:r>
      <w:r w:rsidR="002C4900">
        <w:t xml:space="preserve">average </w:t>
      </w:r>
      <w:r w:rsidR="000B6991">
        <w:t xml:space="preserve">ratings </w:t>
      </w:r>
      <w:r w:rsidR="0064161A">
        <w:t xml:space="preserve">between </w:t>
      </w:r>
      <w:r w:rsidR="002C4900">
        <w:t>the sub sectors</w:t>
      </w:r>
      <w:r w:rsidR="000B6991">
        <w:t>.</w:t>
      </w:r>
      <w:r w:rsidR="002C4900">
        <w:t xml:space="preserve"> </w:t>
      </w:r>
    </w:p>
    <w:p w:rsidR="002C4900" w:rsidRPr="004B2860" w:rsidRDefault="002C4900" w:rsidP="002C4900">
      <w:r w:rsidRPr="004B2860">
        <w:t>Payroll had the lowest average ratings across all four questions</w:t>
      </w:r>
      <w:r w:rsidR="0037677A">
        <w:t xml:space="preserve">, </w:t>
      </w:r>
      <w:r w:rsidRPr="004B2860">
        <w:t>alth</w:t>
      </w:r>
      <w:r w:rsidR="0037677A">
        <w:t xml:space="preserve">ough this is a small subsector </w:t>
      </w:r>
      <w:r w:rsidRPr="004B2860">
        <w:t>representing less</w:t>
      </w:r>
      <w:r w:rsidR="0037677A">
        <w:t xml:space="preserve"> than 2 per cent of survey respondents</w:t>
      </w:r>
      <w:r w:rsidRPr="004B2860">
        <w:t>.</w:t>
      </w:r>
    </w:p>
    <w:p w:rsidR="00232F66" w:rsidRPr="009D5F2B" w:rsidRDefault="003014B1" w:rsidP="003014B1">
      <w:pPr>
        <w:pStyle w:val="Heading2"/>
        <w:rPr>
          <w:color w:val="1F546B" w:themeColor="text2"/>
          <w:szCs w:val="36"/>
        </w:rPr>
      </w:pPr>
      <w:bookmarkStart w:id="11" w:name="_Toc447178486"/>
      <w:r>
        <w:rPr>
          <w:color w:val="1F546B" w:themeColor="text2"/>
          <w:szCs w:val="36"/>
        </w:rPr>
        <w:t>Final c</w:t>
      </w:r>
      <w:r w:rsidR="00232F66" w:rsidRPr="003014B1">
        <w:rPr>
          <w:color w:val="1F546B" w:themeColor="text2"/>
          <w:szCs w:val="36"/>
        </w:rPr>
        <w:t>omments</w:t>
      </w:r>
      <w:bookmarkEnd w:id="11"/>
    </w:p>
    <w:p w:rsidR="00232F66" w:rsidRDefault="00232F66" w:rsidP="00232F66">
      <w:r>
        <w:t xml:space="preserve">A number of comments were about </w:t>
      </w:r>
      <w:r w:rsidR="004F4FB7">
        <w:t xml:space="preserve">the </w:t>
      </w:r>
      <w:r>
        <w:t>cost</w:t>
      </w:r>
      <w:r w:rsidR="004F4FB7">
        <w:t xml:space="preserve"> impact</w:t>
      </w:r>
      <w:r w:rsidR="000A5C44">
        <w:t xml:space="preserve"> of the Act</w:t>
      </w:r>
      <w:r w:rsidR="004F4FB7">
        <w:t xml:space="preserve"> (financial and time)</w:t>
      </w:r>
      <w:r w:rsidR="0037677A">
        <w:t>, reflecting</w:t>
      </w:r>
      <w:r>
        <w:t xml:space="preserve"> that it</w:t>
      </w:r>
      <w:r w:rsidR="004F4FB7">
        <w:t xml:space="preserve"> is</w:t>
      </w:r>
      <w:r>
        <w:t xml:space="preserve"> expensive for small businesses.</w:t>
      </w:r>
      <w:r w:rsidR="004F4FB7">
        <w:t xml:space="preserve"> Some </w:t>
      </w:r>
      <w:r w:rsidR="000A5C44">
        <w:t xml:space="preserve">respondents </w:t>
      </w:r>
      <w:r w:rsidR="004F4FB7">
        <w:t>state</w:t>
      </w:r>
      <w:r w:rsidR="000A5C44">
        <w:t>d</w:t>
      </w:r>
      <w:r w:rsidR="004F4FB7">
        <w:t xml:space="preserve"> </w:t>
      </w:r>
      <w:r w:rsidR="000A5C44">
        <w:t>an opinion that it</w:t>
      </w:r>
      <w:r w:rsidR="004F4FB7">
        <w:t xml:space="preserve"> shouldn’t apply to their business.</w:t>
      </w:r>
    </w:p>
    <w:p w:rsidR="004F4FB7" w:rsidRDefault="004F4FB7" w:rsidP="00232F66">
      <w:r>
        <w:t xml:space="preserve">Other final comments </w:t>
      </w:r>
      <w:r w:rsidR="000A5C44">
        <w:t>said</w:t>
      </w:r>
      <w:r w:rsidR="000D656B">
        <w:t xml:space="preserve"> that </w:t>
      </w:r>
      <w:r>
        <w:t xml:space="preserve">using </w:t>
      </w:r>
      <w:r w:rsidR="00EF55FE">
        <w:t>the Department</w:t>
      </w:r>
      <w:r>
        <w:t xml:space="preserve"> and other sources </w:t>
      </w:r>
      <w:r w:rsidR="000D656B">
        <w:t>has developed</w:t>
      </w:r>
      <w:r w:rsidR="0064161A">
        <w:t xml:space="preserve"> their</w:t>
      </w:r>
      <w:r w:rsidR="000D656B">
        <w:t xml:space="preserve"> understanding. For a number, that was challenging at first, but has become easier.</w:t>
      </w:r>
    </w:p>
    <w:p w:rsidR="000D656B" w:rsidRDefault="00136B4C" w:rsidP="00232F66">
      <w:r>
        <w:t>“Good to see the DIA supporting us whilst we come up to speed on what is required.”</w:t>
      </w:r>
    </w:p>
    <w:p w:rsidR="00232F66" w:rsidRPr="00232F66" w:rsidRDefault="00232F66" w:rsidP="00225287">
      <w:pPr>
        <w:rPr>
          <w:b/>
        </w:rPr>
      </w:pPr>
    </w:p>
    <w:sectPr w:rsidR="00232F66" w:rsidRPr="00232F66" w:rsidSect="00133D38">
      <w:pgSz w:w="11907" w:h="16840" w:code="9"/>
      <w:pgMar w:top="1418" w:right="1418" w:bottom="992" w:left="1418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86" w:rsidRDefault="00B57B86">
      <w:r>
        <w:separator/>
      </w:r>
    </w:p>
  </w:endnote>
  <w:endnote w:type="continuationSeparator" w:id="0">
    <w:p w:rsidR="00B57B86" w:rsidRDefault="00B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A" w:rsidRDefault="004A1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Pr="00F60476" w:rsidRDefault="0038713B" w:rsidP="00F60476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1299106" wp14:editId="72AD6F7E">
          <wp:simplePos x="0" y="0"/>
          <wp:positionH relativeFrom="column">
            <wp:posOffset>3204845</wp:posOffset>
          </wp:positionH>
          <wp:positionV relativeFrom="page">
            <wp:posOffset>9999345</wp:posOffset>
          </wp:positionV>
          <wp:extent cx="2555875" cy="262255"/>
          <wp:effectExtent l="0" t="0" r="0" b="4445"/>
          <wp:wrapSquare wrapText="bothSides"/>
          <wp:docPr id="10" name="Picture 10" descr="This image is the New Zealand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 July 2014 [Converted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029B1D3A" wp14:editId="13BCF57E">
          <wp:simplePos x="0" y="0"/>
          <wp:positionH relativeFrom="page">
            <wp:posOffset>953135</wp:posOffset>
          </wp:positionH>
          <wp:positionV relativeFrom="line">
            <wp:posOffset>-283845</wp:posOffset>
          </wp:positionV>
          <wp:extent cx="2771775" cy="492760"/>
          <wp:effectExtent l="0" t="0" r="9525" b="2540"/>
          <wp:wrapSquare wrapText="right"/>
          <wp:docPr id="11" name="Picture 11" descr="This image is the Internal Affair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-RGB-for-letterhe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Default="0038713B" w:rsidP="008A3A33">
    <w:pPr>
      <w:pStyle w:val="Footer"/>
      <w:tabs>
        <w:tab w:val="center" w:pos="5103"/>
        <w:tab w:val="right" w:pos="9071"/>
      </w:tabs>
      <w:ind w:right="-1"/>
    </w:pPr>
    <w:r>
      <w:t>DMS library:</w:t>
    </w:r>
    <w:r>
      <w:fldChar w:fldCharType="begin"/>
    </w:r>
    <w:r>
      <w:instrText xml:space="preserve"> MacroButton NoMacro </w:instrText>
    </w:r>
    <w:r>
      <w:rPr>
        <w:highlight w:val="yellow"/>
      </w:rPr>
      <w:instrText>&lt;i</w:instrText>
    </w:r>
    <w:r w:rsidRPr="0012021D">
      <w:rPr>
        <w:highlight w:val="yellow"/>
      </w:rPr>
      <w:instrText>nsert DMS library&gt;</w:instrText>
    </w:r>
    <w:r>
      <w:instrText xml:space="preserve"> </w:instrTex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A589B">
      <w:fldChar w:fldCharType="begin"/>
    </w:r>
    <w:r w:rsidR="00FA589B">
      <w:instrText xml:space="preserve"> NUMPAGES   \* MERGEFORMAT </w:instrText>
    </w:r>
    <w:r w:rsidR="00FA589B">
      <w:fldChar w:fldCharType="separate"/>
    </w:r>
    <w:r>
      <w:rPr>
        <w:noProof/>
      </w:rPr>
      <w:t>17</w:t>
    </w:r>
    <w:r w:rsidR="00FA589B">
      <w:rPr>
        <w:noProof/>
      </w:rPr>
      <w:fldChar w:fldCharType="end"/>
    </w:r>
  </w:p>
  <w:p w:rsidR="0038713B" w:rsidRDefault="0038713B" w:rsidP="00E57F71">
    <w:pPr>
      <w:pStyle w:val="Footer"/>
      <w:tabs>
        <w:tab w:val="right" w:pos="9071"/>
      </w:tabs>
      <w:ind w:right="-1"/>
    </w:pPr>
    <w:r>
      <w:t>DMS file code:</w:t>
    </w:r>
    <w:r>
      <w:fldChar w:fldCharType="begin"/>
    </w:r>
    <w:r>
      <w:instrText xml:space="preserve"> MacroButton NoMacro </w:instrText>
    </w:r>
    <w:r w:rsidRPr="0012021D">
      <w:rPr>
        <w:highlight w:val="yellow"/>
      </w:rPr>
      <w:instrText>&lt;</w:instrText>
    </w:r>
    <w:r>
      <w:rPr>
        <w:highlight w:val="yellow"/>
      </w:rPr>
      <w:instrText>insert DMS document ID</w:instrText>
    </w:r>
    <w:r w:rsidRPr="0012021D">
      <w:rPr>
        <w:highlight w:val="yellow"/>
      </w:rPr>
      <w:instrText>&gt;</w:instrText>
    </w:r>
    <w:r>
      <w:instrText xml:space="preserve"> </w:instrTex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Pr="00391C7C" w:rsidRDefault="0038713B" w:rsidP="004518B7">
    <w:pPr>
      <w:pStyle w:val="Footer"/>
      <w:tabs>
        <w:tab w:val="center" w:pos="4678"/>
        <w:tab w:val="right" w:pos="9071"/>
      </w:tabs>
      <w:ind w:right="-1"/>
    </w:pP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15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13B" w:rsidRDefault="00387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713B" w:rsidRPr="00391C7C" w:rsidRDefault="0038713B" w:rsidP="00133D38">
    <w:pPr>
      <w:pStyle w:val="Footer"/>
      <w:tabs>
        <w:tab w:val="left" w:pos="1095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86" w:rsidRDefault="00B57B86" w:rsidP="006E29CC">
      <w:pPr>
        <w:pStyle w:val="Spacer"/>
      </w:pPr>
      <w:r>
        <w:separator/>
      </w:r>
    </w:p>
    <w:p w:rsidR="00B57B86" w:rsidRDefault="00B57B86" w:rsidP="006E29CC">
      <w:pPr>
        <w:pStyle w:val="Spacer"/>
      </w:pPr>
    </w:p>
  </w:footnote>
  <w:footnote w:type="continuationSeparator" w:id="0">
    <w:p w:rsidR="00B57B86" w:rsidRDefault="00B57B86">
      <w:r>
        <w:continuationSeparator/>
      </w:r>
    </w:p>
  </w:footnote>
  <w:footnote w:id="1">
    <w:p w:rsidR="0038713B" w:rsidRDefault="0038713B">
      <w:pPr>
        <w:pStyle w:val="FootnoteText"/>
      </w:pPr>
      <w:r>
        <w:rPr>
          <w:rStyle w:val="FootnoteReference"/>
        </w:rPr>
        <w:footnoteRef/>
      </w:r>
      <w:r>
        <w:t xml:space="preserve"> For example, Debt Collection Services are exempt under regulation 22 of the Anti-Money Laundering and Countering Financing of Terrorism (Exemptions) Regulations 2011</w:t>
      </w:r>
    </w:p>
  </w:footnote>
  <w:footnote w:id="2">
    <w:p w:rsidR="0038713B" w:rsidRDefault="0038713B">
      <w:pPr>
        <w:pStyle w:val="FootnoteText"/>
      </w:pPr>
      <w:r>
        <w:rPr>
          <w:rStyle w:val="FootnoteReference"/>
        </w:rPr>
        <w:footnoteRef/>
      </w:r>
      <w:r>
        <w:t xml:space="preserve"> As outlined in the AML/CFT Sector Risk Assessment Guides 2014 available on our website: </w:t>
      </w:r>
      <w:hyperlink r:id="rId1" w:anchor="GUI" w:history="1">
        <w:r w:rsidRPr="00EF5C4A">
          <w:rPr>
            <w:rStyle w:val="Hyperlink"/>
          </w:rPr>
          <w:t>http://www.dia.govt.nz/diawebsite.nsf/wpg_URL/Services-Anti-Money-Laundering-Sector-and-National-Risk-Assessments#GUI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A" w:rsidRDefault="004A1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Pr="00143173" w:rsidRDefault="0038713B" w:rsidP="00143173">
    <w:pPr>
      <w:pStyle w:val="Securityclassificiation"/>
      <w:rPr>
        <w:bCs/>
      </w:rPr>
    </w:pPr>
    <w:r w:rsidRPr="00143173">
      <w:rPr>
        <w:bCs/>
        <w:noProof/>
        <w:lang w:eastAsia="en-NZ"/>
      </w:rPr>
      <w:drawing>
        <wp:anchor distT="0" distB="0" distL="114300" distR="114300" simplePos="0" relativeHeight="251656192" behindDoc="0" locked="0" layoutInCell="1" allowOverlap="1" wp14:anchorId="79F9E0C9" wp14:editId="0231878B">
          <wp:simplePos x="0" y="0"/>
          <wp:positionH relativeFrom="column">
            <wp:align>left</wp:align>
          </wp:positionH>
          <wp:positionV relativeFrom="page">
            <wp:posOffset>504190</wp:posOffset>
          </wp:positionV>
          <wp:extent cx="108000" cy="3240000"/>
          <wp:effectExtent l="0" t="0" r="6350" b="0"/>
          <wp:wrapSquare wrapText="bothSides"/>
          <wp:docPr id="8" name="Picture 8" descr="This image is for decoration onl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stick June 2014 4K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32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A" w:rsidRDefault="004A14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Default="0038713B" w:rsidP="0046577B">
    <w:pPr>
      <w:pStyle w:val="Header"/>
    </w:pPr>
    <w:r>
      <w:t>AML/CFT Survey 2015 Report of key findings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A290950"/>
    <w:multiLevelType w:val="hybridMultilevel"/>
    <w:tmpl w:val="F2D6A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32203DCC"/>
    <w:multiLevelType w:val="hybridMultilevel"/>
    <w:tmpl w:val="0870F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5832"/>
    <w:multiLevelType w:val="multilevel"/>
    <w:tmpl w:val="805E2C0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3500861"/>
    <w:multiLevelType w:val="hybridMultilevel"/>
    <w:tmpl w:val="458210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A8C1DCF"/>
    <w:multiLevelType w:val="hybridMultilevel"/>
    <w:tmpl w:val="AE1859A4"/>
    <w:lvl w:ilvl="0" w:tplc="C0D0A3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67A45D4"/>
    <w:multiLevelType w:val="hybridMultilevel"/>
    <w:tmpl w:val="2E34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>
    <w:nsid w:val="7A777AD8"/>
    <w:multiLevelType w:val="hybridMultilevel"/>
    <w:tmpl w:val="94FE67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9"/>
  </w:num>
  <w:num w:numId="5">
    <w:abstractNumId w:val="25"/>
  </w:num>
  <w:num w:numId="6">
    <w:abstractNumId w:val="27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0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13"/>
  </w:num>
  <w:num w:numId="26">
    <w:abstractNumId w:val="10"/>
  </w:num>
  <w:num w:numId="27">
    <w:abstractNumId w:val="30"/>
  </w:num>
  <w:num w:numId="28">
    <w:abstractNumId w:val="30"/>
  </w:num>
  <w:num w:numId="29">
    <w:abstractNumId w:val="28"/>
  </w:num>
  <w:num w:numId="30">
    <w:abstractNumId w:val="28"/>
  </w:num>
  <w:num w:numId="31">
    <w:abstractNumId w:val="20"/>
  </w:num>
  <w:num w:numId="32">
    <w:abstractNumId w:val="26"/>
  </w:num>
  <w:num w:numId="33">
    <w:abstractNumId w:val="20"/>
  </w:num>
  <w:num w:numId="34">
    <w:abstractNumId w:val="20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0"/>
  </w:num>
  <w:num w:numId="40">
    <w:abstractNumId w:val="10"/>
  </w:num>
  <w:num w:numId="41">
    <w:abstractNumId w:val="10"/>
  </w:num>
  <w:num w:numId="42">
    <w:abstractNumId w:val="21"/>
  </w:num>
  <w:num w:numId="43">
    <w:abstractNumId w:val="31"/>
  </w:num>
  <w:num w:numId="44">
    <w:abstractNumId w:val="22"/>
  </w:num>
  <w:num w:numId="45">
    <w:abstractNumId w:val="15"/>
  </w:num>
  <w:num w:numId="46">
    <w:abstractNumId w:val="12"/>
  </w:num>
  <w:num w:numId="4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9"/>
    <w:rsid w:val="00001F18"/>
    <w:rsid w:val="00003115"/>
    <w:rsid w:val="00003172"/>
    <w:rsid w:val="00003360"/>
    <w:rsid w:val="000113E7"/>
    <w:rsid w:val="00014CD7"/>
    <w:rsid w:val="00017A89"/>
    <w:rsid w:val="00020010"/>
    <w:rsid w:val="000251C1"/>
    <w:rsid w:val="00025A40"/>
    <w:rsid w:val="00025B74"/>
    <w:rsid w:val="00025C2C"/>
    <w:rsid w:val="00034673"/>
    <w:rsid w:val="000409E2"/>
    <w:rsid w:val="00044EA1"/>
    <w:rsid w:val="00052D65"/>
    <w:rsid w:val="00053760"/>
    <w:rsid w:val="00055FE1"/>
    <w:rsid w:val="00060441"/>
    <w:rsid w:val="000633AE"/>
    <w:rsid w:val="00063BB2"/>
    <w:rsid w:val="00063F97"/>
    <w:rsid w:val="00066FA8"/>
    <w:rsid w:val="00070373"/>
    <w:rsid w:val="000703CE"/>
    <w:rsid w:val="00071184"/>
    <w:rsid w:val="00076035"/>
    <w:rsid w:val="00077013"/>
    <w:rsid w:val="00082531"/>
    <w:rsid w:val="00085AD2"/>
    <w:rsid w:val="00091C3A"/>
    <w:rsid w:val="00092587"/>
    <w:rsid w:val="000932D4"/>
    <w:rsid w:val="00094324"/>
    <w:rsid w:val="000953BD"/>
    <w:rsid w:val="000A18B5"/>
    <w:rsid w:val="000A5C44"/>
    <w:rsid w:val="000A75B7"/>
    <w:rsid w:val="000B6991"/>
    <w:rsid w:val="000B76A4"/>
    <w:rsid w:val="000C1D3A"/>
    <w:rsid w:val="000C1EE3"/>
    <w:rsid w:val="000C6102"/>
    <w:rsid w:val="000D2693"/>
    <w:rsid w:val="000D656B"/>
    <w:rsid w:val="000D7EDD"/>
    <w:rsid w:val="000E09DC"/>
    <w:rsid w:val="000E123A"/>
    <w:rsid w:val="000E677B"/>
    <w:rsid w:val="000E699F"/>
    <w:rsid w:val="000F055E"/>
    <w:rsid w:val="000F070C"/>
    <w:rsid w:val="000F0C0B"/>
    <w:rsid w:val="000F0F1C"/>
    <w:rsid w:val="000F10AB"/>
    <w:rsid w:val="000F4ADF"/>
    <w:rsid w:val="000F4EA5"/>
    <w:rsid w:val="000F5EAD"/>
    <w:rsid w:val="000F61AF"/>
    <w:rsid w:val="00100AAB"/>
    <w:rsid w:val="0010171C"/>
    <w:rsid w:val="00102FAD"/>
    <w:rsid w:val="00103183"/>
    <w:rsid w:val="00121870"/>
    <w:rsid w:val="001262A9"/>
    <w:rsid w:val="00126BB5"/>
    <w:rsid w:val="001307C1"/>
    <w:rsid w:val="00133D38"/>
    <w:rsid w:val="0013424E"/>
    <w:rsid w:val="00136B4C"/>
    <w:rsid w:val="001420E8"/>
    <w:rsid w:val="00143173"/>
    <w:rsid w:val="00150923"/>
    <w:rsid w:val="001527B2"/>
    <w:rsid w:val="00152C02"/>
    <w:rsid w:val="00153970"/>
    <w:rsid w:val="0015404E"/>
    <w:rsid w:val="001552C7"/>
    <w:rsid w:val="0015545F"/>
    <w:rsid w:val="001622AC"/>
    <w:rsid w:val="00162BF3"/>
    <w:rsid w:val="0016433D"/>
    <w:rsid w:val="00166252"/>
    <w:rsid w:val="00172EC8"/>
    <w:rsid w:val="00176C07"/>
    <w:rsid w:val="001972A5"/>
    <w:rsid w:val="001A1582"/>
    <w:rsid w:val="001A3B65"/>
    <w:rsid w:val="001A5F55"/>
    <w:rsid w:val="001A64CD"/>
    <w:rsid w:val="001B24EC"/>
    <w:rsid w:val="001B646D"/>
    <w:rsid w:val="001B6CB8"/>
    <w:rsid w:val="001C0031"/>
    <w:rsid w:val="001C27F3"/>
    <w:rsid w:val="001C76EF"/>
    <w:rsid w:val="001C7DF9"/>
    <w:rsid w:val="001D0111"/>
    <w:rsid w:val="001D113B"/>
    <w:rsid w:val="001D4147"/>
    <w:rsid w:val="001F5CD5"/>
    <w:rsid w:val="002043C6"/>
    <w:rsid w:val="00205FE8"/>
    <w:rsid w:val="00206BA3"/>
    <w:rsid w:val="002103FE"/>
    <w:rsid w:val="00210FAA"/>
    <w:rsid w:val="002119E5"/>
    <w:rsid w:val="002131D9"/>
    <w:rsid w:val="00214210"/>
    <w:rsid w:val="00215160"/>
    <w:rsid w:val="00215776"/>
    <w:rsid w:val="002224B4"/>
    <w:rsid w:val="00225287"/>
    <w:rsid w:val="00226D5E"/>
    <w:rsid w:val="00230532"/>
    <w:rsid w:val="0023253D"/>
    <w:rsid w:val="00232F66"/>
    <w:rsid w:val="00237A3D"/>
    <w:rsid w:val="002402F5"/>
    <w:rsid w:val="00240E83"/>
    <w:rsid w:val="00242514"/>
    <w:rsid w:val="002502D1"/>
    <w:rsid w:val="00250FE4"/>
    <w:rsid w:val="0025333C"/>
    <w:rsid w:val="002545D6"/>
    <w:rsid w:val="00257A73"/>
    <w:rsid w:val="00261821"/>
    <w:rsid w:val="00263D74"/>
    <w:rsid w:val="00266E14"/>
    <w:rsid w:val="00270488"/>
    <w:rsid w:val="00270EEC"/>
    <w:rsid w:val="00272C4C"/>
    <w:rsid w:val="00276825"/>
    <w:rsid w:val="002806A2"/>
    <w:rsid w:val="0029586E"/>
    <w:rsid w:val="00296686"/>
    <w:rsid w:val="00297CC7"/>
    <w:rsid w:val="002A194F"/>
    <w:rsid w:val="002A4BD9"/>
    <w:rsid w:val="002A4FE7"/>
    <w:rsid w:val="002B1CEB"/>
    <w:rsid w:val="002B60B5"/>
    <w:rsid w:val="002C4900"/>
    <w:rsid w:val="002C4E75"/>
    <w:rsid w:val="002D159B"/>
    <w:rsid w:val="002E286D"/>
    <w:rsid w:val="002E2D0B"/>
    <w:rsid w:val="002F5C48"/>
    <w:rsid w:val="003004C1"/>
    <w:rsid w:val="0030084C"/>
    <w:rsid w:val="003014B1"/>
    <w:rsid w:val="00304ABF"/>
    <w:rsid w:val="003129BA"/>
    <w:rsid w:val="003148FC"/>
    <w:rsid w:val="0031555F"/>
    <w:rsid w:val="0032202B"/>
    <w:rsid w:val="00330820"/>
    <w:rsid w:val="00331F77"/>
    <w:rsid w:val="00342DBF"/>
    <w:rsid w:val="00347A83"/>
    <w:rsid w:val="00354A34"/>
    <w:rsid w:val="00363198"/>
    <w:rsid w:val="00364510"/>
    <w:rsid w:val="00366122"/>
    <w:rsid w:val="00370FC0"/>
    <w:rsid w:val="00373206"/>
    <w:rsid w:val="00373E4E"/>
    <w:rsid w:val="0037677A"/>
    <w:rsid w:val="00385994"/>
    <w:rsid w:val="0038713B"/>
    <w:rsid w:val="00387276"/>
    <w:rsid w:val="00390C2F"/>
    <w:rsid w:val="00391C7C"/>
    <w:rsid w:val="00391EFB"/>
    <w:rsid w:val="0039785D"/>
    <w:rsid w:val="003A00AA"/>
    <w:rsid w:val="003A0AB9"/>
    <w:rsid w:val="003A10DA"/>
    <w:rsid w:val="003A12C8"/>
    <w:rsid w:val="003A4DF4"/>
    <w:rsid w:val="003A5A72"/>
    <w:rsid w:val="003A6FFE"/>
    <w:rsid w:val="003B0E84"/>
    <w:rsid w:val="003B163A"/>
    <w:rsid w:val="003B3A23"/>
    <w:rsid w:val="003C1ED5"/>
    <w:rsid w:val="003C400E"/>
    <w:rsid w:val="003C5D1C"/>
    <w:rsid w:val="003C63D0"/>
    <w:rsid w:val="003D162E"/>
    <w:rsid w:val="003D182F"/>
    <w:rsid w:val="003D353C"/>
    <w:rsid w:val="003E3434"/>
    <w:rsid w:val="003E5AFE"/>
    <w:rsid w:val="003F5886"/>
    <w:rsid w:val="003F7ABA"/>
    <w:rsid w:val="0040020C"/>
    <w:rsid w:val="0040700B"/>
    <w:rsid w:val="00407F54"/>
    <w:rsid w:val="00411341"/>
    <w:rsid w:val="00413966"/>
    <w:rsid w:val="00415CDB"/>
    <w:rsid w:val="004170CC"/>
    <w:rsid w:val="004233D7"/>
    <w:rsid w:val="00424863"/>
    <w:rsid w:val="0042551E"/>
    <w:rsid w:val="004258E5"/>
    <w:rsid w:val="00426491"/>
    <w:rsid w:val="004313B5"/>
    <w:rsid w:val="00433AD8"/>
    <w:rsid w:val="00434C5C"/>
    <w:rsid w:val="004518B7"/>
    <w:rsid w:val="0045463D"/>
    <w:rsid w:val="00455001"/>
    <w:rsid w:val="004550CF"/>
    <w:rsid w:val="004552A0"/>
    <w:rsid w:val="00460A83"/>
    <w:rsid w:val="00460E18"/>
    <w:rsid w:val="00464FE2"/>
    <w:rsid w:val="0046577B"/>
    <w:rsid w:val="004734F8"/>
    <w:rsid w:val="00473572"/>
    <w:rsid w:val="00477619"/>
    <w:rsid w:val="00483B54"/>
    <w:rsid w:val="00486E31"/>
    <w:rsid w:val="00486E6E"/>
    <w:rsid w:val="00495B6D"/>
    <w:rsid w:val="00497079"/>
    <w:rsid w:val="004A14EA"/>
    <w:rsid w:val="004A466E"/>
    <w:rsid w:val="004A4747"/>
    <w:rsid w:val="004A5823"/>
    <w:rsid w:val="004B0AAF"/>
    <w:rsid w:val="004B2860"/>
    <w:rsid w:val="004B3924"/>
    <w:rsid w:val="004B58D2"/>
    <w:rsid w:val="004B7332"/>
    <w:rsid w:val="004C4DDD"/>
    <w:rsid w:val="004D06BB"/>
    <w:rsid w:val="004D1706"/>
    <w:rsid w:val="004D243F"/>
    <w:rsid w:val="004D7473"/>
    <w:rsid w:val="004E4783"/>
    <w:rsid w:val="004F3AD4"/>
    <w:rsid w:val="004F4FB7"/>
    <w:rsid w:val="004F5E2D"/>
    <w:rsid w:val="0050304A"/>
    <w:rsid w:val="0051048E"/>
    <w:rsid w:val="0051119C"/>
    <w:rsid w:val="00512ACB"/>
    <w:rsid w:val="005139E5"/>
    <w:rsid w:val="005209E3"/>
    <w:rsid w:val="00521C3D"/>
    <w:rsid w:val="0052216D"/>
    <w:rsid w:val="00526115"/>
    <w:rsid w:val="00530A29"/>
    <w:rsid w:val="00533FAF"/>
    <w:rsid w:val="005347E9"/>
    <w:rsid w:val="005366B6"/>
    <w:rsid w:val="00537B5D"/>
    <w:rsid w:val="00540EDF"/>
    <w:rsid w:val="00544D72"/>
    <w:rsid w:val="00545337"/>
    <w:rsid w:val="00545B72"/>
    <w:rsid w:val="0055237D"/>
    <w:rsid w:val="00555005"/>
    <w:rsid w:val="00555832"/>
    <w:rsid w:val="00561A97"/>
    <w:rsid w:val="0056261E"/>
    <w:rsid w:val="00563DAC"/>
    <w:rsid w:val="00564F4D"/>
    <w:rsid w:val="005675E0"/>
    <w:rsid w:val="00570ACC"/>
    <w:rsid w:val="00570C00"/>
    <w:rsid w:val="00580ECF"/>
    <w:rsid w:val="0058206B"/>
    <w:rsid w:val="00585690"/>
    <w:rsid w:val="00586265"/>
    <w:rsid w:val="00593B07"/>
    <w:rsid w:val="00595B33"/>
    <w:rsid w:val="0059662F"/>
    <w:rsid w:val="00596EF7"/>
    <w:rsid w:val="005A4E91"/>
    <w:rsid w:val="005D3066"/>
    <w:rsid w:val="005D3404"/>
    <w:rsid w:val="005D4DC4"/>
    <w:rsid w:val="005D5F4F"/>
    <w:rsid w:val="005D60A7"/>
    <w:rsid w:val="005E1818"/>
    <w:rsid w:val="005E3AF2"/>
    <w:rsid w:val="005E4B13"/>
    <w:rsid w:val="005E4C02"/>
    <w:rsid w:val="005E63DF"/>
    <w:rsid w:val="005F01DF"/>
    <w:rsid w:val="005F15F3"/>
    <w:rsid w:val="005F76CC"/>
    <w:rsid w:val="005F784F"/>
    <w:rsid w:val="005F7FF8"/>
    <w:rsid w:val="00600CA4"/>
    <w:rsid w:val="00602416"/>
    <w:rsid w:val="00602B78"/>
    <w:rsid w:val="006041F2"/>
    <w:rsid w:val="0060559F"/>
    <w:rsid w:val="00614455"/>
    <w:rsid w:val="00615281"/>
    <w:rsid w:val="006225CA"/>
    <w:rsid w:val="006226A4"/>
    <w:rsid w:val="00623A5C"/>
    <w:rsid w:val="006370E8"/>
    <w:rsid w:val="0064161A"/>
    <w:rsid w:val="00654D8A"/>
    <w:rsid w:val="006554EB"/>
    <w:rsid w:val="006603F2"/>
    <w:rsid w:val="006606F9"/>
    <w:rsid w:val="00662716"/>
    <w:rsid w:val="00667187"/>
    <w:rsid w:val="006730C6"/>
    <w:rsid w:val="00677B13"/>
    <w:rsid w:val="00677F4E"/>
    <w:rsid w:val="00681A08"/>
    <w:rsid w:val="00685ECF"/>
    <w:rsid w:val="00686A5E"/>
    <w:rsid w:val="006871D3"/>
    <w:rsid w:val="006875B8"/>
    <w:rsid w:val="00687CA4"/>
    <w:rsid w:val="00687CEA"/>
    <w:rsid w:val="00691175"/>
    <w:rsid w:val="006923E8"/>
    <w:rsid w:val="00694A87"/>
    <w:rsid w:val="00695B75"/>
    <w:rsid w:val="00695EDC"/>
    <w:rsid w:val="006A1A95"/>
    <w:rsid w:val="006A2BC2"/>
    <w:rsid w:val="006A38B7"/>
    <w:rsid w:val="006B0386"/>
    <w:rsid w:val="006B1CB2"/>
    <w:rsid w:val="006B1DD1"/>
    <w:rsid w:val="006B3396"/>
    <w:rsid w:val="006C5B97"/>
    <w:rsid w:val="006D1CC1"/>
    <w:rsid w:val="006D346F"/>
    <w:rsid w:val="006D638F"/>
    <w:rsid w:val="006E1694"/>
    <w:rsid w:val="006E254E"/>
    <w:rsid w:val="006E29CC"/>
    <w:rsid w:val="006E3E7A"/>
    <w:rsid w:val="006E7BF7"/>
    <w:rsid w:val="006F1B69"/>
    <w:rsid w:val="006F3661"/>
    <w:rsid w:val="006F3C57"/>
    <w:rsid w:val="006F3DEA"/>
    <w:rsid w:val="00701AB3"/>
    <w:rsid w:val="007068C8"/>
    <w:rsid w:val="00707415"/>
    <w:rsid w:val="00713F07"/>
    <w:rsid w:val="00715B8F"/>
    <w:rsid w:val="007202D5"/>
    <w:rsid w:val="0073106E"/>
    <w:rsid w:val="007373B3"/>
    <w:rsid w:val="0074713B"/>
    <w:rsid w:val="007502F6"/>
    <w:rsid w:val="00750AFB"/>
    <w:rsid w:val="00756BB7"/>
    <w:rsid w:val="0075740C"/>
    <w:rsid w:val="0075764B"/>
    <w:rsid w:val="00760C01"/>
    <w:rsid w:val="00760E41"/>
    <w:rsid w:val="00761293"/>
    <w:rsid w:val="00761439"/>
    <w:rsid w:val="00764AD7"/>
    <w:rsid w:val="00767C04"/>
    <w:rsid w:val="00772FA6"/>
    <w:rsid w:val="007736A2"/>
    <w:rsid w:val="00773F2E"/>
    <w:rsid w:val="0078040A"/>
    <w:rsid w:val="00784025"/>
    <w:rsid w:val="0078570A"/>
    <w:rsid w:val="00791874"/>
    <w:rsid w:val="007A5472"/>
    <w:rsid w:val="007A6226"/>
    <w:rsid w:val="007A790E"/>
    <w:rsid w:val="007B164E"/>
    <w:rsid w:val="007B3C61"/>
    <w:rsid w:val="007C42FA"/>
    <w:rsid w:val="007C45C0"/>
    <w:rsid w:val="007D1918"/>
    <w:rsid w:val="007D3469"/>
    <w:rsid w:val="007D3BAF"/>
    <w:rsid w:val="007D7B90"/>
    <w:rsid w:val="007E025C"/>
    <w:rsid w:val="007E0BE6"/>
    <w:rsid w:val="007E1059"/>
    <w:rsid w:val="007E471F"/>
    <w:rsid w:val="007F2564"/>
    <w:rsid w:val="007F7E88"/>
    <w:rsid w:val="00802AA4"/>
    <w:rsid w:val="0080402B"/>
    <w:rsid w:val="00814489"/>
    <w:rsid w:val="008210D9"/>
    <w:rsid w:val="008211A7"/>
    <w:rsid w:val="0082264B"/>
    <w:rsid w:val="008235EA"/>
    <w:rsid w:val="008260F8"/>
    <w:rsid w:val="0082765B"/>
    <w:rsid w:val="0083430F"/>
    <w:rsid w:val="00835BD7"/>
    <w:rsid w:val="0084091C"/>
    <w:rsid w:val="00843D71"/>
    <w:rsid w:val="00846D99"/>
    <w:rsid w:val="0084745A"/>
    <w:rsid w:val="00857623"/>
    <w:rsid w:val="00860B2B"/>
    <w:rsid w:val="00870045"/>
    <w:rsid w:val="00876E5F"/>
    <w:rsid w:val="00877AB1"/>
    <w:rsid w:val="008827AE"/>
    <w:rsid w:val="00886688"/>
    <w:rsid w:val="00890CE4"/>
    <w:rsid w:val="00892016"/>
    <w:rsid w:val="008A2BF7"/>
    <w:rsid w:val="008A33F1"/>
    <w:rsid w:val="008A3A33"/>
    <w:rsid w:val="008B37FD"/>
    <w:rsid w:val="008C3187"/>
    <w:rsid w:val="008C3AF3"/>
    <w:rsid w:val="008C3C56"/>
    <w:rsid w:val="008C5E4F"/>
    <w:rsid w:val="008C6B6B"/>
    <w:rsid w:val="008D1A81"/>
    <w:rsid w:val="008D24E1"/>
    <w:rsid w:val="008D29AD"/>
    <w:rsid w:val="008D3E16"/>
    <w:rsid w:val="008D63B7"/>
    <w:rsid w:val="008D6A03"/>
    <w:rsid w:val="008E7137"/>
    <w:rsid w:val="008E7FEE"/>
    <w:rsid w:val="008F39DD"/>
    <w:rsid w:val="008F5F9C"/>
    <w:rsid w:val="008F67F5"/>
    <w:rsid w:val="008F6BCE"/>
    <w:rsid w:val="00900D4B"/>
    <w:rsid w:val="00901DE6"/>
    <w:rsid w:val="0090460A"/>
    <w:rsid w:val="00907486"/>
    <w:rsid w:val="009170B9"/>
    <w:rsid w:val="00927482"/>
    <w:rsid w:val="0093068B"/>
    <w:rsid w:val="009338B9"/>
    <w:rsid w:val="00941001"/>
    <w:rsid w:val="00941B04"/>
    <w:rsid w:val="0094387D"/>
    <w:rsid w:val="00945FFF"/>
    <w:rsid w:val="0095112B"/>
    <w:rsid w:val="009536BD"/>
    <w:rsid w:val="009567CD"/>
    <w:rsid w:val="00963144"/>
    <w:rsid w:val="00963A84"/>
    <w:rsid w:val="00964A6C"/>
    <w:rsid w:val="009669CF"/>
    <w:rsid w:val="009672FB"/>
    <w:rsid w:val="00973A6D"/>
    <w:rsid w:val="0098136D"/>
    <w:rsid w:val="00982C68"/>
    <w:rsid w:val="009865AA"/>
    <w:rsid w:val="00987080"/>
    <w:rsid w:val="0098765A"/>
    <w:rsid w:val="0099514F"/>
    <w:rsid w:val="009968B0"/>
    <w:rsid w:val="009A5E70"/>
    <w:rsid w:val="009A6CB2"/>
    <w:rsid w:val="009B0982"/>
    <w:rsid w:val="009B2507"/>
    <w:rsid w:val="009B2AC8"/>
    <w:rsid w:val="009B4C99"/>
    <w:rsid w:val="009B5007"/>
    <w:rsid w:val="009B6699"/>
    <w:rsid w:val="009C1832"/>
    <w:rsid w:val="009D28CF"/>
    <w:rsid w:val="009D5F2B"/>
    <w:rsid w:val="009E3CAD"/>
    <w:rsid w:val="009E4272"/>
    <w:rsid w:val="009E5D36"/>
    <w:rsid w:val="009E7CA0"/>
    <w:rsid w:val="009F05B9"/>
    <w:rsid w:val="009F09BD"/>
    <w:rsid w:val="009F766B"/>
    <w:rsid w:val="009F766F"/>
    <w:rsid w:val="00A04392"/>
    <w:rsid w:val="00A065E0"/>
    <w:rsid w:val="00A1582B"/>
    <w:rsid w:val="00A16003"/>
    <w:rsid w:val="00A16249"/>
    <w:rsid w:val="00A167D7"/>
    <w:rsid w:val="00A203EA"/>
    <w:rsid w:val="00A2046F"/>
    <w:rsid w:val="00A23A01"/>
    <w:rsid w:val="00A24FBB"/>
    <w:rsid w:val="00A30A84"/>
    <w:rsid w:val="00A313C6"/>
    <w:rsid w:val="00A3218E"/>
    <w:rsid w:val="00A36309"/>
    <w:rsid w:val="00A42ED2"/>
    <w:rsid w:val="00A44B33"/>
    <w:rsid w:val="00A509B5"/>
    <w:rsid w:val="00A50E00"/>
    <w:rsid w:val="00A52529"/>
    <w:rsid w:val="00A53624"/>
    <w:rsid w:val="00A5766B"/>
    <w:rsid w:val="00A57CDF"/>
    <w:rsid w:val="00A61D81"/>
    <w:rsid w:val="00A6261C"/>
    <w:rsid w:val="00A65F62"/>
    <w:rsid w:val="00A702F9"/>
    <w:rsid w:val="00A70465"/>
    <w:rsid w:val="00A72282"/>
    <w:rsid w:val="00A72F05"/>
    <w:rsid w:val="00A75968"/>
    <w:rsid w:val="00A75C2E"/>
    <w:rsid w:val="00A840D6"/>
    <w:rsid w:val="00A863E3"/>
    <w:rsid w:val="00A8751C"/>
    <w:rsid w:val="00A96AD3"/>
    <w:rsid w:val="00A97CD4"/>
    <w:rsid w:val="00AA02BA"/>
    <w:rsid w:val="00AA2519"/>
    <w:rsid w:val="00AA4DDE"/>
    <w:rsid w:val="00AA6B33"/>
    <w:rsid w:val="00AB3A92"/>
    <w:rsid w:val="00AB478B"/>
    <w:rsid w:val="00AB4AD9"/>
    <w:rsid w:val="00AB6691"/>
    <w:rsid w:val="00AC3CB6"/>
    <w:rsid w:val="00AC5B5C"/>
    <w:rsid w:val="00AC5BD9"/>
    <w:rsid w:val="00AD6E77"/>
    <w:rsid w:val="00AD7A25"/>
    <w:rsid w:val="00AE04EC"/>
    <w:rsid w:val="00AE506F"/>
    <w:rsid w:val="00AE71A9"/>
    <w:rsid w:val="00AF1CC4"/>
    <w:rsid w:val="00AF3A5A"/>
    <w:rsid w:val="00AF5218"/>
    <w:rsid w:val="00AF72FB"/>
    <w:rsid w:val="00B017C9"/>
    <w:rsid w:val="00B0480E"/>
    <w:rsid w:val="00B1026A"/>
    <w:rsid w:val="00B1105D"/>
    <w:rsid w:val="00B1182D"/>
    <w:rsid w:val="00B14CB0"/>
    <w:rsid w:val="00B21166"/>
    <w:rsid w:val="00B21C23"/>
    <w:rsid w:val="00B26178"/>
    <w:rsid w:val="00B263AE"/>
    <w:rsid w:val="00B34FE6"/>
    <w:rsid w:val="00B375F1"/>
    <w:rsid w:val="00B4103F"/>
    <w:rsid w:val="00B41AED"/>
    <w:rsid w:val="00B41CDA"/>
    <w:rsid w:val="00B456E6"/>
    <w:rsid w:val="00B47091"/>
    <w:rsid w:val="00B50ABD"/>
    <w:rsid w:val="00B562C6"/>
    <w:rsid w:val="00B57B86"/>
    <w:rsid w:val="00B62134"/>
    <w:rsid w:val="00B62C3E"/>
    <w:rsid w:val="00B645DE"/>
    <w:rsid w:val="00B6525F"/>
    <w:rsid w:val="00B65857"/>
    <w:rsid w:val="00B66698"/>
    <w:rsid w:val="00B66D38"/>
    <w:rsid w:val="00B70F88"/>
    <w:rsid w:val="00B745DC"/>
    <w:rsid w:val="00B74C67"/>
    <w:rsid w:val="00B84350"/>
    <w:rsid w:val="00B8538F"/>
    <w:rsid w:val="00B855A6"/>
    <w:rsid w:val="00B85D89"/>
    <w:rsid w:val="00B91098"/>
    <w:rsid w:val="00B91904"/>
    <w:rsid w:val="00B92735"/>
    <w:rsid w:val="00B93D65"/>
    <w:rsid w:val="00B969ED"/>
    <w:rsid w:val="00BA0F7E"/>
    <w:rsid w:val="00BA2DBC"/>
    <w:rsid w:val="00BA44B6"/>
    <w:rsid w:val="00BA6C43"/>
    <w:rsid w:val="00BB0D90"/>
    <w:rsid w:val="00BB60C6"/>
    <w:rsid w:val="00BB63EE"/>
    <w:rsid w:val="00BB7984"/>
    <w:rsid w:val="00BC1B27"/>
    <w:rsid w:val="00BC505E"/>
    <w:rsid w:val="00BC6A06"/>
    <w:rsid w:val="00BC6EA3"/>
    <w:rsid w:val="00BC7E1C"/>
    <w:rsid w:val="00BD137C"/>
    <w:rsid w:val="00BD4662"/>
    <w:rsid w:val="00BD5124"/>
    <w:rsid w:val="00BE2FA3"/>
    <w:rsid w:val="00BF4715"/>
    <w:rsid w:val="00BF4AB9"/>
    <w:rsid w:val="00C03596"/>
    <w:rsid w:val="00C044AA"/>
    <w:rsid w:val="00C048AE"/>
    <w:rsid w:val="00C049C0"/>
    <w:rsid w:val="00C060A1"/>
    <w:rsid w:val="00C15A13"/>
    <w:rsid w:val="00C15F99"/>
    <w:rsid w:val="00C20C97"/>
    <w:rsid w:val="00C238D9"/>
    <w:rsid w:val="00C24A9D"/>
    <w:rsid w:val="00C2677E"/>
    <w:rsid w:val="00C31542"/>
    <w:rsid w:val="00C353FF"/>
    <w:rsid w:val="00C357BA"/>
    <w:rsid w:val="00C427A9"/>
    <w:rsid w:val="00C43CB8"/>
    <w:rsid w:val="00C44E92"/>
    <w:rsid w:val="00C45F9B"/>
    <w:rsid w:val="00C479AF"/>
    <w:rsid w:val="00C5076D"/>
    <w:rsid w:val="00C51CB3"/>
    <w:rsid w:val="00C546C7"/>
    <w:rsid w:val="00C547F6"/>
    <w:rsid w:val="00C60726"/>
    <w:rsid w:val="00C6078D"/>
    <w:rsid w:val="00C63E1A"/>
    <w:rsid w:val="00C63F3E"/>
    <w:rsid w:val="00C657CF"/>
    <w:rsid w:val="00C66228"/>
    <w:rsid w:val="00C76DDD"/>
    <w:rsid w:val="00C80D62"/>
    <w:rsid w:val="00C940DC"/>
    <w:rsid w:val="00C96BFD"/>
    <w:rsid w:val="00C96F65"/>
    <w:rsid w:val="00CA5358"/>
    <w:rsid w:val="00CB5BE1"/>
    <w:rsid w:val="00CC235E"/>
    <w:rsid w:val="00CD281D"/>
    <w:rsid w:val="00CD502A"/>
    <w:rsid w:val="00CD5FEF"/>
    <w:rsid w:val="00CD6F2A"/>
    <w:rsid w:val="00CE6209"/>
    <w:rsid w:val="00CF115B"/>
    <w:rsid w:val="00CF12CF"/>
    <w:rsid w:val="00CF3A13"/>
    <w:rsid w:val="00CF40CE"/>
    <w:rsid w:val="00CF4444"/>
    <w:rsid w:val="00CF4C5F"/>
    <w:rsid w:val="00D028F4"/>
    <w:rsid w:val="00D060D2"/>
    <w:rsid w:val="00D11662"/>
    <w:rsid w:val="00D14394"/>
    <w:rsid w:val="00D22EA6"/>
    <w:rsid w:val="00D242C5"/>
    <w:rsid w:val="00D242CD"/>
    <w:rsid w:val="00D30EF4"/>
    <w:rsid w:val="00D312D9"/>
    <w:rsid w:val="00D341C3"/>
    <w:rsid w:val="00D42843"/>
    <w:rsid w:val="00D42D02"/>
    <w:rsid w:val="00D45DDE"/>
    <w:rsid w:val="00D5152A"/>
    <w:rsid w:val="00D51CEC"/>
    <w:rsid w:val="00D52371"/>
    <w:rsid w:val="00D5729A"/>
    <w:rsid w:val="00D65145"/>
    <w:rsid w:val="00D67F34"/>
    <w:rsid w:val="00D74314"/>
    <w:rsid w:val="00D85B78"/>
    <w:rsid w:val="00D92505"/>
    <w:rsid w:val="00D935CE"/>
    <w:rsid w:val="00DA00F3"/>
    <w:rsid w:val="00DA267C"/>
    <w:rsid w:val="00DA5101"/>
    <w:rsid w:val="00DA79EF"/>
    <w:rsid w:val="00DB0C0B"/>
    <w:rsid w:val="00DB3B74"/>
    <w:rsid w:val="00DB6B45"/>
    <w:rsid w:val="00DC5870"/>
    <w:rsid w:val="00DC7A2A"/>
    <w:rsid w:val="00DD0384"/>
    <w:rsid w:val="00DD0901"/>
    <w:rsid w:val="00DD2AD2"/>
    <w:rsid w:val="00DD3B66"/>
    <w:rsid w:val="00DD3BD0"/>
    <w:rsid w:val="00DD3DD8"/>
    <w:rsid w:val="00DD7C8B"/>
    <w:rsid w:val="00DE16B6"/>
    <w:rsid w:val="00DE2B2D"/>
    <w:rsid w:val="00DE36CA"/>
    <w:rsid w:val="00DE4E1D"/>
    <w:rsid w:val="00DE7E63"/>
    <w:rsid w:val="00DF099A"/>
    <w:rsid w:val="00DF2911"/>
    <w:rsid w:val="00DF3E71"/>
    <w:rsid w:val="00DF5383"/>
    <w:rsid w:val="00E01E02"/>
    <w:rsid w:val="00E065C1"/>
    <w:rsid w:val="00E12223"/>
    <w:rsid w:val="00E126EB"/>
    <w:rsid w:val="00E12FE5"/>
    <w:rsid w:val="00E14873"/>
    <w:rsid w:val="00E263EC"/>
    <w:rsid w:val="00E26D66"/>
    <w:rsid w:val="00E367C5"/>
    <w:rsid w:val="00E379B3"/>
    <w:rsid w:val="00E37E71"/>
    <w:rsid w:val="00E42847"/>
    <w:rsid w:val="00E45F25"/>
    <w:rsid w:val="00E46064"/>
    <w:rsid w:val="00E50E77"/>
    <w:rsid w:val="00E57F71"/>
    <w:rsid w:val="00E604A1"/>
    <w:rsid w:val="00E739FD"/>
    <w:rsid w:val="00E73AA8"/>
    <w:rsid w:val="00E80228"/>
    <w:rsid w:val="00E84D4A"/>
    <w:rsid w:val="00E8512D"/>
    <w:rsid w:val="00E9040A"/>
    <w:rsid w:val="00E90D72"/>
    <w:rsid w:val="00E9143E"/>
    <w:rsid w:val="00E94856"/>
    <w:rsid w:val="00E950CA"/>
    <w:rsid w:val="00EA2ED4"/>
    <w:rsid w:val="00EA491A"/>
    <w:rsid w:val="00EB1583"/>
    <w:rsid w:val="00EB6C34"/>
    <w:rsid w:val="00EC23FB"/>
    <w:rsid w:val="00EC7556"/>
    <w:rsid w:val="00ED0E18"/>
    <w:rsid w:val="00ED1EF4"/>
    <w:rsid w:val="00ED31B1"/>
    <w:rsid w:val="00ED719D"/>
    <w:rsid w:val="00ED7681"/>
    <w:rsid w:val="00EE0D7F"/>
    <w:rsid w:val="00EE41C2"/>
    <w:rsid w:val="00EF423B"/>
    <w:rsid w:val="00EF5034"/>
    <w:rsid w:val="00EF55FE"/>
    <w:rsid w:val="00EF5968"/>
    <w:rsid w:val="00EF63C6"/>
    <w:rsid w:val="00F007CD"/>
    <w:rsid w:val="00F034FB"/>
    <w:rsid w:val="00F036E0"/>
    <w:rsid w:val="00F05606"/>
    <w:rsid w:val="00F105F5"/>
    <w:rsid w:val="00F1075A"/>
    <w:rsid w:val="00F13265"/>
    <w:rsid w:val="00F16394"/>
    <w:rsid w:val="00F21388"/>
    <w:rsid w:val="00F22E82"/>
    <w:rsid w:val="00F24BAC"/>
    <w:rsid w:val="00F257C5"/>
    <w:rsid w:val="00F3277D"/>
    <w:rsid w:val="00F337BF"/>
    <w:rsid w:val="00F33D14"/>
    <w:rsid w:val="00F3775B"/>
    <w:rsid w:val="00F4201C"/>
    <w:rsid w:val="00F473B6"/>
    <w:rsid w:val="00F5174F"/>
    <w:rsid w:val="00F51FD3"/>
    <w:rsid w:val="00F52E57"/>
    <w:rsid w:val="00F53E06"/>
    <w:rsid w:val="00F54188"/>
    <w:rsid w:val="00F54CC0"/>
    <w:rsid w:val="00F60476"/>
    <w:rsid w:val="00F652C7"/>
    <w:rsid w:val="00F709B2"/>
    <w:rsid w:val="00F727A5"/>
    <w:rsid w:val="00F847A9"/>
    <w:rsid w:val="00F909C7"/>
    <w:rsid w:val="00FA057E"/>
    <w:rsid w:val="00FA121C"/>
    <w:rsid w:val="00FA157C"/>
    <w:rsid w:val="00FA2CD9"/>
    <w:rsid w:val="00FA589B"/>
    <w:rsid w:val="00FA5CC1"/>
    <w:rsid w:val="00FA5FE9"/>
    <w:rsid w:val="00FA67D2"/>
    <w:rsid w:val="00FB302F"/>
    <w:rsid w:val="00FB5A92"/>
    <w:rsid w:val="00FB6FA7"/>
    <w:rsid w:val="00FC03B0"/>
    <w:rsid w:val="00FC19F6"/>
    <w:rsid w:val="00FC1C69"/>
    <w:rsid w:val="00FC283B"/>
    <w:rsid w:val="00FC3739"/>
    <w:rsid w:val="00FD4304"/>
    <w:rsid w:val="00FE0A21"/>
    <w:rsid w:val="00FE3187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 w:unhideWhenUsed="0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26D66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7D3469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7D3469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A840D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8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30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7D3469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8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7D3469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8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30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30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3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3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3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3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uiPriority w:val="99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37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37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37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38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4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4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41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before="240"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C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C8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 w:unhideWhenUsed="0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26D66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7D3469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7D3469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A840D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8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30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7D3469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8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7D3469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8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30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30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3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3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3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3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uiPriority w:val="99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37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37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37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38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4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4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41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before="240"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C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C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.govt.nz/diawebsite.nsf/wpg_URL/Services-Anti-Money-Laundering-Sector-and-National-Risk-Assess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5AF2-561A-4975-98DD-51218EA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8B4A76CD</Template>
  <TotalTime>0</TotalTime>
  <Pages>17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2016-04-28T00:15:00Z</dcterms:created>
  <dcterms:modified xsi:type="dcterms:W3CDTF">2016-04-28T00:15:00Z</dcterms:modified>
</cp:coreProperties>
</file>