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D8" w:rsidRDefault="00024BD8" w:rsidP="00EC2FF8">
      <w:pPr>
        <w:pStyle w:val="Headingappendix"/>
        <w:numPr>
          <w:ilvl w:val="0"/>
          <w:numId w:val="0"/>
        </w:numPr>
      </w:pPr>
    </w:p>
    <w:p w:rsidR="002568A9" w:rsidRDefault="002568A9" w:rsidP="00171F45"/>
    <w:p w:rsidR="000B55C2" w:rsidRPr="00B0762F" w:rsidRDefault="000B55C2" w:rsidP="000B55C2">
      <w:pPr>
        <w:spacing w:before="400" w:after="60" w:line="280" w:lineRule="atLeast"/>
        <w:rPr>
          <w:rFonts w:eastAsia="Times New Roman" w:cs="Arial"/>
          <w:b/>
        </w:rPr>
      </w:pPr>
    </w:p>
    <w:p w:rsidR="000B55C2" w:rsidRPr="00B0762F" w:rsidRDefault="000B55C2" w:rsidP="000B55C2">
      <w:pPr>
        <w:spacing w:before="400" w:after="60" w:line="280" w:lineRule="atLeast"/>
        <w:rPr>
          <w:rFonts w:eastAsia="Times New Roman" w:cs="Arial"/>
          <w:b/>
        </w:rPr>
      </w:pPr>
    </w:p>
    <w:p w:rsidR="000B55C2" w:rsidRPr="00B0762F" w:rsidRDefault="000B55C2" w:rsidP="000B55C2">
      <w:pPr>
        <w:spacing w:before="400" w:after="60" w:line="280" w:lineRule="atLeast"/>
        <w:rPr>
          <w:rFonts w:eastAsia="Times New Roman" w:cs="Arial"/>
          <w:b/>
        </w:rPr>
      </w:pPr>
    </w:p>
    <w:p w:rsidR="000D713B" w:rsidRPr="00B0762F" w:rsidRDefault="000D713B" w:rsidP="000D713B">
      <w:pPr>
        <w:spacing w:before="400" w:after="60" w:line="280" w:lineRule="atLeast"/>
        <w:jc w:val="right"/>
        <w:rPr>
          <w:rFonts w:eastAsia="Times New Roman"/>
          <w:bCs/>
          <w:i/>
          <w:iCs/>
          <w:color w:val="4F81BD"/>
          <w:sz w:val="56"/>
          <w:szCs w:val="56"/>
        </w:rPr>
      </w:pPr>
      <w:r w:rsidRPr="00B0762F">
        <w:rPr>
          <w:rFonts w:eastAsia="Times New Roman"/>
          <w:bCs/>
          <w:i/>
          <w:iCs/>
          <w:color w:val="4F81BD"/>
          <w:sz w:val="56"/>
          <w:szCs w:val="56"/>
        </w:rPr>
        <w:t>Service Delivery and Operations</w:t>
      </w:r>
    </w:p>
    <w:p w:rsidR="000D713B" w:rsidRPr="00B0762F" w:rsidRDefault="000D713B" w:rsidP="000D713B">
      <w:pPr>
        <w:spacing w:before="400" w:after="60" w:line="280" w:lineRule="atLeast"/>
        <w:jc w:val="right"/>
        <w:rPr>
          <w:rFonts w:eastAsia="Times New Roman"/>
          <w:bCs/>
          <w:i/>
          <w:iCs/>
          <w:color w:val="4F81BD"/>
          <w:sz w:val="56"/>
          <w:szCs w:val="56"/>
        </w:rPr>
      </w:pPr>
      <w:r w:rsidRPr="00B0762F">
        <w:rPr>
          <w:rFonts w:eastAsia="Times New Roman"/>
          <w:bCs/>
          <w:i/>
          <w:iCs/>
          <w:color w:val="4F81BD"/>
          <w:sz w:val="56"/>
          <w:szCs w:val="56"/>
        </w:rPr>
        <w:t>Customer Experience Survey</w:t>
      </w:r>
    </w:p>
    <w:p w:rsidR="000D713B" w:rsidRPr="00B0762F" w:rsidRDefault="000D713B" w:rsidP="000D713B">
      <w:pPr>
        <w:spacing w:before="400" w:after="60" w:line="280" w:lineRule="atLeast"/>
        <w:jc w:val="right"/>
        <w:rPr>
          <w:rFonts w:eastAsia="Times New Roman"/>
          <w:bCs/>
          <w:i/>
          <w:iCs/>
          <w:color w:val="4F81BD"/>
          <w:sz w:val="56"/>
          <w:szCs w:val="56"/>
        </w:rPr>
      </w:pPr>
      <w:r w:rsidRPr="00B0762F">
        <w:rPr>
          <w:rFonts w:eastAsia="Times New Roman"/>
          <w:bCs/>
          <w:i/>
          <w:iCs/>
          <w:color w:val="4F81BD"/>
          <w:sz w:val="56"/>
          <w:szCs w:val="56"/>
        </w:rPr>
        <w:t>2014</w:t>
      </w:r>
      <w:r>
        <w:rPr>
          <w:rFonts w:eastAsia="Times New Roman"/>
          <w:bCs/>
          <w:i/>
          <w:iCs/>
          <w:color w:val="4F81BD"/>
          <w:sz w:val="56"/>
          <w:szCs w:val="56"/>
        </w:rPr>
        <w:t>/</w:t>
      </w:r>
      <w:r w:rsidRPr="00B0762F">
        <w:rPr>
          <w:rFonts w:eastAsia="Times New Roman"/>
          <w:bCs/>
          <w:i/>
          <w:iCs/>
          <w:color w:val="4F81BD"/>
          <w:sz w:val="56"/>
          <w:szCs w:val="56"/>
        </w:rPr>
        <w:t>15</w:t>
      </w:r>
    </w:p>
    <w:tbl>
      <w:tblPr>
        <w:tblStyle w:val="TableGrid10"/>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4"/>
        <w:gridCol w:w="7345"/>
      </w:tblGrid>
      <w:tr w:rsidR="000D713B" w:rsidRPr="00B0762F" w:rsidTr="00C22B17">
        <w:tc>
          <w:tcPr>
            <w:tcW w:w="2544" w:type="dxa"/>
            <w:vAlign w:val="bottom"/>
          </w:tcPr>
          <w:p w:rsidR="000D713B" w:rsidRPr="00B0762F" w:rsidRDefault="000D713B" w:rsidP="00C22B17">
            <w:pPr>
              <w:spacing w:after="567" w:line="600" w:lineRule="atLeast"/>
              <w:rPr>
                <w:rFonts w:eastAsia="Times New Roman"/>
                <w:color w:val="A7A9AC"/>
                <w:sz w:val="50"/>
              </w:rPr>
            </w:pPr>
          </w:p>
        </w:tc>
        <w:tc>
          <w:tcPr>
            <w:tcW w:w="7345" w:type="dxa"/>
            <w:tcMar>
              <w:left w:w="851" w:type="dxa"/>
              <w:right w:w="0" w:type="dxa"/>
            </w:tcMar>
            <w:vAlign w:val="bottom"/>
          </w:tcPr>
          <w:p w:rsidR="000D713B" w:rsidRPr="00B0762F" w:rsidRDefault="000D713B" w:rsidP="00C22B17">
            <w:pPr>
              <w:spacing w:after="567" w:line="924" w:lineRule="atLeast"/>
              <w:jc w:val="right"/>
              <w:rPr>
                <w:rFonts w:eastAsia="Times New Roman"/>
                <w:sz w:val="77"/>
              </w:rPr>
            </w:pPr>
            <w:r w:rsidRPr="00B0762F">
              <w:rPr>
                <w:rFonts w:eastAsia="Times New Roman"/>
                <w:sz w:val="77"/>
              </w:rPr>
              <w:t xml:space="preserve">  </w:t>
            </w:r>
          </w:p>
          <w:p w:rsidR="000D713B" w:rsidRPr="00B0762F" w:rsidRDefault="000D713B" w:rsidP="00C22B17">
            <w:pPr>
              <w:spacing w:after="567" w:line="600" w:lineRule="atLeast"/>
              <w:jc w:val="right"/>
              <w:rPr>
                <w:rFonts w:eastAsia="Times New Roman"/>
                <w:color w:val="A7A9AC"/>
                <w:sz w:val="50"/>
              </w:rPr>
            </w:pPr>
          </w:p>
          <w:p w:rsidR="000D713B" w:rsidRPr="00B0762F" w:rsidRDefault="000D713B" w:rsidP="00C22B17">
            <w:pPr>
              <w:spacing w:after="567" w:line="600" w:lineRule="atLeast"/>
              <w:rPr>
                <w:rFonts w:eastAsia="Times New Roman"/>
                <w:color w:val="A7A9AC"/>
                <w:sz w:val="50"/>
              </w:rPr>
            </w:pPr>
          </w:p>
          <w:p w:rsidR="000D713B" w:rsidRPr="00B0762F" w:rsidRDefault="000D713B" w:rsidP="00C22B17">
            <w:pPr>
              <w:spacing w:after="567" w:line="600" w:lineRule="atLeast"/>
              <w:rPr>
                <w:rFonts w:eastAsia="Times New Roman"/>
                <w:color w:val="A7A9AC"/>
                <w:sz w:val="50"/>
              </w:rPr>
            </w:pPr>
          </w:p>
        </w:tc>
      </w:tr>
    </w:tbl>
    <w:p w:rsidR="000D713B" w:rsidRPr="00B0762F" w:rsidRDefault="000D713B" w:rsidP="000D713B">
      <w:pPr>
        <w:spacing w:before="0" w:after="200" w:line="280" w:lineRule="atLeast"/>
        <w:rPr>
          <w:rFonts w:eastAsia="Times New Roman"/>
          <w:sz w:val="22"/>
        </w:rPr>
      </w:pPr>
    </w:p>
    <w:p w:rsidR="000D713B" w:rsidRPr="00B0762F" w:rsidRDefault="000D713B" w:rsidP="000D713B">
      <w:pPr>
        <w:spacing w:before="0" w:after="0" w:line="240" w:lineRule="atLeast"/>
        <w:jc w:val="right"/>
        <w:rPr>
          <w:rFonts w:eastAsia="Times New Roman"/>
          <w:sz w:val="20"/>
        </w:rPr>
      </w:pPr>
      <w:r w:rsidRPr="00B0762F">
        <w:rPr>
          <w:rFonts w:eastAsia="Times New Roman"/>
          <w:sz w:val="20"/>
        </w:rPr>
        <w:t>Branch Development and Support</w:t>
      </w:r>
    </w:p>
    <w:p w:rsidR="000D713B" w:rsidRPr="00B0762F" w:rsidRDefault="000D713B" w:rsidP="000D713B">
      <w:pPr>
        <w:spacing w:before="0" w:after="0" w:line="240" w:lineRule="atLeast"/>
        <w:jc w:val="right"/>
        <w:rPr>
          <w:rFonts w:eastAsia="Times New Roman"/>
          <w:sz w:val="20"/>
        </w:rPr>
      </w:pPr>
      <w:r w:rsidRPr="00B0762F">
        <w:rPr>
          <w:rFonts w:eastAsia="Times New Roman"/>
          <w:sz w:val="20"/>
        </w:rPr>
        <w:t>Service Delivery and Operations</w:t>
      </w:r>
    </w:p>
    <w:p w:rsidR="000D713B" w:rsidRPr="00B0762F" w:rsidRDefault="00ED2500" w:rsidP="000D713B">
      <w:pPr>
        <w:spacing w:before="0" w:after="0" w:line="240" w:lineRule="atLeast"/>
        <w:jc w:val="right"/>
        <w:rPr>
          <w:rFonts w:eastAsia="Times New Roman"/>
          <w:sz w:val="20"/>
        </w:rPr>
      </w:pPr>
      <w:r>
        <w:rPr>
          <w:rFonts w:eastAsia="Times New Roman"/>
          <w:sz w:val="20"/>
        </w:rPr>
        <w:t>January 2016</w:t>
      </w:r>
    </w:p>
    <w:p w:rsidR="000D713B" w:rsidRPr="00B0762F" w:rsidRDefault="000D713B" w:rsidP="000D713B">
      <w:pPr>
        <w:spacing w:before="0" w:after="0" w:line="240" w:lineRule="atLeast"/>
        <w:rPr>
          <w:rFonts w:eastAsia="Times New Roman"/>
          <w:sz w:val="20"/>
        </w:rPr>
      </w:pPr>
    </w:p>
    <w:p w:rsidR="000D713B" w:rsidRDefault="000D713B" w:rsidP="000D713B">
      <w:pPr>
        <w:spacing w:before="0" w:after="0" w:line="280" w:lineRule="atLeast"/>
        <w:ind w:left="-567"/>
        <w:rPr>
          <w:rFonts w:eastAsia="Times New Roman"/>
          <w:b/>
          <w:bCs/>
          <w:i/>
          <w:iCs/>
          <w:color w:val="4F81BD"/>
          <w:sz w:val="22"/>
        </w:rPr>
      </w:pPr>
    </w:p>
    <w:p w:rsidR="000D713B" w:rsidRDefault="000D713B" w:rsidP="000D713B">
      <w:pPr>
        <w:spacing w:before="0" w:after="0" w:line="280" w:lineRule="atLeast"/>
        <w:ind w:left="-567"/>
        <w:rPr>
          <w:rFonts w:eastAsia="Times New Roman"/>
          <w:b/>
          <w:bCs/>
          <w:i/>
          <w:iCs/>
          <w:color w:val="4F81BD"/>
          <w:sz w:val="22"/>
        </w:rPr>
      </w:pPr>
    </w:p>
    <w:p w:rsidR="000D713B" w:rsidRDefault="000D713B" w:rsidP="000D713B">
      <w:pPr>
        <w:spacing w:before="0" w:after="0" w:line="280" w:lineRule="atLeast"/>
        <w:ind w:left="-567"/>
        <w:rPr>
          <w:rFonts w:eastAsia="Times New Roman"/>
          <w:b/>
          <w:bCs/>
          <w:i/>
          <w:iCs/>
          <w:color w:val="4F81BD"/>
          <w:sz w:val="22"/>
        </w:rPr>
      </w:pPr>
    </w:p>
    <w:p w:rsidR="000D713B" w:rsidRDefault="000D713B" w:rsidP="000D713B">
      <w:pPr>
        <w:spacing w:before="0" w:after="0" w:line="280" w:lineRule="atLeast"/>
        <w:ind w:left="-567"/>
        <w:rPr>
          <w:rFonts w:eastAsia="Times New Roman"/>
          <w:b/>
          <w:bCs/>
          <w:i/>
          <w:iCs/>
          <w:color w:val="4F81BD"/>
          <w:sz w:val="22"/>
        </w:rPr>
      </w:pPr>
    </w:p>
    <w:p w:rsidR="0025553B" w:rsidRDefault="0025553B" w:rsidP="000D713B">
      <w:pPr>
        <w:spacing w:before="0" w:after="0" w:line="280" w:lineRule="atLeast"/>
        <w:ind w:left="-567"/>
        <w:rPr>
          <w:rFonts w:eastAsia="Times New Roman"/>
          <w:b/>
          <w:bCs/>
          <w:i/>
          <w:iCs/>
          <w:color w:val="4F81BD"/>
          <w:sz w:val="22"/>
        </w:rPr>
      </w:pPr>
    </w:p>
    <w:p w:rsidR="0025553B" w:rsidRDefault="0025553B" w:rsidP="000D713B">
      <w:pPr>
        <w:spacing w:before="0" w:after="0" w:line="280" w:lineRule="atLeast"/>
        <w:ind w:left="-567"/>
        <w:rPr>
          <w:rFonts w:eastAsia="Times New Roman"/>
          <w:b/>
          <w:bCs/>
          <w:i/>
          <w:iCs/>
          <w:color w:val="4F81BD"/>
          <w:sz w:val="22"/>
        </w:rPr>
      </w:pPr>
    </w:p>
    <w:p w:rsidR="0025553B" w:rsidRDefault="0025553B" w:rsidP="000D713B">
      <w:pPr>
        <w:spacing w:before="0" w:after="0" w:line="280" w:lineRule="atLeast"/>
        <w:ind w:left="-567"/>
        <w:rPr>
          <w:rFonts w:eastAsia="Times New Roman"/>
          <w:b/>
          <w:bCs/>
          <w:i/>
          <w:iCs/>
          <w:color w:val="4F81BD"/>
          <w:sz w:val="22"/>
        </w:rPr>
      </w:pPr>
    </w:p>
    <w:p w:rsidR="000D713B" w:rsidRPr="00B0762F" w:rsidRDefault="000D713B" w:rsidP="000D713B">
      <w:pPr>
        <w:spacing w:before="0" w:after="0" w:line="280" w:lineRule="atLeast"/>
        <w:ind w:left="-567"/>
        <w:rPr>
          <w:rFonts w:eastAsia="Times New Roman" w:cs="Arial"/>
          <w:color w:val="4F81BD"/>
        </w:rPr>
      </w:pPr>
      <w:r w:rsidRPr="00B0762F">
        <w:rPr>
          <w:rFonts w:eastAsia="Times New Roman"/>
          <w:b/>
          <w:bCs/>
          <w:i/>
          <w:iCs/>
          <w:color w:val="4F81BD"/>
          <w:sz w:val="22"/>
        </w:rPr>
        <w:t>Acknowledgements</w:t>
      </w:r>
    </w:p>
    <w:p w:rsidR="000D713B" w:rsidRPr="00B0762F" w:rsidRDefault="000D713B" w:rsidP="000D713B">
      <w:pPr>
        <w:spacing w:before="0" w:after="0" w:line="280" w:lineRule="atLeast"/>
        <w:rPr>
          <w:rFonts w:eastAsia="Times New Roman" w:cs="Arial"/>
        </w:rPr>
      </w:pPr>
    </w:p>
    <w:p w:rsidR="000D713B" w:rsidRPr="00B0762F" w:rsidRDefault="000D713B" w:rsidP="000D713B">
      <w:pPr>
        <w:keepNext/>
        <w:spacing w:before="240" w:after="60" w:line="280" w:lineRule="atLeast"/>
        <w:outlineLvl w:val="3"/>
        <w:rPr>
          <w:rFonts w:eastAsia="Times New Roman" w:cs="Arial"/>
          <w:bCs/>
          <w:sz w:val="22"/>
          <w:szCs w:val="22"/>
        </w:rPr>
      </w:pPr>
      <w:r w:rsidRPr="00B0762F">
        <w:rPr>
          <w:rFonts w:eastAsia="Times New Roman" w:cs="Arial"/>
          <w:bCs/>
          <w:sz w:val="22"/>
          <w:szCs w:val="22"/>
        </w:rPr>
        <w:t>The Department of Internal Affairs acknowledges Mark Johnson and his team at Research New Zealand for their analysis of the data.</w:t>
      </w:r>
    </w:p>
    <w:p w:rsidR="000D713B" w:rsidRPr="00B0762F" w:rsidRDefault="000D713B" w:rsidP="000D713B">
      <w:pPr>
        <w:keepNext/>
        <w:spacing w:before="240" w:after="60" w:line="280" w:lineRule="atLeast"/>
        <w:outlineLvl w:val="3"/>
        <w:rPr>
          <w:rFonts w:eastAsia="Times New Roman" w:cs="Arial"/>
          <w:bCs/>
          <w:sz w:val="22"/>
          <w:szCs w:val="22"/>
        </w:rPr>
      </w:pPr>
    </w:p>
    <w:p w:rsidR="000D713B" w:rsidRPr="00B0762F" w:rsidRDefault="000D713B" w:rsidP="000D713B">
      <w:pPr>
        <w:keepNext/>
        <w:spacing w:before="240" w:after="60" w:line="280" w:lineRule="atLeast"/>
        <w:ind w:left="-426" w:firstLine="426"/>
        <w:outlineLvl w:val="3"/>
        <w:rPr>
          <w:rFonts w:eastAsia="Times New Roman"/>
          <w:b/>
          <w:bCs/>
          <w:sz w:val="22"/>
          <w:szCs w:val="28"/>
        </w:rPr>
      </w:pPr>
      <w:r w:rsidRPr="00B0762F">
        <w:rPr>
          <w:rFonts w:eastAsia="Times New Roman" w:cs="Arial"/>
          <w:bCs/>
          <w:sz w:val="22"/>
          <w:szCs w:val="22"/>
        </w:rPr>
        <w:t xml:space="preserve"> Author: </w:t>
      </w:r>
      <w:proofErr w:type="spellStart"/>
      <w:r w:rsidRPr="00B0762F">
        <w:rPr>
          <w:rFonts w:eastAsia="Times New Roman" w:cs="Arial"/>
          <w:bCs/>
          <w:sz w:val="22"/>
          <w:szCs w:val="22"/>
        </w:rPr>
        <w:t>Thida</w:t>
      </w:r>
      <w:proofErr w:type="spellEnd"/>
      <w:r w:rsidRPr="00B0762F">
        <w:rPr>
          <w:rFonts w:eastAsia="Times New Roman" w:cs="Arial"/>
          <w:bCs/>
          <w:sz w:val="22"/>
          <w:szCs w:val="22"/>
        </w:rPr>
        <w:t xml:space="preserve"> </w:t>
      </w:r>
      <w:proofErr w:type="spellStart"/>
      <w:r w:rsidRPr="00B0762F">
        <w:rPr>
          <w:rFonts w:eastAsia="Times New Roman" w:cs="Arial"/>
          <w:bCs/>
          <w:sz w:val="22"/>
          <w:szCs w:val="22"/>
        </w:rPr>
        <w:t>Seng</w:t>
      </w:r>
      <w:proofErr w:type="spellEnd"/>
      <w:r w:rsidRPr="00B0762F">
        <w:rPr>
          <w:rFonts w:eastAsia="Times New Roman" w:cs="Arial"/>
          <w:bCs/>
          <w:sz w:val="22"/>
          <w:szCs w:val="22"/>
        </w:rPr>
        <w:t xml:space="preserve"> -Advis</w:t>
      </w:r>
      <w:r>
        <w:rPr>
          <w:rFonts w:eastAsia="Times New Roman" w:cs="Arial"/>
          <w:bCs/>
          <w:sz w:val="22"/>
          <w:szCs w:val="22"/>
        </w:rPr>
        <w:t>o</w:t>
      </w:r>
      <w:r w:rsidRPr="00B0762F">
        <w:rPr>
          <w:rFonts w:eastAsia="Times New Roman" w:cs="Arial"/>
          <w:bCs/>
          <w:sz w:val="22"/>
          <w:szCs w:val="22"/>
        </w:rPr>
        <w:t>r- Branch Development and Support</w:t>
      </w:r>
      <w:r w:rsidRPr="00B0762F">
        <w:rPr>
          <w:rFonts w:eastAsia="Times New Roman" w:cs="Arial"/>
          <w:b/>
          <w:bCs/>
          <w:szCs w:val="28"/>
        </w:rPr>
        <w:br w:type="page"/>
      </w:r>
      <w:r w:rsidRPr="00B06638">
        <w:rPr>
          <w:rFonts w:eastAsia="Times New Roman"/>
          <w:b/>
          <w:i/>
          <w:iCs/>
          <w:color w:val="4F81BD"/>
        </w:rPr>
        <w:lastRenderedPageBreak/>
        <w:t>Introduction</w:t>
      </w:r>
    </w:p>
    <w:p w:rsidR="000D713B" w:rsidRPr="00B0762F" w:rsidRDefault="000D713B" w:rsidP="000D713B">
      <w:pPr>
        <w:spacing w:before="0" w:after="0" w:line="280" w:lineRule="atLeast"/>
        <w:ind w:left="-426"/>
        <w:rPr>
          <w:rFonts w:eastAsia="Times New Roman" w:cs="Arial"/>
        </w:rPr>
      </w:pPr>
      <w:r w:rsidRPr="00B0762F">
        <w:rPr>
          <w:rFonts w:eastAsia="Times New Roman" w:cs="Arial"/>
        </w:rPr>
        <w:t xml:space="preserve"> </w:t>
      </w:r>
    </w:p>
    <w:p w:rsidR="000D713B" w:rsidRPr="00B0762F" w:rsidRDefault="000D713B" w:rsidP="000D713B">
      <w:pPr>
        <w:spacing w:before="0" w:after="0" w:line="280" w:lineRule="atLeast"/>
        <w:ind w:left="-426"/>
        <w:rPr>
          <w:rFonts w:eastAsia="Times New Roman" w:cs="Arial"/>
          <w:sz w:val="22"/>
          <w:szCs w:val="22"/>
        </w:rPr>
      </w:pPr>
      <w:r w:rsidRPr="00B0762F">
        <w:rPr>
          <w:rFonts w:eastAsia="Times New Roman" w:cs="Arial"/>
          <w:sz w:val="22"/>
          <w:szCs w:val="22"/>
        </w:rPr>
        <w:t xml:space="preserve">This report provides a summary of key findings from the 2014/15 Service Delivery and Operations Customer Experience Survey. </w:t>
      </w:r>
    </w:p>
    <w:p w:rsidR="000D713B" w:rsidRPr="00B0762F" w:rsidRDefault="000D713B" w:rsidP="000D713B">
      <w:pPr>
        <w:spacing w:before="0" w:after="0" w:line="280" w:lineRule="atLeast"/>
        <w:ind w:left="-426"/>
        <w:rPr>
          <w:rFonts w:eastAsia="Times New Roman" w:cs="Arial"/>
          <w:sz w:val="22"/>
          <w:szCs w:val="22"/>
        </w:rPr>
      </w:pPr>
    </w:p>
    <w:p w:rsidR="000D713B" w:rsidRPr="00B0762F" w:rsidRDefault="000D713B" w:rsidP="000D713B">
      <w:pPr>
        <w:spacing w:before="0" w:after="0" w:line="280" w:lineRule="atLeast"/>
        <w:ind w:left="-426"/>
        <w:rPr>
          <w:rFonts w:eastAsia="Times New Roman" w:cs="Arial"/>
          <w:sz w:val="22"/>
          <w:szCs w:val="22"/>
        </w:rPr>
      </w:pPr>
      <w:r w:rsidRPr="00B0762F">
        <w:rPr>
          <w:rFonts w:eastAsia="Times New Roman" w:cs="Arial"/>
          <w:sz w:val="22"/>
          <w:szCs w:val="22"/>
        </w:rPr>
        <w:t>Service Delivery and Operations (</w:t>
      </w:r>
      <w:proofErr w:type="spellStart"/>
      <w:r w:rsidRPr="00B0762F">
        <w:rPr>
          <w:rFonts w:eastAsia="Times New Roman" w:cs="Arial"/>
          <w:sz w:val="22"/>
          <w:szCs w:val="22"/>
        </w:rPr>
        <w:t>SDO</w:t>
      </w:r>
      <w:proofErr w:type="spellEnd"/>
      <w:r w:rsidRPr="00B0762F">
        <w:rPr>
          <w:rFonts w:eastAsia="Times New Roman" w:cs="Arial"/>
          <w:sz w:val="22"/>
          <w:szCs w:val="22"/>
        </w:rPr>
        <w:t>) provides a variety of services to the public including passports, community development advice and grants, birth, death, marriage, civil union, and name change, citizenship, charities registration, and identity verification services.</w:t>
      </w:r>
    </w:p>
    <w:p w:rsidR="000D713B" w:rsidRPr="00B0762F" w:rsidRDefault="000D713B" w:rsidP="000D713B">
      <w:pPr>
        <w:spacing w:before="0" w:after="0" w:line="280" w:lineRule="atLeast"/>
        <w:ind w:left="-426"/>
        <w:rPr>
          <w:rFonts w:eastAsia="Times New Roman" w:cs="Arial"/>
          <w:sz w:val="22"/>
          <w:szCs w:val="22"/>
        </w:rPr>
      </w:pPr>
    </w:p>
    <w:p w:rsidR="000D713B" w:rsidRPr="00B0762F" w:rsidRDefault="000D713B" w:rsidP="000D713B">
      <w:pPr>
        <w:spacing w:before="0" w:after="0" w:line="280" w:lineRule="atLeast"/>
        <w:ind w:left="-426"/>
        <w:rPr>
          <w:rFonts w:eastAsia="Times New Roman" w:cs="Arial"/>
          <w:sz w:val="22"/>
          <w:szCs w:val="22"/>
        </w:rPr>
      </w:pPr>
      <w:r w:rsidRPr="00B0762F">
        <w:rPr>
          <w:rFonts w:eastAsia="Times New Roman" w:cs="Arial"/>
          <w:sz w:val="22"/>
          <w:szCs w:val="22"/>
        </w:rPr>
        <w:t xml:space="preserve">In this survey we seek to understand how the public rates our service, how they interact with </w:t>
      </w:r>
      <w:proofErr w:type="spellStart"/>
      <w:r w:rsidRPr="00B0762F">
        <w:rPr>
          <w:rFonts w:eastAsia="Times New Roman" w:cs="Arial"/>
          <w:sz w:val="22"/>
          <w:szCs w:val="22"/>
        </w:rPr>
        <w:t>SDO</w:t>
      </w:r>
      <w:proofErr w:type="spellEnd"/>
      <w:r w:rsidRPr="00B0762F">
        <w:rPr>
          <w:rFonts w:eastAsia="Times New Roman" w:cs="Arial"/>
          <w:sz w:val="22"/>
          <w:szCs w:val="22"/>
        </w:rPr>
        <w:t xml:space="preserve"> and what we can do to improve our service. </w:t>
      </w:r>
    </w:p>
    <w:p w:rsidR="000D713B" w:rsidRPr="00B0762F" w:rsidRDefault="000D713B" w:rsidP="000D713B">
      <w:pPr>
        <w:spacing w:before="0" w:after="0" w:line="280" w:lineRule="atLeast"/>
        <w:ind w:left="-426"/>
        <w:rPr>
          <w:rFonts w:eastAsia="Times New Roman" w:cs="Arial"/>
          <w:sz w:val="22"/>
          <w:szCs w:val="22"/>
        </w:rPr>
      </w:pPr>
    </w:p>
    <w:p w:rsidR="000D713B" w:rsidRPr="00B0762F" w:rsidRDefault="000D713B" w:rsidP="000D713B">
      <w:pPr>
        <w:spacing w:before="0" w:after="0" w:line="280" w:lineRule="atLeast"/>
        <w:ind w:left="-426"/>
        <w:rPr>
          <w:rFonts w:eastAsia="Times New Roman" w:cs="Arial"/>
          <w:sz w:val="22"/>
          <w:szCs w:val="22"/>
        </w:rPr>
      </w:pPr>
      <w:r w:rsidRPr="00B0762F">
        <w:rPr>
          <w:rFonts w:eastAsia="Times New Roman" w:cs="Arial"/>
          <w:sz w:val="22"/>
          <w:szCs w:val="22"/>
        </w:rPr>
        <w:t xml:space="preserve">The 2014/15 survey is the third in a series of </w:t>
      </w:r>
      <w:r>
        <w:rPr>
          <w:rFonts w:eastAsia="Times New Roman" w:cs="Arial"/>
          <w:sz w:val="22"/>
          <w:szCs w:val="22"/>
        </w:rPr>
        <w:t xml:space="preserve">annual </w:t>
      </w:r>
      <w:r w:rsidRPr="00B0762F">
        <w:rPr>
          <w:rFonts w:eastAsia="Times New Roman" w:cs="Arial"/>
          <w:sz w:val="22"/>
          <w:szCs w:val="22"/>
        </w:rPr>
        <w:t xml:space="preserve">surveys to monitor public satisfaction over time, and </w:t>
      </w:r>
      <w:r>
        <w:rPr>
          <w:rFonts w:eastAsia="Times New Roman" w:cs="Arial"/>
          <w:sz w:val="22"/>
          <w:szCs w:val="22"/>
        </w:rPr>
        <w:t xml:space="preserve">to monitor </w:t>
      </w:r>
      <w:r w:rsidRPr="00B0762F">
        <w:rPr>
          <w:rFonts w:eastAsia="Times New Roman" w:cs="Arial"/>
          <w:sz w:val="22"/>
          <w:szCs w:val="22"/>
        </w:rPr>
        <w:t>responses to changes in our service delivery.</w:t>
      </w:r>
    </w:p>
    <w:p w:rsidR="000D713B" w:rsidRPr="00B0762F" w:rsidRDefault="000D713B" w:rsidP="000D713B">
      <w:pPr>
        <w:spacing w:before="0" w:after="0" w:line="280" w:lineRule="atLeast"/>
        <w:ind w:left="-426"/>
        <w:rPr>
          <w:rFonts w:eastAsia="Times New Roman" w:cs="Arial"/>
        </w:rPr>
      </w:pPr>
    </w:p>
    <w:p w:rsidR="000D713B" w:rsidRPr="00B0762F" w:rsidRDefault="000D713B" w:rsidP="000D713B">
      <w:pPr>
        <w:spacing w:before="0" w:after="0" w:line="280" w:lineRule="atLeast"/>
        <w:ind w:left="-426"/>
        <w:rPr>
          <w:rFonts w:eastAsia="Times New Roman" w:cs="Arial"/>
          <w:color w:val="E36C0A"/>
        </w:rPr>
      </w:pPr>
    </w:p>
    <w:p w:rsidR="000D713B" w:rsidRPr="00B0762F" w:rsidRDefault="000D713B" w:rsidP="000D713B">
      <w:pPr>
        <w:spacing w:before="0" w:after="0" w:line="280" w:lineRule="atLeast"/>
        <w:ind w:left="-426"/>
        <w:rPr>
          <w:rFonts w:eastAsia="Times New Roman"/>
          <w:b/>
          <w:bCs/>
          <w:iCs/>
          <w:color w:val="4F81BD"/>
        </w:rPr>
      </w:pPr>
      <w:r w:rsidRPr="00B0762F">
        <w:rPr>
          <w:rFonts w:eastAsia="Times New Roman"/>
          <w:b/>
          <w:bCs/>
          <w:i/>
          <w:iCs/>
          <w:color w:val="4F81BD"/>
        </w:rPr>
        <w:t>Key Findings</w:t>
      </w:r>
    </w:p>
    <w:p w:rsidR="000D713B" w:rsidRPr="00B0762F" w:rsidRDefault="000D713B" w:rsidP="000D713B">
      <w:pPr>
        <w:spacing w:before="0" w:after="0" w:line="280" w:lineRule="atLeast"/>
        <w:ind w:left="-426"/>
        <w:rPr>
          <w:rFonts w:eastAsia="Times New Roman" w:cs="Arial"/>
        </w:rPr>
      </w:pPr>
    </w:p>
    <w:p w:rsidR="000D713B" w:rsidRPr="00B0762F" w:rsidRDefault="000D713B" w:rsidP="000D713B">
      <w:pPr>
        <w:numPr>
          <w:ilvl w:val="0"/>
          <w:numId w:val="31"/>
        </w:numPr>
        <w:spacing w:before="0" w:after="0" w:line="280" w:lineRule="atLeast"/>
        <w:ind w:left="0" w:hanging="426"/>
        <w:contextualSpacing/>
        <w:rPr>
          <w:rFonts w:eastAsia="Times New Roman" w:cs="Arial"/>
          <w:sz w:val="22"/>
          <w:szCs w:val="22"/>
        </w:rPr>
      </w:pPr>
      <w:r w:rsidRPr="00B0762F">
        <w:rPr>
          <w:rFonts w:eastAsia="Times New Roman" w:cs="Arial"/>
          <w:sz w:val="22"/>
          <w:szCs w:val="22"/>
        </w:rPr>
        <w:t xml:space="preserve">Overall, Service Delivery and Operations customer satisfaction with the services the Department of Internal Affairs </w:t>
      </w:r>
      <w:r>
        <w:rPr>
          <w:rFonts w:eastAsia="Times New Roman" w:cs="Arial"/>
          <w:sz w:val="22"/>
          <w:szCs w:val="22"/>
        </w:rPr>
        <w:t>deliver</w:t>
      </w:r>
      <w:r w:rsidRPr="00B0762F">
        <w:rPr>
          <w:rFonts w:eastAsia="Times New Roman" w:cs="Arial"/>
          <w:sz w:val="22"/>
          <w:szCs w:val="22"/>
        </w:rPr>
        <w:t xml:space="preserve"> remains high.</w:t>
      </w:r>
    </w:p>
    <w:p w:rsidR="000D713B" w:rsidRPr="00B0762F" w:rsidRDefault="000D713B" w:rsidP="000D713B">
      <w:pPr>
        <w:spacing w:before="0" w:after="0" w:line="280" w:lineRule="atLeast"/>
        <w:contextualSpacing/>
        <w:rPr>
          <w:rFonts w:eastAsia="Times New Roman" w:cs="Arial"/>
          <w:sz w:val="22"/>
          <w:szCs w:val="22"/>
        </w:rPr>
      </w:pPr>
    </w:p>
    <w:p w:rsidR="000D713B" w:rsidRPr="00B0762F" w:rsidRDefault="000D713B" w:rsidP="000D713B">
      <w:pPr>
        <w:numPr>
          <w:ilvl w:val="0"/>
          <w:numId w:val="31"/>
        </w:numPr>
        <w:spacing w:before="0" w:after="0" w:line="280" w:lineRule="atLeast"/>
        <w:ind w:left="0" w:hanging="426"/>
        <w:contextualSpacing/>
        <w:rPr>
          <w:rFonts w:eastAsia="Times New Roman" w:cs="Arial"/>
          <w:sz w:val="22"/>
          <w:szCs w:val="22"/>
        </w:rPr>
      </w:pPr>
      <w:r w:rsidRPr="00B0762F">
        <w:rPr>
          <w:rFonts w:eastAsia="Times New Roman"/>
          <w:sz w:val="22"/>
          <w:szCs w:val="22"/>
        </w:rPr>
        <w:t xml:space="preserve">Overall </w:t>
      </w:r>
      <w:proofErr w:type="spellStart"/>
      <w:r w:rsidRPr="00B0762F">
        <w:rPr>
          <w:rFonts w:eastAsia="Times New Roman"/>
          <w:sz w:val="22"/>
          <w:szCs w:val="22"/>
        </w:rPr>
        <w:t>SDO</w:t>
      </w:r>
      <w:proofErr w:type="spellEnd"/>
      <w:r w:rsidRPr="00B0762F">
        <w:rPr>
          <w:rFonts w:eastAsia="Times New Roman"/>
          <w:sz w:val="22"/>
          <w:szCs w:val="22"/>
        </w:rPr>
        <w:t xml:space="preserve"> customers reported that it was easy to do business with Service Delivery and Operations.</w:t>
      </w:r>
    </w:p>
    <w:p w:rsidR="000D713B" w:rsidRPr="00B0762F" w:rsidRDefault="000D713B" w:rsidP="000D713B">
      <w:pPr>
        <w:spacing w:before="0" w:after="0" w:line="280" w:lineRule="atLeast"/>
        <w:contextualSpacing/>
        <w:rPr>
          <w:rFonts w:eastAsia="Times New Roman" w:cs="Arial"/>
          <w:sz w:val="22"/>
          <w:szCs w:val="22"/>
        </w:rPr>
      </w:pPr>
    </w:p>
    <w:p w:rsidR="000D713B" w:rsidRPr="00B0762F" w:rsidRDefault="000D713B" w:rsidP="000D713B">
      <w:pPr>
        <w:numPr>
          <w:ilvl w:val="0"/>
          <w:numId w:val="31"/>
        </w:numPr>
        <w:spacing w:before="0" w:after="0" w:line="280" w:lineRule="atLeast"/>
        <w:ind w:left="-426" w:firstLine="0"/>
        <w:rPr>
          <w:rFonts w:eastAsia="Times New Roman" w:cs="Arial"/>
          <w:sz w:val="22"/>
          <w:szCs w:val="22"/>
        </w:rPr>
      </w:pPr>
      <w:r w:rsidRPr="00B0762F">
        <w:rPr>
          <w:rFonts w:eastAsia="Times New Roman" w:cs="Arial"/>
          <w:sz w:val="22"/>
          <w:szCs w:val="22"/>
        </w:rPr>
        <w:t>However improvements or additions to online services remain a key customer need.</w:t>
      </w:r>
    </w:p>
    <w:p w:rsidR="000D713B" w:rsidRPr="00B0762F" w:rsidRDefault="000D713B" w:rsidP="000D713B">
      <w:pPr>
        <w:spacing w:before="0" w:after="0" w:line="280" w:lineRule="atLeast"/>
        <w:ind w:left="-426"/>
        <w:rPr>
          <w:rFonts w:eastAsia="Times New Roman" w:cs="Arial"/>
          <w:sz w:val="22"/>
          <w:szCs w:val="22"/>
        </w:rPr>
      </w:pPr>
    </w:p>
    <w:p w:rsidR="000D713B" w:rsidRPr="00B0762F" w:rsidRDefault="000D713B" w:rsidP="000D713B">
      <w:pPr>
        <w:numPr>
          <w:ilvl w:val="0"/>
          <w:numId w:val="31"/>
        </w:numPr>
        <w:spacing w:before="0" w:after="0" w:line="280" w:lineRule="atLeast"/>
        <w:ind w:left="0" w:hanging="426"/>
        <w:rPr>
          <w:rFonts w:eastAsia="Times New Roman" w:cs="Arial"/>
          <w:sz w:val="22"/>
          <w:szCs w:val="22"/>
        </w:rPr>
      </w:pPr>
      <w:r w:rsidRPr="00B0762F">
        <w:rPr>
          <w:rFonts w:eastAsia="Times New Roman" w:cs="Arial"/>
          <w:sz w:val="22"/>
          <w:szCs w:val="22"/>
        </w:rPr>
        <w:t>Customers continue to have high expectations of the service they expect to receive and rated the service they actual</w:t>
      </w:r>
      <w:r>
        <w:rPr>
          <w:rFonts w:eastAsia="Times New Roman" w:cs="Arial"/>
          <w:sz w:val="22"/>
          <w:szCs w:val="22"/>
        </w:rPr>
        <w:t>ly</w:t>
      </w:r>
      <w:r w:rsidRPr="00B0762F">
        <w:rPr>
          <w:rFonts w:eastAsia="Times New Roman" w:cs="Arial"/>
          <w:sz w:val="22"/>
          <w:szCs w:val="22"/>
        </w:rPr>
        <w:t xml:space="preserve"> received as better than expected.</w:t>
      </w:r>
    </w:p>
    <w:p w:rsidR="000D713B" w:rsidRPr="00B0762F" w:rsidRDefault="000D713B" w:rsidP="000D713B">
      <w:pPr>
        <w:spacing w:before="0" w:after="0" w:line="280" w:lineRule="atLeast"/>
        <w:ind w:left="-426"/>
        <w:rPr>
          <w:rFonts w:eastAsia="Times New Roman" w:cs="Arial"/>
          <w:sz w:val="22"/>
          <w:szCs w:val="22"/>
        </w:rPr>
      </w:pPr>
    </w:p>
    <w:p w:rsidR="000D713B" w:rsidRPr="00B0762F" w:rsidRDefault="000D713B" w:rsidP="000D713B">
      <w:pPr>
        <w:numPr>
          <w:ilvl w:val="0"/>
          <w:numId w:val="31"/>
        </w:numPr>
        <w:spacing w:before="0" w:after="0" w:line="280" w:lineRule="atLeast"/>
        <w:ind w:left="-426" w:firstLine="0"/>
        <w:rPr>
          <w:rFonts w:eastAsia="Times New Roman" w:cs="Arial"/>
          <w:sz w:val="22"/>
          <w:szCs w:val="22"/>
        </w:rPr>
      </w:pPr>
      <w:r w:rsidRPr="00B0762F">
        <w:rPr>
          <w:rFonts w:eastAsia="Times New Roman" w:cs="Arial"/>
          <w:sz w:val="22"/>
          <w:szCs w:val="22"/>
        </w:rPr>
        <w:t xml:space="preserve">Interactions with </w:t>
      </w:r>
      <w:proofErr w:type="spellStart"/>
      <w:r w:rsidRPr="00B0762F">
        <w:rPr>
          <w:rFonts w:eastAsia="Times New Roman" w:cs="Arial"/>
          <w:sz w:val="22"/>
          <w:szCs w:val="22"/>
        </w:rPr>
        <w:t>SDO</w:t>
      </w:r>
      <w:proofErr w:type="spellEnd"/>
      <w:r w:rsidRPr="00B0762F">
        <w:rPr>
          <w:rFonts w:eastAsia="Times New Roman" w:cs="Arial"/>
          <w:sz w:val="22"/>
          <w:szCs w:val="22"/>
        </w:rPr>
        <w:t xml:space="preserve"> staff remain </w:t>
      </w:r>
      <w:r>
        <w:rPr>
          <w:rFonts w:eastAsia="Times New Roman" w:cs="Arial"/>
          <w:sz w:val="22"/>
          <w:szCs w:val="22"/>
        </w:rPr>
        <w:t>highly</w:t>
      </w:r>
      <w:r w:rsidRPr="00B0762F">
        <w:rPr>
          <w:rFonts w:eastAsia="Times New Roman" w:cs="Arial"/>
          <w:sz w:val="22"/>
          <w:szCs w:val="22"/>
        </w:rPr>
        <w:t xml:space="preserve"> rated.</w:t>
      </w:r>
    </w:p>
    <w:p w:rsidR="000D713B" w:rsidRPr="00B0762F" w:rsidRDefault="000D713B" w:rsidP="000D713B">
      <w:pPr>
        <w:spacing w:before="0" w:after="0" w:line="280" w:lineRule="atLeast"/>
        <w:ind w:left="-426"/>
        <w:rPr>
          <w:rFonts w:eastAsia="Times New Roman" w:cs="Arial"/>
          <w:sz w:val="22"/>
          <w:szCs w:val="22"/>
        </w:rPr>
      </w:pPr>
    </w:p>
    <w:p w:rsidR="000D713B" w:rsidRPr="00B0762F" w:rsidRDefault="000D713B" w:rsidP="000D713B">
      <w:pPr>
        <w:numPr>
          <w:ilvl w:val="0"/>
          <w:numId w:val="31"/>
        </w:numPr>
        <w:spacing w:before="0" w:after="0" w:line="280" w:lineRule="atLeast"/>
        <w:ind w:left="-426" w:firstLine="0"/>
        <w:rPr>
          <w:rFonts w:eastAsia="Times New Roman" w:cs="Arial"/>
          <w:sz w:val="22"/>
          <w:szCs w:val="22"/>
        </w:rPr>
      </w:pPr>
      <w:r w:rsidRPr="00B0762F">
        <w:rPr>
          <w:rFonts w:eastAsia="Times New Roman" w:cs="Arial"/>
          <w:sz w:val="22"/>
          <w:szCs w:val="22"/>
        </w:rPr>
        <w:t xml:space="preserve">Customers of </w:t>
      </w:r>
      <w:proofErr w:type="spellStart"/>
      <w:r w:rsidRPr="00B0762F">
        <w:rPr>
          <w:rFonts w:eastAsia="Times New Roman" w:cs="Arial"/>
          <w:sz w:val="22"/>
          <w:szCs w:val="22"/>
        </w:rPr>
        <w:t>SDO</w:t>
      </w:r>
      <w:proofErr w:type="spellEnd"/>
      <w:r w:rsidRPr="00B0762F">
        <w:rPr>
          <w:rFonts w:eastAsia="Times New Roman" w:cs="Arial"/>
          <w:sz w:val="22"/>
          <w:szCs w:val="22"/>
        </w:rPr>
        <w:t xml:space="preserve"> continue to have high trust and confidence in the Department of Internal Affairs.</w:t>
      </w:r>
    </w:p>
    <w:p w:rsidR="000D713B" w:rsidRPr="00B0762F" w:rsidRDefault="000D713B" w:rsidP="000D713B">
      <w:pPr>
        <w:spacing w:before="0" w:after="0" w:line="280" w:lineRule="atLeast"/>
        <w:ind w:left="720"/>
        <w:contextualSpacing/>
        <w:rPr>
          <w:rFonts w:eastAsia="Times New Roman" w:cs="Arial"/>
        </w:rPr>
      </w:pPr>
    </w:p>
    <w:p w:rsidR="000D713B" w:rsidRPr="00B0762F" w:rsidRDefault="000D713B" w:rsidP="000D713B">
      <w:pPr>
        <w:spacing w:before="0" w:after="0" w:line="280" w:lineRule="atLeast"/>
        <w:rPr>
          <w:rFonts w:eastAsia="Times New Roman" w:cs="Arial"/>
        </w:rPr>
      </w:pPr>
      <w:r w:rsidRPr="00B0762F">
        <w:rPr>
          <w:rFonts w:eastAsia="Times New Roman" w:cs="Arial"/>
        </w:rPr>
        <w:br w:type="page"/>
      </w:r>
    </w:p>
    <w:p w:rsidR="000D713B" w:rsidRPr="00B0762F" w:rsidRDefault="000D713B" w:rsidP="000D713B">
      <w:pPr>
        <w:spacing w:before="0" w:after="0" w:line="280" w:lineRule="atLeast"/>
        <w:ind w:left="-284"/>
        <w:rPr>
          <w:rFonts w:eastAsia="Times New Roman"/>
          <w:b/>
          <w:bCs/>
          <w:iCs/>
          <w:color w:val="4F81BD"/>
        </w:rPr>
      </w:pPr>
      <w:r w:rsidRPr="00B0762F">
        <w:rPr>
          <w:rFonts w:eastAsia="Times New Roman"/>
          <w:b/>
          <w:bCs/>
          <w:i/>
          <w:iCs/>
          <w:color w:val="4F81BD"/>
        </w:rPr>
        <w:lastRenderedPageBreak/>
        <w:t>Overall Satisfaction</w:t>
      </w:r>
    </w:p>
    <w:p w:rsidR="000D713B" w:rsidRPr="00B0762F" w:rsidRDefault="000D713B" w:rsidP="000D713B">
      <w:pPr>
        <w:spacing w:before="0" w:after="0" w:line="280" w:lineRule="atLeast"/>
        <w:ind w:left="-284"/>
        <w:rPr>
          <w:rFonts w:eastAsia="Times New Roman" w:cs="Arial"/>
        </w:rPr>
      </w:pPr>
    </w:p>
    <w:p w:rsidR="000D713B" w:rsidRPr="00B0762F" w:rsidRDefault="000D713B" w:rsidP="000D713B">
      <w:pPr>
        <w:spacing w:before="0" w:after="0" w:line="280" w:lineRule="atLeast"/>
        <w:ind w:left="-284"/>
        <w:rPr>
          <w:rFonts w:eastAsia="Times New Roman" w:cs="Arial"/>
          <w:sz w:val="22"/>
          <w:szCs w:val="22"/>
        </w:rPr>
      </w:pPr>
      <w:r>
        <w:rPr>
          <w:rFonts w:eastAsia="Times New Roman" w:cs="Arial"/>
          <w:sz w:val="22"/>
          <w:szCs w:val="22"/>
        </w:rPr>
        <w:t>Most customers (90 per cent</w:t>
      </w:r>
      <w:r w:rsidRPr="00B0762F">
        <w:rPr>
          <w:rFonts w:eastAsia="Times New Roman" w:cs="Arial"/>
          <w:sz w:val="22"/>
          <w:szCs w:val="22"/>
        </w:rPr>
        <w:t xml:space="preserve">) were satisfied or very satisfied with the overall quality of </w:t>
      </w:r>
      <w:proofErr w:type="spellStart"/>
      <w:r w:rsidRPr="00B0762F">
        <w:rPr>
          <w:rFonts w:eastAsia="Times New Roman" w:cs="Arial"/>
          <w:sz w:val="22"/>
          <w:szCs w:val="22"/>
        </w:rPr>
        <w:t>SDO</w:t>
      </w:r>
      <w:proofErr w:type="spellEnd"/>
      <w:r w:rsidRPr="00B0762F">
        <w:rPr>
          <w:rFonts w:eastAsia="Times New Roman" w:cs="Arial"/>
          <w:sz w:val="22"/>
          <w:szCs w:val="22"/>
        </w:rPr>
        <w:t xml:space="preserve"> service delivery. Results in 2014/15 </w:t>
      </w:r>
      <w:r>
        <w:rPr>
          <w:rFonts w:eastAsia="Times New Roman" w:cs="Arial"/>
          <w:sz w:val="22"/>
          <w:szCs w:val="22"/>
        </w:rPr>
        <w:t>were</w:t>
      </w:r>
      <w:r w:rsidRPr="00B0762F">
        <w:rPr>
          <w:rFonts w:eastAsia="Times New Roman" w:cs="Arial"/>
          <w:sz w:val="22"/>
          <w:szCs w:val="22"/>
        </w:rPr>
        <w:t xml:space="preserve"> basically the same as</w:t>
      </w:r>
      <w:r>
        <w:rPr>
          <w:rFonts w:eastAsia="Times New Roman" w:cs="Arial"/>
          <w:sz w:val="22"/>
          <w:szCs w:val="22"/>
        </w:rPr>
        <w:t xml:space="preserve"> in</w:t>
      </w:r>
      <w:r w:rsidRPr="00B0762F">
        <w:rPr>
          <w:rFonts w:eastAsia="Times New Roman" w:cs="Arial"/>
          <w:sz w:val="22"/>
          <w:szCs w:val="22"/>
        </w:rPr>
        <w:t xml:space="preserve"> 2013/14, reflecting the maintenance of a high level of service.</w:t>
      </w:r>
      <w:r w:rsidRPr="00B0762F">
        <w:rPr>
          <w:rFonts w:eastAsia="Times New Roman" w:cs="Arial"/>
          <w:sz w:val="22"/>
          <w:szCs w:val="22"/>
          <w:vertAlign w:val="superscript"/>
        </w:rPr>
        <w:footnoteReference w:id="1"/>
      </w:r>
      <w:r w:rsidRPr="00B0762F">
        <w:rPr>
          <w:rFonts w:eastAsia="Times New Roman" w:cs="Arial"/>
          <w:sz w:val="22"/>
          <w:szCs w:val="22"/>
        </w:rPr>
        <w:t xml:space="preserve">  </w:t>
      </w:r>
    </w:p>
    <w:p w:rsidR="000D713B" w:rsidRPr="00B0762F" w:rsidRDefault="000D713B" w:rsidP="000D713B">
      <w:pPr>
        <w:spacing w:before="0" w:after="0" w:line="280" w:lineRule="atLeast"/>
        <w:ind w:left="-284"/>
        <w:rPr>
          <w:rFonts w:eastAsia="Times New Roman" w:cs="Arial"/>
          <w:sz w:val="22"/>
          <w:szCs w:val="22"/>
        </w:rPr>
      </w:pPr>
    </w:p>
    <w:p w:rsidR="000D713B" w:rsidRPr="00B0762F" w:rsidRDefault="000D713B" w:rsidP="000D713B">
      <w:pPr>
        <w:spacing w:before="0" w:after="0" w:line="280" w:lineRule="atLeast"/>
        <w:ind w:left="-284"/>
        <w:rPr>
          <w:rFonts w:eastAsia="Times New Roman" w:cs="Arial"/>
        </w:rPr>
      </w:pPr>
      <w:r w:rsidRPr="00B0762F">
        <w:rPr>
          <w:rFonts w:ascii="Arial" w:eastAsia="Times New Roman" w:hAnsi="Arial"/>
          <w:noProof/>
          <w:sz w:val="22"/>
          <w:lang w:eastAsia="en-NZ"/>
        </w:rPr>
        <w:drawing>
          <wp:inline distT="0" distB="0" distL="0" distR="0" wp14:anchorId="49294236" wp14:editId="4EDDF4AC">
            <wp:extent cx="5783179" cy="3368843"/>
            <wp:effectExtent l="0" t="0" r="27305"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713B" w:rsidRPr="00B0762F" w:rsidRDefault="000D713B" w:rsidP="000D713B">
      <w:pPr>
        <w:spacing w:before="0" w:after="0" w:line="280" w:lineRule="atLeast"/>
        <w:ind w:left="-284"/>
        <w:rPr>
          <w:rFonts w:eastAsia="Times New Roman" w:cs="Arial"/>
          <w:sz w:val="18"/>
          <w:szCs w:val="18"/>
        </w:rPr>
      </w:pPr>
      <w:r w:rsidRPr="00B0762F">
        <w:rPr>
          <w:rFonts w:eastAsia="Times New Roman" w:cs="Arial"/>
          <w:sz w:val="18"/>
          <w:szCs w:val="18"/>
        </w:rPr>
        <w:t>Source: Service Delivery and Operations Customer Experience Survey 2012/13, 2013/14 and 2014/15</w:t>
      </w:r>
    </w:p>
    <w:p w:rsidR="000D713B" w:rsidRPr="00B0762F" w:rsidRDefault="000D713B" w:rsidP="000D713B">
      <w:pPr>
        <w:spacing w:before="0" w:after="0" w:line="280" w:lineRule="atLeast"/>
        <w:ind w:left="-284"/>
        <w:rPr>
          <w:rFonts w:eastAsia="Times New Roman" w:cs="Arial"/>
          <w:sz w:val="22"/>
          <w:szCs w:val="22"/>
        </w:rPr>
      </w:pPr>
    </w:p>
    <w:p w:rsidR="000D713B" w:rsidRPr="00B0762F" w:rsidRDefault="000D713B" w:rsidP="000D713B">
      <w:pPr>
        <w:spacing w:before="0" w:after="0" w:line="280" w:lineRule="atLeast"/>
        <w:ind w:left="-284"/>
        <w:rPr>
          <w:rFonts w:eastAsia="Times New Roman" w:cs="Arial"/>
          <w:sz w:val="22"/>
          <w:szCs w:val="22"/>
        </w:rPr>
      </w:pPr>
      <w:r>
        <w:rPr>
          <w:rFonts w:eastAsia="Times New Roman" w:cs="Arial"/>
          <w:sz w:val="22"/>
          <w:szCs w:val="22"/>
        </w:rPr>
        <w:t xml:space="preserve">Examples of </w:t>
      </w:r>
      <w:r w:rsidRPr="00B0762F">
        <w:rPr>
          <w:rFonts w:eastAsia="Times New Roman" w:cs="Arial"/>
          <w:sz w:val="22"/>
          <w:szCs w:val="22"/>
        </w:rPr>
        <w:t>very positive feedback</w:t>
      </w:r>
      <w:r>
        <w:rPr>
          <w:rFonts w:eastAsia="Times New Roman" w:cs="Arial"/>
          <w:sz w:val="22"/>
          <w:szCs w:val="22"/>
        </w:rPr>
        <w:t xml:space="preserve"> provided by customers</w:t>
      </w:r>
      <w:r w:rsidRPr="00B0762F">
        <w:rPr>
          <w:rFonts w:eastAsia="Times New Roman" w:cs="Arial"/>
          <w:sz w:val="22"/>
          <w:szCs w:val="22"/>
        </w:rPr>
        <w:t>:</w:t>
      </w:r>
    </w:p>
    <w:p w:rsidR="000D713B" w:rsidRPr="00B0762F" w:rsidRDefault="000D713B" w:rsidP="000D713B">
      <w:pPr>
        <w:keepLines/>
        <w:rPr>
          <w:rFonts w:eastAsia="Calibri"/>
          <w:i/>
          <w:sz w:val="22"/>
          <w:szCs w:val="22"/>
        </w:rPr>
      </w:pPr>
      <w:r w:rsidRPr="00B0762F">
        <w:rPr>
          <w:rFonts w:eastAsia="Calibri"/>
          <w:i/>
          <w:sz w:val="22"/>
          <w:szCs w:val="22"/>
        </w:rPr>
        <w:t xml:space="preserve">I wasn't expecting the application would be </w:t>
      </w:r>
      <w:proofErr w:type="gramStart"/>
      <w:r w:rsidRPr="00B0762F">
        <w:rPr>
          <w:rFonts w:eastAsia="Calibri"/>
          <w:i/>
          <w:sz w:val="22"/>
          <w:szCs w:val="22"/>
        </w:rPr>
        <w:t>so</w:t>
      </w:r>
      <w:proofErr w:type="gramEnd"/>
      <w:r w:rsidRPr="00B0762F">
        <w:rPr>
          <w:rFonts w:eastAsia="Calibri"/>
          <w:i/>
          <w:sz w:val="22"/>
          <w:szCs w:val="22"/>
        </w:rPr>
        <w:t xml:space="preserve"> easy as I am now living overseas. They replied to my email on spot and the officer called me to confirm my information the same day they receive</w:t>
      </w:r>
      <w:r>
        <w:rPr>
          <w:rFonts w:eastAsia="Calibri"/>
          <w:i/>
          <w:sz w:val="22"/>
          <w:szCs w:val="22"/>
        </w:rPr>
        <w:t>d</w:t>
      </w:r>
      <w:r w:rsidRPr="00B0762F">
        <w:rPr>
          <w:rFonts w:eastAsia="Calibri"/>
          <w:i/>
          <w:sz w:val="22"/>
          <w:szCs w:val="22"/>
        </w:rPr>
        <w:t xml:space="preserve"> the application form. She was very professional and friendly, I was overwhelmed. The whole process only took one day to complete. The best experience I </w:t>
      </w:r>
      <w:r>
        <w:rPr>
          <w:rFonts w:eastAsia="Calibri"/>
          <w:i/>
          <w:sz w:val="22"/>
          <w:szCs w:val="22"/>
        </w:rPr>
        <w:t xml:space="preserve">have </w:t>
      </w:r>
      <w:r w:rsidRPr="00B0762F">
        <w:rPr>
          <w:rFonts w:eastAsia="Calibri"/>
          <w:i/>
          <w:sz w:val="22"/>
          <w:szCs w:val="22"/>
        </w:rPr>
        <w:t>had - thank you.</w:t>
      </w:r>
    </w:p>
    <w:p w:rsidR="000D713B" w:rsidRPr="00B0762F" w:rsidRDefault="000D713B" w:rsidP="000D713B">
      <w:pPr>
        <w:spacing w:before="0" w:after="0" w:line="280" w:lineRule="atLeast"/>
        <w:rPr>
          <w:rFonts w:eastAsia="Times New Roman"/>
          <w:i/>
          <w:sz w:val="22"/>
          <w:szCs w:val="22"/>
        </w:rPr>
      </w:pPr>
      <w:r w:rsidRPr="00B0762F">
        <w:rPr>
          <w:rFonts w:eastAsia="Times New Roman"/>
          <w:i/>
          <w:sz w:val="22"/>
          <w:szCs w:val="22"/>
        </w:rPr>
        <w:t xml:space="preserve">I have been doing this for twenty years, starting with applying on paper and then going online. The service has improved year by year and it is now a good service. The </w:t>
      </w:r>
      <w:proofErr w:type="gramStart"/>
      <w:r w:rsidRPr="00B0762F">
        <w:rPr>
          <w:rFonts w:eastAsia="Times New Roman"/>
          <w:i/>
          <w:sz w:val="22"/>
          <w:szCs w:val="22"/>
        </w:rPr>
        <w:t>staff have</w:t>
      </w:r>
      <w:proofErr w:type="gramEnd"/>
      <w:r w:rsidRPr="00B0762F">
        <w:rPr>
          <w:rFonts w:eastAsia="Times New Roman"/>
          <w:i/>
          <w:sz w:val="22"/>
          <w:szCs w:val="22"/>
        </w:rPr>
        <w:t xml:space="preserve"> always been polite.</w:t>
      </w:r>
    </w:p>
    <w:p w:rsidR="000D713B" w:rsidRPr="00B0762F" w:rsidRDefault="000D713B" w:rsidP="000D713B">
      <w:pPr>
        <w:spacing w:before="0" w:after="0" w:line="280" w:lineRule="atLeast"/>
        <w:rPr>
          <w:rFonts w:ascii="Arial" w:eastAsia="Times New Roman" w:hAnsi="Arial"/>
          <w:sz w:val="22"/>
          <w:szCs w:val="22"/>
        </w:rPr>
      </w:pPr>
    </w:p>
    <w:p w:rsidR="000D713B" w:rsidRPr="00B0762F" w:rsidRDefault="000D713B" w:rsidP="000D713B">
      <w:pPr>
        <w:spacing w:before="0" w:after="0" w:line="280" w:lineRule="atLeast"/>
        <w:rPr>
          <w:rFonts w:ascii="Arial" w:eastAsia="Times New Roman" w:hAnsi="Arial"/>
          <w:sz w:val="22"/>
          <w:szCs w:val="22"/>
        </w:rPr>
      </w:pPr>
      <w:r w:rsidRPr="00B0762F">
        <w:rPr>
          <w:rFonts w:eastAsia="Times New Roman"/>
          <w:i/>
          <w:sz w:val="22"/>
          <w:szCs w:val="22"/>
        </w:rPr>
        <w:t>Everything was done face to face and she explained everything and especially taking into [account] the fact that I wasn't a New Zealander. They were very good [at] taking in cultural customs.</w:t>
      </w:r>
    </w:p>
    <w:p w:rsidR="000D713B" w:rsidRPr="00B0762F" w:rsidRDefault="000D713B" w:rsidP="000D713B">
      <w:pPr>
        <w:spacing w:before="0" w:after="0" w:line="280" w:lineRule="atLeast"/>
        <w:rPr>
          <w:rFonts w:eastAsia="Times New Roman"/>
          <w:i/>
          <w:sz w:val="22"/>
          <w:szCs w:val="22"/>
        </w:rPr>
      </w:pPr>
    </w:p>
    <w:p w:rsidR="000D713B" w:rsidRDefault="000D713B" w:rsidP="000D713B">
      <w:pPr>
        <w:keepLines/>
        <w:spacing w:before="0" w:after="0"/>
        <w:rPr>
          <w:rFonts w:eastAsia="Calibri"/>
          <w:i/>
          <w:sz w:val="22"/>
          <w:szCs w:val="22"/>
        </w:rPr>
      </w:pPr>
      <w:r w:rsidRPr="00B0762F">
        <w:rPr>
          <w:rFonts w:eastAsia="Calibri"/>
          <w:i/>
          <w:sz w:val="22"/>
          <w:szCs w:val="22"/>
        </w:rPr>
        <w:t>I needed my certificate urgently and being a Friday I didn't expect it until Monday and it turned up on Saturday. The guy I spoke to was amazing.</w:t>
      </w:r>
    </w:p>
    <w:p w:rsidR="000D713B" w:rsidRPr="00B0762F" w:rsidRDefault="000D713B" w:rsidP="000D713B">
      <w:pPr>
        <w:keepLines/>
        <w:spacing w:before="0" w:after="0"/>
        <w:rPr>
          <w:rFonts w:eastAsia="Calibri"/>
          <w:i/>
          <w:sz w:val="22"/>
          <w:szCs w:val="22"/>
        </w:rPr>
      </w:pPr>
    </w:p>
    <w:p w:rsidR="000D713B" w:rsidRDefault="000D713B" w:rsidP="000D713B">
      <w:pPr>
        <w:keepLines/>
        <w:spacing w:before="0" w:after="0"/>
        <w:rPr>
          <w:rFonts w:eastAsia="Calibri"/>
          <w:i/>
          <w:sz w:val="22"/>
          <w:szCs w:val="22"/>
        </w:rPr>
      </w:pPr>
      <w:r w:rsidRPr="00B0762F">
        <w:rPr>
          <w:rFonts w:eastAsia="Calibri"/>
          <w:i/>
          <w:sz w:val="22"/>
          <w:szCs w:val="22"/>
        </w:rPr>
        <w:t>I needed to upgrade to an emergency passport as my grandmother died before I got my passport. I rang the department and they were amazing! Made everything so painless and I had my passport in a matter of hours.</w:t>
      </w:r>
    </w:p>
    <w:p w:rsidR="000D713B" w:rsidRPr="00B0762F" w:rsidRDefault="000D713B" w:rsidP="000D713B">
      <w:pPr>
        <w:keepLines/>
        <w:spacing w:before="0" w:after="0"/>
        <w:rPr>
          <w:rFonts w:eastAsia="Calibri"/>
          <w:i/>
          <w:sz w:val="22"/>
          <w:szCs w:val="22"/>
        </w:rPr>
      </w:pPr>
    </w:p>
    <w:p w:rsidR="000D713B" w:rsidRPr="00B0762F" w:rsidRDefault="000D713B" w:rsidP="000D713B">
      <w:pPr>
        <w:spacing w:before="0" w:after="0" w:line="280" w:lineRule="atLeast"/>
        <w:rPr>
          <w:rFonts w:eastAsia="Times New Roman" w:cs="Arial"/>
          <w:i/>
          <w:sz w:val="22"/>
          <w:szCs w:val="22"/>
        </w:rPr>
      </w:pPr>
      <w:r w:rsidRPr="00B0762F">
        <w:rPr>
          <w:rFonts w:eastAsia="Times New Roman" w:cs="Arial"/>
          <w:i/>
          <w:sz w:val="22"/>
          <w:szCs w:val="22"/>
        </w:rPr>
        <w:t xml:space="preserve">Honestly I have never ever been so happy with a service. </w:t>
      </w:r>
      <w:proofErr w:type="gramStart"/>
      <w:r w:rsidRPr="00B0762F">
        <w:rPr>
          <w:rFonts w:eastAsia="Times New Roman" w:cs="Arial"/>
          <w:i/>
          <w:sz w:val="22"/>
          <w:szCs w:val="22"/>
        </w:rPr>
        <w:t>Especially in London.</w:t>
      </w:r>
      <w:proofErr w:type="gramEnd"/>
      <w:r w:rsidRPr="00B0762F">
        <w:rPr>
          <w:rFonts w:eastAsia="Times New Roman" w:cs="Arial"/>
          <w:i/>
          <w:sz w:val="22"/>
          <w:szCs w:val="22"/>
        </w:rPr>
        <w:t xml:space="preserve"> Very quick, reliable, friendly and just perfect, you were informed about every step. Well done.</w:t>
      </w:r>
    </w:p>
    <w:p w:rsidR="000D713B" w:rsidRPr="00B0762F" w:rsidRDefault="000D713B" w:rsidP="000D713B">
      <w:pPr>
        <w:spacing w:before="0" w:after="0" w:line="280" w:lineRule="atLeast"/>
        <w:ind w:left="-426"/>
        <w:rPr>
          <w:rFonts w:eastAsia="Times New Roman"/>
          <w:b/>
          <w:bCs/>
          <w:iCs/>
          <w:color w:val="4F81BD"/>
        </w:rPr>
      </w:pPr>
      <w:r w:rsidRPr="00B0762F">
        <w:rPr>
          <w:rFonts w:eastAsia="Times New Roman"/>
          <w:b/>
          <w:bCs/>
          <w:i/>
          <w:iCs/>
          <w:color w:val="4F81BD"/>
        </w:rPr>
        <w:lastRenderedPageBreak/>
        <w:t>Service Expectations and Experience</w:t>
      </w:r>
    </w:p>
    <w:p w:rsidR="000D713B" w:rsidRPr="00B0762F" w:rsidRDefault="000D713B" w:rsidP="000D713B">
      <w:pPr>
        <w:spacing w:before="0" w:after="0" w:line="280" w:lineRule="atLeast"/>
        <w:ind w:left="-426"/>
        <w:rPr>
          <w:rFonts w:eastAsia="Times New Roman"/>
          <w:b/>
          <w:bCs/>
          <w:iCs/>
          <w:color w:val="4F81BD"/>
        </w:rPr>
      </w:pPr>
    </w:p>
    <w:p w:rsidR="000D713B" w:rsidRPr="00B0762F" w:rsidRDefault="000D713B" w:rsidP="000D713B">
      <w:pPr>
        <w:spacing w:before="0" w:after="0" w:line="280" w:lineRule="atLeast"/>
        <w:ind w:left="-426"/>
        <w:rPr>
          <w:rFonts w:eastAsia="Times New Roman" w:cs="Arial"/>
          <w:sz w:val="22"/>
          <w:szCs w:val="22"/>
        </w:rPr>
      </w:pPr>
      <w:r w:rsidRPr="00B0762F">
        <w:rPr>
          <w:rFonts w:eastAsia="Times New Roman" w:cs="Arial"/>
          <w:sz w:val="22"/>
          <w:szCs w:val="22"/>
        </w:rPr>
        <w:t xml:space="preserve">Half of </w:t>
      </w:r>
      <w:proofErr w:type="spellStart"/>
      <w:r w:rsidRPr="00B0762F">
        <w:rPr>
          <w:rFonts w:eastAsia="Times New Roman" w:cs="Arial"/>
          <w:sz w:val="22"/>
          <w:szCs w:val="22"/>
        </w:rPr>
        <w:t>SDO</w:t>
      </w:r>
      <w:proofErr w:type="spellEnd"/>
      <w:r w:rsidRPr="00B0762F">
        <w:rPr>
          <w:rFonts w:eastAsia="Times New Roman" w:cs="Arial"/>
          <w:sz w:val="22"/>
          <w:szCs w:val="22"/>
        </w:rPr>
        <w:t xml:space="preserve"> customers had high expectations of the quality of service they would receive </w:t>
      </w:r>
      <w:r w:rsidRPr="00B0762F">
        <w:rPr>
          <w:rFonts w:eastAsia="Times New Roman" w:cs="Arial"/>
          <w:sz w:val="22"/>
          <w:szCs w:val="22"/>
          <w:u w:val="single"/>
        </w:rPr>
        <w:t>and</w:t>
      </w:r>
      <w:r w:rsidRPr="00B0762F">
        <w:rPr>
          <w:rFonts w:eastAsia="Times New Roman" w:cs="Arial"/>
          <w:sz w:val="22"/>
          <w:szCs w:val="22"/>
        </w:rPr>
        <w:t xml:space="preserve"> felt that the resulting service received was better than expected.  </w:t>
      </w:r>
    </w:p>
    <w:p w:rsidR="000D713B" w:rsidRPr="00B0762F" w:rsidRDefault="000D713B" w:rsidP="000D713B">
      <w:pPr>
        <w:spacing w:before="0" w:after="0" w:line="280" w:lineRule="atLeast"/>
        <w:ind w:left="-426"/>
        <w:rPr>
          <w:rFonts w:eastAsia="Times New Roman" w:cs="Arial"/>
          <w:sz w:val="22"/>
          <w:szCs w:val="22"/>
        </w:rPr>
      </w:pPr>
    </w:p>
    <w:p w:rsidR="000D713B" w:rsidRPr="00B0762F" w:rsidRDefault="000D713B" w:rsidP="000D713B">
      <w:pPr>
        <w:spacing w:before="0" w:after="0" w:line="280" w:lineRule="atLeast"/>
        <w:ind w:left="-426"/>
        <w:rPr>
          <w:rFonts w:eastAsia="Times New Roman" w:cs="Arial"/>
          <w:sz w:val="22"/>
          <w:szCs w:val="22"/>
        </w:rPr>
      </w:pPr>
      <w:r w:rsidRPr="00B0762F">
        <w:rPr>
          <w:rFonts w:ascii="Arial" w:eastAsia="Times New Roman" w:hAnsi="Arial"/>
          <w:noProof/>
          <w:sz w:val="22"/>
          <w:lang w:eastAsia="en-NZ"/>
        </w:rPr>
        <w:drawing>
          <wp:inline distT="0" distB="0" distL="0" distR="0" wp14:anchorId="3B5F21EB" wp14:editId="4BA5018C">
            <wp:extent cx="5093369" cy="2791327"/>
            <wp:effectExtent l="19050" t="19050" r="12065" b="28575"/>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a:stretch>
                      <a:fillRect/>
                    </a:stretch>
                  </pic:blipFill>
                  <pic:spPr>
                    <a:xfrm>
                      <a:off x="0" y="0"/>
                      <a:ext cx="5088406" cy="2788607"/>
                    </a:xfrm>
                    <a:prstGeom prst="rect">
                      <a:avLst/>
                    </a:prstGeom>
                    <a:ln w="3175">
                      <a:solidFill>
                        <a:sysClr val="windowText" lastClr="000000">
                          <a:lumMod val="65000"/>
                          <a:lumOff val="35000"/>
                        </a:sysClr>
                      </a:solidFill>
                    </a:ln>
                  </pic:spPr>
                </pic:pic>
              </a:graphicData>
            </a:graphic>
          </wp:inline>
        </w:drawing>
      </w:r>
    </w:p>
    <w:p w:rsidR="000D713B" w:rsidRPr="00B0762F" w:rsidRDefault="000D713B" w:rsidP="000D713B">
      <w:pPr>
        <w:spacing w:before="0" w:after="0" w:line="280" w:lineRule="atLeast"/>
        <w:ind w:left="-426"/>
        <w:rPr>
          <w:rFonts w:eastAsia="Times New Roman" w:cs="Arial"/>
          <w:sz w:val="18"/>
          <w:szCs w:val="18"/>
        </w:rPr>
      </w:pPr>
      <w:r w:rsidRPr="00B0762F">
        <w:rPr>
          <w:rFonts w:eastAsia="Times New Roman" w:cs="Arial"/>
          <w:sz w:val="18"/>
          <w:szCs w:val="18"/>
        </w:rPr>
        <w:t>Source: Service Delivery and Operations Customer Experience Survey 2014/15</w:t>
      </w:r>
    </w:p>
    <w:p w:rsidR="000D713B" w:rsidRPr="00B0762F" w:rsidRDefault="000D713B" w:rsidP="000D713B">
      <w:pPr>
        <w:spacing w:before="0" w:after="0" w:line="280" w:lineRule="atLeast"/>
        <w:ind w:left="-426"/>
        <w:rPr>
          <w:rFonts w:eastAsia="Times New Roman" w:cs="Arial"/>
        </w:rPr>
      </w:pPr>
    </w:p>
    <w:p w:rsidR="000D713B" w:rsidRPr="00B0762F" w:rsidRDefault="000D713B" w:rsidP="000D713B">
      <w:pPr>
        <w:spacing w:before="0" w:after="0" w:line="280" w:lineRule="atLeast"/>
        <w:ind w:left="-426"/>
        <w:rPr>
          <w:rFonts w:eastAsia="Times New Roman"/>
          <w:b/>
          <w:bCs/>
          <w:iCs/>
          <w:color w:val="4F81BD"/>
        </w:rPr>
      </w:pPr>
      <w:r w:rsidRPr="00B0762F">
        <w:rPr>
          <w:rFonts w:eastAsia="Times New Roman"/>
          <w:b/>
          <w:bCs/>
          <w:i/>
          <w:iCs/>
          <w:color w:val="4F81BD"/>
        </w:rPr>
        <w:t>Key Service Measures</w:t>
      </w:r>
    </w:p>
    <w:p w:rsidR="000D713B" w:rsidRPr="00B0762F" w:rsidRDefault="000D713B" w:rsidP="000D713B">
      <w:pPr>
        <w:spacing w:before="0" w:after="0" w:line="280" w:lineRule="atLeast"/>
        <w:ind w:left="-426"/>
        <w:rPr>
          <w:rFonts w:eastAsia="Times New Roman"/>
          <w:b/>
          <w:bCs/>
          <w:iCs/>
          <w:color w:val="4F81BD"/>
        </w:rPr>
      </w:pPr>
    </w:p>
    <w:p w:rsidR="000D713B" w:rsidRPr="00B0762F" w:rsidRDefault="000D713B" w:rsidP="000D713B">
      <w:pPr>
        <w:spacing w:before="0" w:after="0" w:line="280" w:lineRule="atLeast"/>
        <w:ind w:left="-426"/>
        <w:rPr>
          <w:rFonts w:eastAsia="Times New Roman" w:cs="Arial"/>
          <w:sz w:val="22"/>
          <w:szCs w:val="22"/>
        </w:rPr>
      </w:pPr>
      <w:proofErr w:type="spellStart"/>
      <w:r w:rsidRPr="00B0762F">
        <w:rPr>
          <w:rFonts w:eastAsia="Times New Roman" w:cs="Arial"/>
          <w:sz w:val="22"/>
          <w:szCs w:val="22"/>
        </w:rPr>
        <w:t>SDO</w:t>
      </w:r>
      <w:proofErr w:type="spellEnd"/>
      <w:r w:rsidRPr="00B0762F">
        <w:rPr>
          <w:rFonts w:eastAsia="Times New Roman" w:cs="Arial"/>
          <w:sz w:val="22"/>
          <w:szCs w:val="22"/>
        </w:rPr>
        <w:t xml:space="preserve"> customers rate</w:t>
      </w:r>
      <w:r>
        <w:rPr>
          <w:rFonts w:eastAsia="Times New Roman" w:cs="Arial"/>
          <w:sz w:val="22"/>
          <w:szCs w:val="22"/>
        </w:rPr>
        <w:t>d</w:t>
      </w:r>
      <w:r w:rsidRPr="00B0762F">
        <w:rPr>
          <w:rFonts w:eastAsia="Times New Roman" w:cs="Arial"/>
          <w:sz w:val="22"/>
          <w:szCs w:val="22"/>
        </w:rPr>
        <w:t xml:space="preserve"> the key service measures highly. In particular “Staff </w:t>
      </w:r>
      <w:proofErr w:type="gramStart"/>
      <w:r w:rsidRPr="00B0762F">
        <w:rPr>
          <w:rFonts w:eastAsia="Times New Roman" w:cs="Arial"/>
          <w:sz w:val="22"/>
          <w:szCs w:val="22"/>
        </w:rPr>
        <w:t>were</w:t>
      </w:r>
      <w:proofErr w:type="gramEnd"/>
      <w:r w:rsidRPr="00B0762F">
        <w:rPr>
          <w:rFonts w:eastAsia="Times New Roman" w:cs="Arial"/>
          <w:sz w:val="22"/>
          <w:szCs w:val="22"/>
        </w:rPr>
        <w:t xml:space="preserve"> competent”, “Staff did what they said they would do”, and “I was treated fairly” were all rated above </w:t>
      </w:r>
      <w:r>
        <w:rPr>
          <w:rFonts w:eastAsia="Times New Roman" w:cs="Arial"/>
          <w:sz w:val="22"/>
          <w:szCs w:val="22"/>
        </w:rPr>
        <w:t>90 per cent</w:t>
      </w:r>
      <w:r w:rsidRPr="00B0762F">
        <w:rPr>
          <w:rFonts w:eastAsia="Times New Roman" w:cs="Arial"/>
          <w:sz w:val="22"/>
          <w:szCs w:val="22"/>
        </w:rPr>
        <w:t xml:space="preserve">. These three measures relate directly to service received from </w:t>
      </w:r>
      <w:proofErr w:type="spellStart"/>
      <w:r w:rsidRPr="00B0762F">
        <w:rPr>
          <w:rFonts w:eastAsia="Times New Roman" w:cs="Arial"/>
          <w:sz w:val="22"/>
          <w:szCs w:val="22"/>
        </w:rPr>
        <w:t>SDO</w:t>
      </w:r>
      <w:proofErr w:type="spellEnd"/>
      <w:r w:rsidRPr="00B0762F">
        <w:rPr>
          <w:rFonts w:eastAsia="Times New Roman" w:cs="Arial"/>
          <w:sz w:val="22"/>
          <w:szCs w:val="22"/>
        </w:rPr>
        <w:t xml:space="preserve"> </w:t>
      </w:r>
      <w:r>
        <w:rPr>
          <w:rFonts w:eastAsia="Times New Roman" w:cs="Arial"/>
          <w:sz w:val="22"/>
          <w:szCs w:val="22"/>
        </w:rPr>
        <w:t>staff</w:t>
      </w:r>
      <w:r w:rsidRPr="00B0762F">
        <w:rPr>
          <w:rFonts w:eastAsia="Times New Roman" w:cs="Arial"/>
          <w:sz w:val="22"/>
          <w:szCs w:val="22"/>
        </w:rPr>
        <w:t>.</w:t>
      </w:r>
    </w:p>
    <w:p w:rsidR="000D713B" w:rsidRPr="00B0762F" w:rsidRDefault="000D713B" w:rsidP="000D713B">
      <w:pPr>
        <w:spacing w:before="0" w:after="0" w:line="280" w:lineRule="atLeast"/>
        <w:ind w:left="-426"/>
        <w:rPr>
          <w:rFonts w:eastAsia="Times New Roman" w:cs="Arial"/>
          <w:sz w:val="22"/>
          <w:szCs w:val="22"/>
        </w:rPr>
      </w:pPr>
    </w:p>
    <w:p w:rsidR="000D713B" w:rsidRPr="00B0762F" w:rsidRDefault="000D713B" w:rsidP="000D713B">
      <w:pPr>
        <w:spacing w:before="0" w:after="0" w:line="280" w:lineRule="atLeast"/>
        <w:ind w:left="-426"/>
        <w:rPr>
          <w:rFonts w:eastAsia="Times New Roman" w:cs="Arial"/>
          <w:noProof/>
          <w:lang w:eastAsia="en-NZ"/>
        </w:rPr>
      </w:pPr>
      <w:r w:rsidRPr="00B0762F">
        <w:rPr>
          <w:rFonts w:ascii="Arial" w:eastAsia="Times New Roman" w:hAnsi="Arial"/>
          <w:noProof/>
          <w:sz w:val="22"/>
          <w:lang w:eastAsia="en-NZ"/>
        </w:rPr>
        <w:drawing>
          <wp:inline distT="0" distB="0" distL="0" distR="0" wp14:anchorId="30E967EC" wp14:editId="05449B9C">
            <wp:extent cx="5943600" cy="3336758"/>
            <wp:effectExtent l="0" t="0" r="19050"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713B" w:rsidRPr="00B0762F" w:rsidRDefault="000D713B" w:rsidP="000D713B">
      <w:pPr>
        <w:spacing w:before="0" w:after="0" w:line="280" w:lineRule="atLeast"/>
        <w:ind w:left="-426"/>
        <w:rPr>
          <w:rFonts w:eastAsia="Times New Roman" w:cs="Arial"/>
          <w:sz w:val="18"/>
          <w:szCs w:val="18"/>
        </w:rPr>
      </w:pPr>
      <w:r w:rsidRPr="00B0762F">
        <w:rPr>
          <w:rFonts w:eastAsia="Times New Roman" w:cs="Arial"/>
          <w:sz w:val="18"/>
          <w:szCs w:val="18"/>
        </w:rPr>
        <w:t xml:space="preserve">Note: Only </w:t>
      </w:r>
      <w:proofErr w:type="spellStart"/>
      <w:r w:rsidRPr="00B0762F">
        <w:rPr>
          <w:rFonts w:eastAsia="Times New Roman" w:cs="Arial"/>
          <w:sz w:val="18"/>
          <w:szCs w:val="18"/>
        </w:rPr>
        <w:t>SDO</w:t>
      </w:r>
      <w:proofErr w:type="spellEnd"/>
      <w:r w:rsidRPr="00B0762F">
        <w:rPr>
          <w:rFonts w:eastAsia="Times New Roman" w:cs="Arial"/>
          <w:sz w:val="18"/>
          <w:szCs w:val="18"/>
        </w:rPr>
        <w:t xml:space="preserve"> customers who had had direct contact with an </w:t>
      </w:r>
      <w:proofErr w:type="spellStart"/>
      <w:r w:rsidRPr="00B0762F">
        <w:rPr>
          <w:rFonts w:eastAsia="Times New Roman" w:cs="Arial"/>
          <w:sz w:val="18"/>
          <w:szCs w:val="18"/>
        </w:rPr>
        <w:t>SDO</w:t>
      </w:r>
      <w:proofErr w:type="spellEnd"/>
      <w:r w:rsidRPr="00B0762F">
        <w:rPr>
          <w:rFonts w:eastAsia="Times New Roman" w:cs="Arial"/>
          <w:sz w:val="18"/>
          <w:szCs w:val="18"/>
        </w:rPr>
        <w:t xml:space="preserve"> representative were asked whether Staff were competent, Staff did what they said they would do, or I was treated fairly.       </w:t>
      </w:r>
    </w:p>
    <w:p w:rsidR="000D713B" w:rsidRPr="00B0762F" w:rsidRDefault="000D713B" w:rsidP="000D713B">
      <w:pPr>
        <w:spacing w:before="0" w:after="0" w:line="280" w:lineRule="atLeast"/>
        <w:ind w:left="-426"/>
        <w:rPr>
          <w:rFonts w:eastAsia="Times New Roman" w:cs="Arial"/>
          <w:sz w:val="18"/>
          <w:szCs w:val="18"/>
        </w:rPr>
      </w:pPr>
      <w:r w:rsidRPr="00B0762F">
        <w:rPr>
          <w:rFonts w:eastAsia="Times New Roman" w:cs="Arial"/>
          <w:sz w:val="18"/>
          <w:szCs w:val="18"/>
        </w:rPr>
        <w:t>Source: Service Delivery and Operations Customer Experience Survey 2014/15</w:t>
      </w:r>
    </w:p>
    <w:p w:rsidR="000D713B" w:rsidRPr="00B0762F" w:rsidRDefault="000D713B" w:rsidP="000D713B">
      <w:pPr>
        <w:spacing w:before="0" w:after="0" w:line="280" w:lineRule="atLeast"/>
        <w:ind w:left="-284"/>
        <w:rPr>
          <w:rFonts w:eastAsia="Times New Roman"/>
          <w:b/>
          <w:bCs/>
          <w:iCs/>
          <w:color w:val="4F81BD"/>
        </w:rPr>
      </w:pPr>
      <w:r w:rsidRPr="00B0762F">
        <w:rPr>
          <w:rFonts w:eastAsia="Times New Roman"/>
          <w:b/>
          <w:bCs/>
          <w:i/>
          <w:iCs/>
          <w:color w:val="4F81BD"/>
        </w:rPr>
        <w:lastRenderedPageBreak/>
        <w:t>Trust and Confidence</w:t>
      </w:r>
    </w:p>
    <w:p w:rsidR="000D713B" w:rsidRPr="00B0762F" w:rsidRDefault="000D713B" w:rsidP="000D713B">
      <w:pPr>
        <w:spacing w:before="0" w:after="0" w:line="280" w:lineRule="atLeast"/>
        <w:ind w:left="-284"/>
        <w:rPr>
          <w:rFonts w:eastAsia="Times New Roman"/>
          <w:b/>
          <w:bCs/>
          <w:iCs/>
          <w:color w:val="4F81BD"/>
        </w:rPr>
      </w:pPr>
    </w:p>
    <w:p w:rsidR="000D713B" w:rsidRPr="00B0762F" w:rsidRDefault="000D713B" w:rsidP="000D713B">
      <w:pPr>
        <w:spacing w:before="0" w:after="0" w:line="280" w:lineRule="atLeast"/>
        <w:ind w:left="-284"/>
        <w:rPr>
          <w:rFonts w:eastAsia="Times New Roman" w:cs="Arial"/>
          <w:sz w:val="22"/>
          <w:szCs w:val="22"/>
        </w:rPr>
      </w:pPr>
      <w:proofErr w:type="spellStart"/>
      <w:r w:rsidRPr="00B0762F">
        <w:rPr>
          <w:rFonts w:eastAsia="Times New Roman" w:cs="Arial"/>
          <w:sz w:val="22"/>
          <w:szCs w:val="22"/>
        </w:rPr>
        <w:t>SDO</w:t>
      </w:r>
      <w:proofErr w:type="spellEnd"/>
      <w:r w:rsidRPr="00B0762F">
        <w:rPr>
          <w:rFonts w:eastAsia="Times New Roman" w:cs="Arial"/>
          <w:sz w:val="22"/>
          <w:szCs w:val="22"/>
        </w:rPr>
        <w:t xml:space="preserve"> customers continue</w:t>
      </w:r>
      <w:r>
        <w:rPr>
          <w:rFonts w:eastAsia="Times New Roman" w:cs="Arial"/>
          <w:sz w:val="22"/>
          <w:szCs w:val="22"/>
        </w:rPr>
        <w:t>d</w:t>
      </w:r>
      <w:r w:rsidRPr="00B0762F">
        <w:rPr>
          <w:rFonts w:eastAsia="Times New Roman" w:cs="Arial"/>
          <w:sz w:val="22"/>
          <w:szCs w:val="22"/>
        </w:rPr>
        <w:t xml:space="preserve"> to report high trust and confidence in the Department of Internal Affairs.</w:t>
      </w:r>
      <w:r w:rsidRPr="00B0762F">
        <w:rPr>
          <w:rFonts w:eastAsia="Times New Roman" w:cs="Arial"/>
          <w:sz w:val="22"/>
          <w:szCs w:val="22"/>
          <w:vertAlign w:val="superscript"/>
        </w:rPr>
        <w:t xml:space="preserve"> </w:t>
      </w:r>
      <w:r w:rsidRPr="00B0762F">
        <w:rPr>
          <w:rFonts w:eastAsia="Times New Roman" w:cs="Arial"/>
          <w:sz w:val="22"/>
          <w:szCs w:val="22"/>
          <w:vertAlign w:val="superscript"/>
        </w:rPr>
        <w:footnoteReference w:id="2"/>
      </w:r>
      <w:r w:rsidRPr="00B0762F">
        <w:rPr>
          <w:rFonts w:eastAsia="Times New Roman" w:cs="Arial"/>
          <w:sz w:val="22"/>
          <w:szCs w:val="22"/>
        </w:rPr>
        <w:t xml:space="preserve"> </w:t>
      </w:r>
    </w:p>
    <w:p w:rsidR="000D713B" w:rsidRPr="00B0762F" w:rsidRDefault="000D713B" w:rsidP="000D713B">
      <w:pPr>
        <w:spacing w:after="120"/>
        <w:ind w:left="-284"/>
        <w:rPr>
          <w:rFonts w:eastAsia="Calibri"/>
          <w:sz w:val="22"/>
          <w:szCs w:val="22"/>
        </w:rPr>
      </w:pPr>
      <w:r w:rsidRPr="00B0762F">
        <w:rPr>
          <w:rFonts w:eastAsia="Calibri"/>
          <w:sz w:val="22"/>
          <w:szCs w:val="22"/>
        </w:rPr>
        <w:t>Slightly lower results for Charities Services reflect the regulatory nature of the business.</w:t>
      </w:r>
    </w:p>
    <w:p w:rsidR="000D713B" w:rsidRPr="00B0762F" w:rsidRDefault="000D713B" w:rsidP="000D713B">
      <w:pPr>
        <w:spacing w:before="0" w:after="0" w:line="280" w:lineRule="atLeast"/>
        <w:ind w:left="-284"/>
        <w:rPr>
          <w:rFonts w:eastAsia="Times New Roman" w:cs="Arial"/>
          <w:sz w:val="22"/>
          <w:szCs w:val="22"/>
        </w:rPr>
      </w:pPr>
    </w:p>
    <w:p w:rsidR="000D713B" w:rsidRPr="00B0762F" w:rsidRDefault="000D713B" w:rsidP="000D713B">
      <w:pPr>
        <w:spacing w:before="0" w:after="0" w:line="280" w:lineRule="atLeast"/>
        <w:ind w:left="-284"/>
        <w:rPr>
          <w:rFonts w:eastAsia="Times New Roman" w:cs="Arial"/>
          <w:sz w:val="22"/>
          <w:szCs w:val="22"/>
        </w:rPr>
      </w:pPr>
      <w:r w:rsidRPr="00B0762F">
        <w:rPr>
          <w:rFonts w:ascii="Arial" w:eastAsia="Times New Roman" w:hAnsi="Arial"/>
          <w:noProof/>
          <w:sz w:val="22"/>
          <w:lang w:eastAsia="en-NZ"/>
        </w:rPr>
        <w:drawing>
          <wp:inline distT="0" distB="0" distL="0" distR="0" wp14:anchorId="0ABC2C90" wp14:editId="70064117">
            <wp:extent cx="5847347" cy="2574758"/>
            <wp:effectExtent l="0" t="0" r="20320" b="165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713B" w:rsidRPr="00B0762F" w:rsidRDefault="000D713B" w:rsidP="000D713B">
      <w:pPr>
        <w:spacing w:before="0" w:after="0" w:line="280" w:lineRule="atLeast"/>
        <w:ind w:left="-284"/>
        <w:rPr>
          <w:rFonts w:eastAsia="Times New Roman" w:cs="Arial"/>
          <w:sz w:val="18"/>
          <w:szCs w:val="18"/>
        </w:rPr>
      </w:pPr>
      <w:r w:rsidRPr="00B0762F">
        <w:rPr>
          <w:rFonts w:eastAsia="Times New Roman" w:cs="Arial"/>
          <w:sz w:val="18"/>
          <w:szCs w:val="18"/>
        </w:rPr>
        <w:t>Source: Service Delivery and Operations Customer Experience Survey 2014/15</w:t>
      </w:r>
    </w:p>
    <w:p w:rsidR="000D713B" w:rsidRPr="00B0762F" w:rsidRDefault="000D713B" w:rsidP="000D713B">
      <w:pPr>
        <w:spacing w:before="0" w:after="0" w:line="280" w:lineRule="atLeast"/>
        <w:ind w:left="-284"/>
        <w:rPr>
          <w:rFonts w:eastAsia="Times New Roman"/>
          <w:b/>
          <w:bCs/>
          <w:iCs/>
          <w:color w:val="4F81BD"/>
        </w:rPr>
      </w:pPr>
    </w:p>
    <w:p w:rsidR="000D713B" w:rsidRPr="00B0762F" w:rsidRDefault="000D713B" w:rsidP="000D713B">
      <w:pPr>
        <w:spacing w:before="0" w:after="0" w:line="280" w:lineRule="atLeast"/>
        <w:ind w:left="-284"/>
        <w:rPr>
          <w:rFonts w:eastAsia="Times New Roman"/>
          <w:b/>
          <w:bCs/>
          <w:iCs/>
          <w:color w:val="4F81BD"/>
        </w:rPr>
      </w:pPr>
      <w:r w:rsidRPr="00B0762F">
        <w:rPr>
          <w:rFonts w:eastAsia="Times New Roman"/>
          <w:b/>
          <w:bCs/>
          <w:i/>
          <w:iCs/>
          <w:color w:val="4F81BD"/>
        </w:rPr>
        <w:t xml:space="preserve">Ease of doing business with </w:t>
      </w:r>
      <w:proofErr w:type="spellStart"/>
      <w:r w:rsidRPr="00B0762F">
        <w:rPr>
          <w:rFonts w:eastAsia="Times New Roman"/>
          <w:b/>
          <w:bCs/>
          <w:i/>
          <w:iCs/>
          <w:color w:val="4F81BD"/>
        </w:rPr>
        <w:t>SDO</w:t>
      </w:r>
      <w:proofErr w:type="spellEnd"/>
    </w:p>
    <w:p w:rsidR="000D713B" w:rsidRPr="00B0762F" w:rsidRDefault="000D713B" w:rsidP="000D713B">
      <w:pPr>
        <w:spacing w:before="0" w:after="0" w:line="280" w:lineRule="atLeast"/>
        <w:ind w:left="-284"/>
        <w:rPr>
          <w:rFonts w:eastAsia="Times New Roman" w:cs="Arial"/>
          <w:sz w:val="22"/>
          <w:szCs w:val="22"/>
        </w:rPr>
      </w:pPr>
    </w:p>
    <w:p w:rsidR="000D713B" w:rsidRPr="00B0762F" w:rsidRDefault="000D713B" w:rsidP="000D713B">
      <w:pPr>
        <w:spacing w:before="0" w:after="0" w:line="280" w:lineRule="atLeast"/>
        <w:ind w:left="-284"/>
        <w:rPr>
          <w:rFonts w:eastAsia="Times New Roman" w:cs="Arial"/>
          <w:sz w:val="22"/>
          <w:szCs w:val="22"/>
        </w:rPr>
      </w:pPr>
      <w:r w:rsidRPr="00B0762F">
        <w:rPr>
          <w:rFonts w:eastAsia="Times New Roman" w:cs="Arial"/>
          <w:sz w:val="22"/>
          <w:szCs w:val="22"/>
        </w:rPr>
        <w:t xml:space="preserve">Overall </w:t>
      </w:r>
      <w:r>
        <w:rPr>
          <w:rFonts w:eastAsia="Times New Roman" w:cs="Arial"/>
          <w:sz w:val="22"/>
          <w:szCs w:val="22"/>
        </w:rPr>
        <w:t>86 per cent</w:t>
      </w:r>
      <w:r w:rsidRPr="00B0762F">
        <w:rPr>
          <w:rFonts w:eastAsia="Times New Roman" w:cs="Arial"/>
          <w:sz w:val="22"/>
          <w:szCs w:val="22"/>
        </w:rPr>
        <w:t xml:space="preserve"> of </w:t>
      </w:r>
      <w:proofErr w:type="spellStart"/>
      <w:r w:rsidRPr="00B0762F">
        <w:rPr>
          <w:rFonts w:eastAsia="Times New Roman" w:cs="Arial"/>
          <w:sz w:val="22"/>
          <w:szCs w:val="22"/>
        </w:rPr>
        <w:t>SDO</w:t>
      </w:r>
      <w:proofErr w:type="spellEnd"/>
      <w:r w:rsidRPr="00B0762F">
        <w:rPr>
          <w:rFonts w:eastAsia="Times New Roman" w:cs="Arial"/>
          <w:sz w:val="22"/>
          <w:szCs w:val="22"/>
        </w:rPr>
        <w:t xml:space="preserve"> customers reported that it was easy to do business with Service Delivery and Operations.</w:t>
      </w:r>
      <w:r>
        <w:rPr>
          <w:rFonts w:eastAsia="Times New Roman" w:cs="Arial"/>
          <w:sz w:val="22"/>
          <w:szCs w:val="22"/>
        </w:rPr>
        <w:t xml:space="preserve"> </w:t>
      </w:r>
      <w:r w:rsidRPr="00D527E6">
        <w:rPr>
          <w:rFonts w:eastAsia="Times New Roman" w:cs="Arial"/>
          <w:sz w:val="22"/>
          <w:szCs w:val="22"/>
        </w:rPr>
        <w:t>Slightly lower results for Charities Services reflect frustrations customers have with the website and online service.</w:t>
      </w:r>
    </w:p>
    <w:p w:rsidR="000D713B" w:rsidRDefault="000D713B" w:rsidP="000D713B">
      <w:pPr>
        <w:spacing w:before="0" w:after="0" w:line="280" w:lineRule="atLeast"/>
        <w:ind w:left="-284"/>
        <w:rPr>
          <w:rFonts w:eastAsia="Times New Roman" w:cs="Arial"/>
          <w:sz w:val="22"/>
          <w:szCs w:val="22"/>
        </w:rPr>
      </w:pPr>
      <w:r>
        <w:rPr>
          <w:rFonts w:eastAsia="Times New Roman" w:cs="Arial"/>
          <w:sz w:val="22"/>
          <w:szCs w:val="22"/>
        </w:rPr>
        <w:t>International research shows that ease of doing business, and what you do to enable that, are key drivers to assess how well we are performing and provide us with actionable next steps to improve the customer experience.</w:t>
      </w:r>
      <w:r w:rsidR="0025553B" w:rsidRPr="0025553B">
        <w:rPr>
          <w:rFonts w:eastAsia="Times New Roman" w:cs="Arial"/>
          <w:sz w:val="22"/>
          <w:szCs w:val="22"/>
          <w:vertAlign w:val="superscript"/>
        </w:rPr>
        <w:t xml:space="preserve"> </w:t>
      </w:r>
      <w:r w:rsidR="0025553B" w:rsidRPr="00B0762F">
        <w:rPr>
          <w:rFonts w:eastAsia="Times New Roman" w:cs="Arial"/>
          <w:sz w:val="22"/>
          <w:szCs w:val="22"/>
          <w:vertAlign w:val="superscript"/>
        </w:rPr>
        <w:footnoteReference w:id="3"/>
      </w:r>
    </w:p>
    <w:p w:rsidR="000D713B" w:rsidRPr="00B0762F" w:rsidRDefault="000D713B" w:rsidP="000D713B">
      <w:pPr>
        <w:spacing w:before="0" w:after="0" w:line="280" w:lineRule="atLeast"/>
        <w:ind w:left="-284"/>
        <w:rPr>
          <w:rFonts w:eastAsia="Times New Roman" w:cs="Arial"/>
          <w:sz w:val="22"/>
          <w:szCs w:val="22"/>
        </w:rPr>
      </w:pPr>
    </w:p>
    <w:p w:rsidR="000D713B" w:rsidRPr="00B0762F" w:rsidRDefault="000D713B" w:rsidP="000D713B">
      <w:pPr>
        <w:spacing w:before="0" w:after="0" w:line="280" w:lineRule="atLeast"/>
        <w:ind w:left="-284"/>
        <w:rPr>
          <w:rFonts w:eastAsia="Times New Roman"/>
          <w:b/>
          <w:bCs/>
          <w:iCs/>
          <w:color w:val="4F81BD"/>
        </w:rPr>
      </w:pPr>
      <w:r w:rsidRPr="00B0762F">
        <w:rPr>
          <w:rFonts w:ascii="Arial" w:eastAsia="Times New Roman" w:hAnsi="Arial"/>
          <w:noProof/>
          <w:sz w:val="22"/>
          <w:lang w:eastAsia="en-NZ"/>
        </w:rPr>
        <w:drawing>
          <wp:inline distT="0" distB="0" distL="0" distR="0" wp14:anchorId="49B29D32" wp14:editId="64455277">
            <wp:extent cx="5847347" cy="2574758"/>
            <wp:effectExtent l="0" t="0" r="2032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713B" w:rsidRPr="00B0762F" w:rsidRDefault="000D713B" w:rsidP="000D713B">
      <w:pPr>
        <w:spacing w:before="0" w:after="0" w:line="280" w:lineRule="atLeast"/>
        <w:ind w:left="-284"/>
        <w:rPr>
          <w:rFonts w:eastAsia="Times New Roman" w:cs="Arial"/>
          <w:sz w:val="18"/>
          <w:szCs w:val="18"/>
        </w:rPr>
      </w:pPr>
      <w:r w:rsidRPr="00B0762F">
        <w:rPr>
          <w:rFonts w:eastAsia="Times New Roman" w:cs="Arial"/>
          <w:sz w:val="18"/>
          <w:szCs w:val="18"/>
        </w:rPr>
        <w:t>Source: Service Delivery and Operations Customer Experience Survey 2014/15</w:t>
      </w:r>
    </w:p>
    <w:p w:rsidR="000D713B" w:rsidRPr="00B0762F" w:rsidRDefault="000D713B" w:rsidP="000D713B">
      <w:pPr>
        <w:spacing w:before="0" w:after="0" w:line="280" w:lineRule="atLeast"/>
        <w:ind w:left="-426"/>
        <w:rPr>
          <w:rFonts w:eastAsia="Times New Roman"/>
          <w:b/>
          <w:bCs/>
          <w:iCs/>
          <w:color w:val="4F81BD"/>
        </w:rPr>
      </w:pPr>
      <w:r w:rsidRPr="00B0762F">
        <w:rPr>
          <w:rFonts w:eastAsia="Times New Roman"/>
          <w:b/>
          <w:bCs/>
          <w:i/>
          <w:iCs/>
          <w:color w:val="4F81BD"/>
        </w:rPr>
        <w:lastRenderedPageBreak/>
        <w:t>Service Improvements</w:t>
      </w:r>
    </w:p>
    <w:p w:rsidR="000D713B" w:rsidRPr="00B0762F" w:rsidRDefault="000D713B" w:rsidP="000D713B">
      <w:pPr>
        <w:spacing w:before="0" w:after="0" w:line="280" w:lineRule="atLeast"/>
        <w:ind w:left="-426"/>
        <w:rPr>
          <w:rFonts w:eastAsia="Times New Roman" w:cs="Arial"/>
        </w:rPr>
      </w:pPr>
    </w:p>
    <w:p w:rsidR="000D713B" w:rsidRPr="00B0762F" w:rsidRDefault="000D713B" w:rsidP="000D713B">
      <w:pPr>
        <w:spacing w:before="0" w:after="0" w:line="280" w:lineRule="atLeast"/>
        <w:ind w:left="-426"/>
        <w:rPr>
          <w:rFonts w:eastAsia="Times New Roman" w:cs="Arial"/>
          <w:sz w:val="22"/>
          <w:szCs w:val="22"/>
        </w:rPr>
      </w:pPr>
      <w:r w:rsidRPr="00B0762F">
        <w:rPr>
          <w:rFonts w:eastAsia="Times New Roman" w:cs="Arial"/>
          <w:sz w:val="22"/>
          <w:szCs w:val="22"/>
        </w:rPr>
        <w:t xml:space="preserve">About half of </w:t>
      </w:r>
      <w:proofErr w:type="spellStart"/>
      <w:r w:rsidRPr="00B0762F">
        <w:rPr>
          <w:rFonts w:eastAsia="Times New Roman" w:cs="Arial"/>
          <w:sz w:val="22"/>
          <w:szCs w:val="22"/>
        </w:rPr>
        <w:t>SDO</w:t>
      </w:r>
      <w:proofErr w:type="spellEnd"/>
      <w:r w:rsidRPr="00B0762F">
        <w:rPr>
          <w:rFonts w:eastAsia="Times New Roman" w:cs="Arial"/>
          <w:sz w:val="22"/>
          <w:szCs w:val="22"/>
        </w:rPr>
        <w:t xml:space="preserve"> customers felt that </w:t>
      </w:r>
      <w:proofErr w:type="spellStart"/>
      <w:r w:rsidRPr="00B0762F">
        <w:rPr>
          <w:rFonts w:eastAsia="Times New Roman" w:cs="Arial"/>
          <w:sz w:val="22"/>
          <w:szCs w:val="22"/>
        </w:rPr>
        <w:t>SDO</w:t>
      </w:r>
      <w:proofErr w:type="spellEnd"/>
      <w:r w:rsidRPr="00B0762F">
        <w:rPr>
          <w:rFonts w:eastAsia="Times New Roman" w:cs="Arial"/>
          <w:sz w:val="22"/>
          <w:szCs w:val="22"/>
        </w:rPr>
        <w:t xml:space="preserve"> could make improvements to our service. </w:t>
      </w:r>
      <w:r>
        <w:rPr>
          <w:rFonts w:eastAsia="Times New Roman" w:cs="Arial"/>
          <w:sz w:val="22"/>
          <w:szCs w:val="22"/>
        </w:rPr>
        <w:t xml:space="preserve">Among </w:t>
      </w:r>
      <w:r w:rsidRPr="00B0762F">
        <w:rPr>
          <w:rFonts w:eastAsia="Times New Roman" w:cs="Arial"/>
          <w:sz w:val="22"/>
          <w:szCs w:val="22"/>
        </w:rPr>
        <w:t xml:space="preserve">those who made suggestions, the biggest group </w:t>
      </w:r>
      <w:r>
        <w:rPr>
          <w:rFonts w:eastAsia="Times New Roman" w:cs="Arial"/>
          <w:sz w:val="22"/>
          <w:szCs w:val="22"/>
        </w:rPr>
        <w:t>was once again those who suggested</w:t>
      </w:r>
      <w:r w:rsidRPr="00B0762F">
        <w:rPr>
          <w:rFonts w:eastAsia="Times New Roman" w:cs="Arial"/>
          <w:sz w:val="22"/>
          <w:szCs w:val="22"/>
        </w:rPr>
        <w:t xml:space="preserve"> improving our website and online service.</w:t>
      </w:r>
    </w:p>
    <w:p w:rsidR="000D713B" w:rsidRPr="00B0762F" w:rsidRDefault="000D713B" w:rsidP="000D713B">
      <w:pPr>
        <w:spacing w:before="0" w:after="0" w:line="280" w:lineRule="atLeast"/>
        <w:ind w:left="-426"/>
        <w:rPr>
          <w:rFonts w:eastAsia="Times New Roman" w:cs="Arial"/>
          <w:sz w:val="22"/>
          <w:szCs w:val="22"/>
        </w:rPr>
      </w:pPr>
    </w:p>
    <w:p w:rsidR="000D713B" w:rsidRPr="00B0762F" w:rsidRDefault="000D713B" w:rsidP="000D713B">
      <w:pPr>
        <w:spacing w:before="0" w:after="0" w:line="280" w:lineRule="atLeast"/>
        <w:ind w:left="-426"/>
        <w:rPr>
          <w:rFonts w:eastAsia="Times New Roman" w:cs="Arial"/>
          <w:sz w:val="22"/>
          <w:szCs w:val="22"/>
        </w:rPr>
      </w:pPr>
      <w:r w:rsidRPr="00B0762F">
        <w:rPr>
          <w:rFonts w:ascii="Arial" w:eastAsia="Times New Roman" w:hAnsi="Arial" w:cs="Arial"/>
          <w:noProof/>
          <w:sz w:val="22"/>
          <w:szCs w:val="22"/>
          <w:lang w:eastAsia="en-NZ"/>
        </w:rPr>
        <w:drawing>
          <wp:inline distT="0" distB="0" distL="0" distR="0" wp14:anchorId="3275D04C" wp14:editId="6CC4C97A">
            <wp:extent cx="5895474" cy="29196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8912" cy="2921367"/>
                    </a:xfrm>
                    <a:prstGeom prst="rect">
                      <a:avLst/>
                    </a:prstGeom>
                    <a:noFill/>
                  </pic:spPr>
                </pic:pic>
              </a:graphicData>
            </a:graphic>
          </wp:inline>
        </w:drawing>
      </w:r>
    </w:p>
    <w:p w:rsidR="000D713B" w:rsidRPr="00B0762F" w:rsidRDefault="000D713B" w:rsidP="000D713B">
      <w:pPr>
        <w:spacing w:before="0" w:after="0" w:line="280" w:lineRule="atLeast"/>
        <w:ind w:left="-426"/>
        <w:rPr>
          <w:rFonts w:eastAsia="Times New Roman" w:cs="Arial"/>
          <w:sz w:val="18"/>
          <w:szCs w:val="18"/>
        </w:rPr>
      </w:pPr>
      <w:r w:rsidRPr="00B0762F">
        <w:rPr>
          <w:rFonts w:eastAsia="Times New Roman" w:cs="Arial"/>
          <w:sz w:val="18"/>
          <w:szCs w:val="18"/>
        </w:rPr>
        <w:t>Source: Service Delivery and Operations Customer Experience Survey 2014/15</w:t>
      </w:r>
    </w:p>
    <w:p w:rsidR="000D713B" w:rsidRPr="00B0762F" w:rsidRDefault="000D713B" w:rsidP="000D713B">
      <w:pPr>
        <w:spacing w:before="0" w:after="0" w:line="280" w:lineRule="atLeast"/>
        <w:ind w:left="-426"/>
        <w:rPr>
          <w:rFonts w:eastAsia="Times New Roman" w:cs="Arial"/>
        </w:rPr>
      </w:pPr>
    </w:p>
    <w:p w:rsidR="000D713B" w:rsidRPr="00B0762F" w:rsidRDefault="000D713B" w:rsidP="000D713B">
      <w:pPr>
        <w:spacing w:before="0" w:after="0" w:line="280" w:lineRule="atLeast"/>
        <w:ind w:left="-426"/>
        <w:rPr>
          <w:rFonts w:eastAsia="Times New Roman" w:cs="Arial"/>
          <w:sz w:val="22"/>
          <w:szCs w:val="22"/>
        </w:rPr>
      </w:pPr>
      <w:r w:rsidRPr="00B0762F">
        <w:rPr>
          <w:rFonts w:eastAsia="Times New Roman" w:cs="Arial"/>
          <w:sz w:val="22"/>
          <w:szCs w:val="22"/>
        </w:rPr>
        <w:t>Examples of the types of comments</w:t>
      </w:r>
      <w:r>
        <w:rPr>
          <w:rFonts w:eastAsia="Times New Roman" w:cs="Arial"/>
          <w:sz w:val="22"/>
          <w:szCs w:val="22"/>
        </w:rPr>
        <w:t xml:space="preserve"> received</w:t>
      </w:r>
      <w:r w:rsidRPr="00B0762F">
        <w:rPr>
          <w:rFonts w:eastAsia="Times New Roman" w:cs="Arial"/>
          <w:sz w:val="22"/>
          <w:szCs w:val="22"/>
        </w:rPr>
        <w:t xml:space="preserve"> from customers</w:t>
      </w:r>
      <w:r>
        <w:rPr>
          <w:rFonts w:eastAsia="Times New Roman" w:cs="Arial"/>
          <w:sz w:val="22"/>
          <w:szCs w:val="22"/>
        </w:rPr>
        <w:t xml:space="preserve"> regarding improvement</w:t>
      </w:r>
      <w:r w:rsidRPr="00B0762F">
        <w:rPr>
          <w:rFonts w:eastAsia="Times New Roman" w:cs="Arial"/>
          <w:sz w:val="22"/>
          <w:szCs w:val="22"/>
        </w:rPr>
        <w:t xml:space="preserve"> are:</w:t>
      </w:r>
    </w:p>
    <w:p w:rsidR="000D713B" w:rsidRDefault="000D713B" w:rsidP="000D713B">
      <w:pPr>
        <w:keepLines/>
        <w:spacing w:before="0" w:after="0"/>
        <w:rPr>
          <w:rFonts w:eastAsia="Calibri"/>
          <w:i/>
          <w:sz w:val="22"/>
          <w:szCs w:val="22"/>
        </w:rPr>
      </w:pPr>
    </w:p>
    <w:p w:rsidR="000D713B" w:rsidRDefault="000D713B" w:rsidP="000D713B">
      <w:pPr>
        <w:keepLines/>
        <w:spacing w:before="0" w:after="0"/>
        <w:rPr>
          <w:rFonts w:eastAsia="Calibri"/>
          <w:i/>
          <w:sz w:val="22"/>
          <w:szCs w:val="22"/>
        </w:rPr>
      </w:pPr>
      <w:r w:rsidRPr="00B0762F">
        <w:rPr>
          <w:rFonts w:eastAsia="Calibri"/>
          <w:i/>
          <w:sz w:val="22"/>
          <w:szCs w:val="22"/>
        </w:rPr>
        <w:t>Make the application form very clear in respect to supporting documents.</w:t>
      </w:r>
      <w:r w:rsidR="00371386" w:rsidRPr="00371386">
        <w:t xml:space="preserve"> </w:t>
      </w:r>
      <w:proofErr w:type="gramStart"/>
      <w:r w:rsidR="00371386" w:rsidRPr="00371386">
        <w:rPr>
          <w:rFonts w:eastAsia="Calibri"/>
          <w:i/>
          <w:sz w:val="22"/>
          <w:szCs w:val="22"/>
        </w:rPr>
        <w:t>i.e</w:t>
      </w:r>
      <w:proofErr w:type="gramEnd"/>
      <w:r w:rsidR="00371386" w:rsidRPr="00371386">
        <w:rPr>
          <w:rFonts w:eastAsia="Calibri"/>
          <w:i/>
          <w:sz w:val="22"/>
          <w:szCs w:val="22"/>
        </w:rPr>
        <w:t>. marriage certificates and passports of applicants (including babies).</w:t>
      </w:r>
    </w:p>
    <w:p w:rsidR="00371386" w:rsidRDefault="00371386" w:rsidP="000D713B">
      <w:pPr>
        <w:keepLines/>
        <w:spacing w:before="0" w:after="0"/>
        <w:rPr>
          <w:rFonts w:eastAsia="Calibri"/>
          <w:i/>
          <w:sz w:val="22"/>
          <w:szCs w:val="22"/>
        </w:rPr>
      </w:pPr>
    </w:p>
    <w:p w:rsidR="000D713B" w:rsidRDefault="000D713B" w:rsidP="000D713B">
      <w:pPr>
        <w:spacing w:before="0" w:after="0" w:line="280" w:lineRule="atLeast"/>
        <w:rPr>
          <w:rFonts w:eastAsia="Calibri"/>
          <w:i/>
          <w:sz w:val="22"/>
          <w:szCs w:val="22"/>
        </w:rPr>
      </w:pPr>
      <w:r w:rsidRPr="00805A10">
        <w:rPr>
          <w:rFonts w:eastAsia="Calibri"/>
          <w:i/>
          <w:sz w:val="22"/>
          <w:szCs w:val="22"/>
        </w:rPr>
        <w:t>Correct the face dimension guideline for the photo, so that we don't waste time trying to make it and meet the dimensions, when it is accepted outside of these dimensions.</w:t>
      </w:r>
    </w:p>
    <w:p w:rsidR="000D713B" w:rsidRDefault="000D713B" w:rsidP="000D713B">
      <w:pPr>
        <w:spacing w:before="0" w:after="0" w:line="280" w:lineRule="atLeast"/>
        <w:rPr>
          <w:rFonts w:eastAsia="Calibri"/>
          <w:i/>
          <w:sz w:val="22"/>
          <w:szCs w:val="22"/>
        </w:rPr>
      </w:pPr>
    </w:p>
    <w:p w:rsidR="000D713B" w:rsidRDefault="000D713B" w:rsidP="000D713B">
      <w:pPr>
        <w:spacing w:before="0" w:after="0" w:line="280" w:lineRule="atLeast"/>
        <w:rPr>
          <w:rFonts w:eastAsia="Times New Roman"/>
          <w:i/>
          <w:sz w:val="22"/>
          <w:szCs w:val="22"/>
        </w:rPr>
      </w:pPr>
      <w:r w:rsidRPr="00312159">
        <w:rPr>
          <w:rFonts w:eastAsia="Times New Roman"/>
          <w:i/>
          <w:sz w:val="22"/>
          <w:szCs w:val="22"/>
        </w:rPr>
        <w:t>Improve the instructions, so it's easier for people to read, or like watching a video to understand, especially for language barriers.</w:t>
      </w:r>
    </w:p>
    <w:p w:rsidR="000D713B" w:rsidRPr="00B0762F" w:rsidRDefault="000D713B" w:rsidP="000D713B">
      <w:pPr>
        <w:spacing w:before="0" w:after="0" w:line="280" w:lineRule="atLeast"/>
        <w:rPr>
          <w:rFonts w:eastAsia="Times New Roman"/>
          <w:i/>
          <w:sz w:val="22"/>
          <w:szCs w:val="22"/>
        </w:rPr>
      </w:pPr>
    </w:p>
    <w:p w:rsidR="000D713B" w:rsidRPr="00B0762F" w:rsidRDefault="000D713B" w:rsidP="000D713B">
      <w:pPr>
        <w:spacing w:before="0" w:after="0" w:line="280" w:lineRule="atLeast"/>
        <w:rPr>
          <w:rFonts w:eastAsia="Times New Roman"/>
          <w:i/>
          <w:sz w:val="22"/>
          <w:szCs w:val="22"/>
        </w:rPr>
      </w:pPr>
      <w:r w:rsidRPr="00B0762F">
        <w:rPr>
          <w:rFonts w:eastAsia="Times New Roman"/>
          <w:i/>
          <w:sz w:val="22"/>
          <w:szCs w:val="22"/>
        </w:rPr>
        <w:t>Provide an online tracking service so that you can view the progress of an application.</w:t>
      </w:r>
    </w:p>
    <w:p w:rsidR="000D713B" w:rsidRPr="00B0762F" w:rsidRDefault="000D713B" w:rsidP="000D713B">
      <w:pPr>
        <w:spacing w:before="0" w:after="0" w:line="280" w:lineRule="atLeast"/>
        <w:rPr>
          <w:rFonts w:eastAsia="Times New Roman"/>
          <w:i/>
          <w:sz w:val="22"/>
          <w:szCs w:val="22"/>
        </w:rPr>
      </w:pPr>
    </w:p>
    <w:p w:rsidR="000D713B" w:rsidRPr="00B0762F" w:rsidRDefault="000D713B" w:rsidP="000D713B">
      <w:pPr>
        <w:spacing w:before="0" w:after="0" w:line="280" w:lineRule="atLeast"/>
        <w:rPr>
          <w:rFonts w:eastAsia="Times New Roman"/>
          <w:i/>
          <w:sz w:val="22"/>
          <w:szCs w:val="22"/>
        </w:rPr>
      </w:pPr>
      <w:r w:rsidRPr="00B0762F">
        <w:rPr>
          <w:rFonts w:eastAsia="Times New Roman"/>
          <w:i/>
          <w:sz w:val="22"/>
          <w:szCs w:val="22"/>
        </w:rPr>
        <w:t>Simplify the application for those who apply regularly. It shouldn't be necessary to repeat pages of information that you gave them last year and should be still in their system.</w:t>
      </w:r>
    </w:p>
    <w:p w:rsidR="000D713B" w:rsidRPr="00B0762F" w:rsidRDefault="000D713B" w:rsidP="000D713B">
      <w:pPr>
        <w:spacing w:before="0" w:after="0" w:line="280" w:lineRule="atLeast"/>
        <w:rPr>
          <w:rFonts w:eastAsia="Times New Roman"/>
          <w:i/>
          <w:sz w:val="22"/>
          <w:szCs w:val="22"/>
        </w:rPr>
      </w:pPr>
    </w:p>
    <w:p w:rsidR="000D713B" w:rsidRPr="00B0762F" w:rsidRDefault="000D713B" w:rsidP="000D713B">
      <w:pPr>
        <w:spacing w:before="0" w:after="0" w:line="280" w:lineRule="atLeast"/>
        <w:rPr>
          <w:rFonts w:eastAsia="Times New Roman"/>
          <w:i/>
          <w:sz w:val="22"/>
          <w:szCs w:val="22"/>
        </w:rPr>
      </w:pPr>
      <w:r w:rsidRPr="00B0762F">
        <w:rPr>
          <w:rFonts w:eastAsia="Times New Roman"/>
          <w:i/>
          <w:sz w:val="22"/>
          <w:szCs w:val="22"/>
        </w:rPr>
        <w:t>They are very helpful, but I belong to a group of elderly people, and some of us are not very good on computers, and their forms are all on computer, and aren't posted out anymore.</w:t>
      </w:r>
    </w:p>
    <w:p w:rsidR="000D713B" w:rsidRPr="00B0762F" w:rsidRDefault="000D713B" w:rsidP="000D713B">
      <w:pPr>
        <w:spacing w:before="0" w:after="0" w:line="280" w:lineRule="atLeast"/>
        <w:rPr>
          <w:rFonts w:eastAsia="Times New Roman"/>
          <w:i/>
          <w:sz w:val="22"/>
          <w:szCs w:val="22"/>
        </w:rPr>
      </w:pPr>
    </w:p>
    <w:p w:rsidR="000D713B" w:rsidRPr="00B0762F" w:rsidRDefault="000D713B" w:rsidP="000D713B">
      <w:pPr>
        <w:spacing w:before="0" w:after="0" w:line="280" w:lineRule="atLeast"/>
        <w:rPr>
          <w:rFonts w:eastAsia="Times New Roman"/>
          <w:i/>
          <w:sz w:val="22"/>
          <w:szCs w:val="22"/>
        </w:rPr>
      </w:pPr>
      <w:r w:rsidRPr="00B0762F">
        <w:rPr>
          <w:rFonts w:eastAsia="Times New Roman"/>
          <w:i/>
          <w:sz w:val="22"/>
          <w:szCs w:val="22"/>
        </w:rPr>
        <w:t>They need to redo the Auckland office. It's quite tacky and doesn't show New Zealand off in a good light.</w:t>
      </w:r>
    </w:p>
    <w:p w:rsidR="000D713B" w:rsidRPr="00312159" w:rsidRDefault="000D713B" w:rsidP="000D713B">
      <w:pPr>
        <w:spacing w:before="0" w:after="0" w:line="280" w:lineRule="atLeast"/>
        <w:rPr>
          <w:rFonts w:eastAsia="Times New Roman"/>
          <w:b/>
          <w:bCs/>
          <w:iCs/>
          <w:color w:val="4F81BD"/>
          <w:sz w:val="22"/>
          <w:szCs w:val="22"/>
        </w:rPr>
      </w:pPr>
    </w:p>
    <w:p w:rsidR="000D713B" w:rsidRDefault="000D713B" w:rsidP="000D713B">
      <w:pPr>
        <w:keepLines/>
        <w:spacing w:before="0" w:after="0"/>
        <w:rPr>
          <w:rFonts w:eastAsia="Calibri"/>
          <w:i/>
          <w:sz w:val="22"/>
          <w:szCs w:val="22"/>
        </w:rPr>
      </w:pPr>
      <w:r w:rsidRPr="00B0762F">
        <w:rPr>
          <w:rFonts w:eastAsia="Calibri"/>
          <w:i/>
          <w:sz w:val="22"/>
          <w:szCs w:val="22"/>
        </w:rPr>
        <w:t>Design application and accountability requirements as simply as possible, and from the perspective of applicants of all IT skill levels.</w:t>
      </w:r>
    </w:p>
    <w:p w:rsidR="000D713B" w:rsidRDefault="000D713B" w:rsidP="000D713B">
      <w:pPr>
        <w:keepLines/>
        <w:spacing w:before="0" w:after="0"/>
        <w:rPr>
          <w:rFonts w:eastAsia="Calibri"/>
          <w:i/>
          <w:sz w:val="22"/>
          <w:szCs w:val="22"/>
        </w:rPr>
      </w:pPr>
    </w:p>
    <w:p w:rsidR="000D713B" w:rsidRPr="00B0762F" w:rsidRDefault="000D713B" w:rsidP="000D713B">
      <w:pPr>
        <w:keepLines/>
        <w:spacing w:before="0" w:after="0"/>
        <w:rPr>
          <w:rFonts w:eastAsia="Calibri"/>
          <w:i/>
          <w:sz w:val="22"/>
          <w:szCs w:val="22"/>
        </w:rPr>
      </w:pPr>
      <w:r w:rsidRPr="00312159">
        <w:rPr>
          <w:rFonts w:eastAsia="Calibri"/>
          <w:i/>
          <w:sz w:val="22"/>
          <w:szCs w:val="22"/>
        </w:rPr>
        <w:t>Instead of posting mail, use email or phone first [and] then post. Some people want it as soon as possible.</w:t>
      </w:r>
    </w:p>
    <w:p w:rsidR="000D713B" w:rsidRDefault="000D713B" w:rsidP="000D713B">
      <w:pPr>
        <w:spacing w:before="0" w:after="0" w:line="280" w:lineRule="atLeast"/>
        <w:rPr>
          <w:rFonts w:eastAsia="Times New Roman"/>
          <w:b/>
          <w:bCs/>
          <w:i/>
          <w:iCs/>
          <w:color w:val="4F81BD"/>
        </w:rPr>
      </w:pPr>
    </w:p>
    <w:p w:rsidR="000D713B" w:rsidRPr="00B0762F" w:rsidRDefault="000D713B" w:rsidP="000D713B">
      <w:pPr>
        <w:spacing w:before="0" w:after="0" w:line="280" w:lineRule="atLeast"/>
        <w:rPr>
          <w:rFonts w:eastAsia="Times New Roman"/>
          <w:b/>
          <w:bCs/>
          <w:iCs/>
          <w:color w:val="4F81BD"/>
        </w:rPr>
      </w:pPr>
      <w:bookmarkStart w:id="0" w:name="_GoBack"/>
      <w:bookmarkEnd w:id="0"/>
      <w:r w:rsidRPr="00B0762F">
        <w:rPr>
          <w:rFonts w:eastAsia="Times New Roman"/>
          <w:b/>
          <w:bCs/>
          <w:i/>
          <w:iCs/>
          <w:color w:val="4F81BD"/>
        </w:rPr>
        <w:t>Next Steps</w:t>
      </w:r>
    </w:p>
    <w:p w:rsidR="000D713B" w:rsidRPr="00B0762F" w:rsidRDefault="000D713B" w:rsidP="000D713B">
      <w:pPr>
        <w:spacing w:before="0" w:after="0" w:line="280" w:lineRule="atLeast"/>
        <w:rPr>
          <w:rFonts w:eastAsia="Times New Roman" w:cs="Arial"/>
          <w:sz w:val="22"/>
          <w:szCs w:val="22"/>
        </w:rPr>
      </w:pPr>
    </w:p>
    <w:p w:rsidR="000D713B" w:rsidRPr="00B0762F" w:rsidRDefault="000D713B" w:rsidP="000D713B">
      <w:pPr>
        <w:spacing w:before="0" w:after="0" w:line="280" w:lineRule="atLeast"/>
        <w:rPr>
          <w:rFonts w:eastAsia="Times New Roman" w:cs="Arial"/>
          <w:sz w:val="22"/>
          <w:szCs w:val="22"/>
        </w:rPr>
      </w:pPr>
      <w:proofErr w:type="spellStart"/>
      <w:r w:rsidRPr="00B0762F">
        <w:rPr>
          <w:rFonts w:eastAsia="Times New Roman" w:cs="Arial"/>
          <w:sz w:val="22"/>
          <w:szCs w:val="22"/>
        </w:rPr>
        <w:t>SDO</w:t>
      </w:r>
      <w:proofErr w:type="spellEnd"/>
      <w:r w:rsidRPr="00B0762F">
        <w:rPr>
          <w:rFonts w:eastAsia="Times New Roman" w:cs="Arial"/>
          <w:sz w:val="22"/>
          <w:szCs w:val="22"/>
        </w:rPr>
        <w:t xml:space="preserve"> is working to transform our system of service delivery. Findings from this research will help us understand our customers</w:t>
      </w:r>
      <w:r>
        <w:rPr>
          <w:rFonts w:eastAsia="Times New Roman" w:cs="Arial"/>
          <w:sz w:val="22"/>
          <w:szCs w:val="22"/>
        </w:rPr>
        <w:t>’</w:t>
      </w:r>
      <w:r w:rsidRPr="00B0762F">
        <w:rPr>
          <w:rFonts w:eastAsia="Times New Roman" w:cs="Arial"/>
          <w:sz w:val="22"/>
          <w:szCs w:val="22"/>
        </w:rPr>
        <w:t xml:space="preserve"> needs and enable us to see the effect of service changes on our customers.</w:t>
      </w:r>
    </w:p>
    <w:p w:rsidR="000D713B" w:rsidRPr="00B0762F" w:rsidRDefault="000D713B" w:rsidP="000D713B">
      <w:pPr>
        <w:spacing w:before="0" w:after="0" w:line="280" w:lineRule="atLeast"/>
        <w:rPr>
          <w:rFonts w:eastAsia="Times New Roman" w:cs="Arial"/>
          <w:sz w:val="22"/>
          <w:szCs w:val="22"/>
        </w:rPr>
      </w:pPr>
    </w:p>
    <w:p w:rsidR="000D713B" w:rsidRPr="00B0762F" w:rsidRDefault="000D713B" w:rsidP="000D713B">
      <w:pPr>
        <w:spacing w:before="0" w:after="0" w:line="280" w:lineRule="atLeast"/>
        <w:rPr>
          <w:rFonts w:eastAsia="Times New Roman" w:cs="Arial"/>
          <w:sz w:val="22"/>
          <w:szCs w:val="22"/>
        </w:rPr>
      </w:pPr>
      <w:r w:rsidRPr="00B0762F">
        <w:rPr>
          <w:rFonts w:eastAsia="Times New Roman" w:cs="Arial"/>
          <w:sz w:val="22"/>
          <w:szCs w:val="22"/>
        </w:rPr>
        <w:t xml:space="preserve">Improving our web and digital services is a strong focus for </w:t>
      </w:r>
      <w:proofErr w:type="spellStart"/>
      <w:r w:rsidRPr="00B0762F">
        <w:rPr>
          <w:rFonts w:eastAsia="Times New Roman" w:cs="Arial"/>
          <w:sz w:val="22"/>
          <w:szCs w:val="22"/>
        </w:rPr>
        <w:t>SDO</w:t>
      </w:r>
      <w:proofErr w:type="spellEnd"/>
      <w:r w:rsidRPr="00B0762F">
        <w:rPr>
          <w:rFonts w:eastAsia="Times New Roman" w:cs="Arial"/>
          <w:sz w:val="22"/>
          <w:szCs w:val="22"/>
        </w:rPr>
        <w:t>. Analysis from the survey, particularly of customer comments, will help direct this.</w:t>
      </w:r>
    </w:p>
    <w:p w:rsidR="000D713B" w:rsidRPr="00B0762F" w:rsidRDefault="000D713B" w:rsidP="000D713B">
      <w:pPr>
        <w:spacing w:before="0" w:after="0" w:line="280" w:lineRule="atLeast"/>
        <w:rPr>
          <w:rFonts w:eastAsia="Times New Roman" w:cs="Arial"/>
          <w:sz w:val="22"/>
          <w:szCs w:val="22"/>
        </w:rPr>
      </w:pPr>
    </w:p>
    <w:p w:rsidR="000D713B" w:rsidRPr="00B0762F" w:rsidRDefault="000D713B" w:rsidP="000D713B">
      <w:pPr>
        <w:spacing w:before="0" w:after="0" w:line="280" w:lineRule="atLeast"/>
        <w:rPr>
          <w:rFonts w:eastAsia="Times New Roman" w:cs="Arial"/>
          <w:sz w:val="22"/>
          <w:szCs w:val="22"/>
        </w:rPr>
      </w:pPr>
      <w:r>
        <w:rPr>
          <w:rFonts w:eastAsia="Times New Roman" w:cs="Arial"/>
          <w:sz w:val="22"/>
          <w:szCs w:val="22"/>
        </w:rPr>
        <w:t>One example of this improvement</w:t>
      </w:r>
      <w:r w:rsidRPr="00B0762F">
        <w:rPr>
          <w:rFonts w:eastAsia="Times New Roman" w:cs="Arial"/>
          <w:sz w:val="22"/>
          <w:szCs w:val="22"/>
        </w:rPr>
        <w:t xml:space="preserve"> </w:t>
      </w:r>
      <w:r>
        <w:rPr>
          <w:rFonts w:eastAsia="Times New Roman" w:cs="Arial"/>
          <w:sz w:val="22"/>
          <w:szCs w:val="22"/>
        </w:rPr>
        <w:t>is the organising of Births, Deaths and Marriages information on govt.nz on a customer-need basis so that information about registering a birth is included with other related content on pregnancy and giving birth. This makes it easier for customers to find the information they need.</w:t>
      </w:r>
    </w:p>
    <w:p w:rsidR="000D713B" w:rsidRPr="00B0762F" w:rsidRDefault="000D713B" w:rsidP="000D713B">
      <w:pPr>
        <w:spacing w:before="0" w:after="0" w:line="280" w:lineRule="atLeast"/>
        <w:rPr>
          <w:rFonts w:eastAsia="Times New Roman" w:cs="Arial"/>
          <w:sz w:val="22"/>
          <w:szCs w:val="22"/>
        </w:rPr>
      </w:pPr>
    </w:p>
    <w:p w:rsidR="000D713B" w:rsidRPr="00B0762F" w:rsidRDefault="000D713B" w:rsidP="000D713B">
      <w:pPr>
        <w:spacing w:before="0" w:after="0" w:line="280" w:lineRule="atLeast"/>
        <w:rPr>
          <w:rFonts w:eastAsia="Times New Roman" w:cs="Arial"/>
          <w:sz w:val="22"/>
          <w:szCs w:val="22"/>
        </w:rPr>
      </w:pPr>
      <w:r w:rsidRPr="00B0762F">
        <w:rPr>
          <w:rFonts w:eastAsia="Times New Roman" w:cs="Arial"/>
          <w:sz w:val="22"/>
          <w:szCs w:val="22"/>
        </w:rPr>
        <w:t xml:space="preserve">The </w:t>
      </w:r>
      <w:proofErr w:type="spellStart"/>
      <w:r w:rsidRPr="00B0762F">
        <w:rPr>
          <w:rFonts w:eastAsia="Times New Roman" w:cs="Arial"/>
          <w:sz w:val="22"/>
          <w:szCs w:val="22"/>
        </w:rPr>
        <w:t>SDO</w:t>
      </w:r>
      <w:proofErr w:type="spellEnd"/>
      <w:r w:rsidRPr="00B0762F">
        <w:rPr>
          <w:rFonts w:eastAsia="Times New Roman" w:cs="Arial"/>
          <w:sz w:val="22"/>
          <w:szCs w:val="22"/>
        </w:rPr>
        <w:t xml:space="preserve"> Customer Experience Survey is being run again </w:t>
      </w:r>
      <w:r>
        <w:rPr>
          <w:rFonts w:eastAsia="Times New Roman" w:cs="Arial"/>
          <w:sz w:val="22"/>
          <w:szCs w:val="22"/>
        </w:rPr>
        <w:t>in</w:t>
      </w:r>
      <w:r w:rsidRPr="00B0762F">
        <w:rPr>
          <w:rFonts w:eastAsia="Times New Roman" w:cs="Arial"/>
          <w:sz w:val="22"/>
          <w:szCs w:val="22"/>
        </w:rPr>
        <w:t xml:space="preserve"> 2015/16 with results expected to be published late 2016.</w:t>
      </w:r>
    </w:p>
    <w:p w:rsidR="000D713B" w:rsidRPr="00B0762F" w:rsidRDefault="000D713B" w:rsidP="000D713B">
      <w:pPr>
        <w:spacing w:before="0" w:after="0" w:line="280" w:lineRule="atLeast"/>
        <w:rPr>
          <w:rFonts w:eastAsia="Times New Roman" w:cs="Arial"/>
        </w:rPr>
      </w:pPr>
    </w:p>
    <w:p w:rsidR="000D713B" w:rsidRPr="00B0762F" w:rsidRDefault="000D713B" w:rsidP="000D713B">
      <w:pPr>
        <w:spacing w:before="0" w:after="0" w:line="280" w:lineRule="atLeast"/>
        <w:rPr>
          <w:rFonts w:eastAsia="Times New Roman"/>
          <w:b/>
          <w:bCs/>
          <w:iCs/>
          <w:color w:val="4F81BD"/>
        </w:rPr>
      </w:pPr>
    </w:p>
    <w:p w:rsidR="000D713B" w:rsidRDefault="000D713B" w:rsidP="000D713B">
      <w:pPr>
        <w:spacing w:before="0" w:after="0" w:line="280" w:lineRule="atLeast"/>
        <w:rPr>
          <w:rFonts w:eastAsia="Times New Roman"/>
          <w:b/>
          <w:bCs/>
          <w:i/>
          <w:iCs/>
          <w:color w:val="4F81BD"/>
        </w:rPr>
      </w:pPr>
      <w:r w:rsidRPr="00B0762F">
        <w:rPr>
          <w:rFonts w:eastAsia="Times New Roman"/>
          <w:b/>
          <w:bCs/>
          <w:i/>
          <w:iCs/>
          <w:color w:val="4F81BD"/>
        </w:rPr>
        <w:t>Methodology</w:t>
      </w:r>
    </w:p>
    <w:p w:rsidR="00475A77" w:rsidRPr="00B0762F" w:rsidRDefault="00475A77" w:rsidP="000D713B">
      <w:pPr>
        <w:spacing w:before="0" w:after="0" w:line="280" w:lineRule="atLeast"/>
        <w:rPr>
          <w:rFonts w:eastAsia="Times New Roman"/>
          <w:b/>
          <w:bCs/>
          <w:iCs/>
          <w:color w:val="4F81BD"/>
        </w:rPr>
      </w:pPr>
    </w:p>
    <w:p w:rsidR="000D713B" w:rsidRPr="00B0762F" w:rsidRDefault="000D713B" w:rsidP="000D713B">
      <w:pPr>
        <w:spacing w:before="0" w:after="0" w:line="280" w:lineRule="atLeast"/>
        <w:rPr>
          <w:rFonts w:eastAsia="Times New Roman" w:cs="Arial"/>
          <w:sz w:val="22"/>
          <w:szCs w:val="22"/>
        </w:rPr>
      </w:pPr>
      <w:r w:rsidRPr="00B0762F">
        <w:rPr>
          <w:rFonts w:eastAsia="Times New Roman" w:cs="Arial"/>
          <w:sz w:val="22"/>
          <w:szCs w:val="22"/>
        </w:rPr>
        <w:t>The 2014/15 survey was run continuously during 2014/15. Recent customers were asked to participate via a telephone or online survey.  2,800 customers completed the survey. The margin of error is between +/-3.8% and +/-4.6% for each business group.</w:t>
      </w:r>
    </w:p>
    <w:p w:rsidR="000B55C2" w:rsidRPr="00B0762F" w:rsidRDefault="000B55C2" w:rsidP="000B55C2">
      <w:pPr>
        <w:spacing w:before="400" w:after="60" w:line="280" w:lineRule="atLeast"/>
        <w:rPr>
          <w:rFonts w:eastAsia="Times New Roman" w:cs="Arial"/>
          <w:b/>
        </w:rPr>
      </w:pPr>
    </w:p>
    <w:sectPr w:rsidR="000B55C2" w:rsidRPr="00B0762F" w:rsidSect="00C8703D">
      <w:headerReference w:type="default" r:id="rId15"/>
      <w:footerReference w:type="default" r:id="rId16"/>
      <w:headerReference w:type="first" r:id="rId17"/>
      <w:footerReference w:type="first" r:id="rId18"/>
      <w:pgSz w:w="11907" w:h="16840" w:code="9"/>
      <w:pgMar w:top="1134"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96" w:rsidRDefault="00AD2E96">
      <w:r>
        <w:separator/>
      </w:r>
    </w:p>
    <w:p w:rsidR="00AD2E96" w:rsidRDefault="00AD2E96"/>
    <w:p w:rsidR="00AD2E96" w:rsidRDefault="00AD2E96"/>
  </w:endnote>
  <w:endnote w:type="continuationSeparator" w:id="0">
    <w:p w:rsidR="00AD2E96" w:rsidRDefault="00AD2E96">
      <w:r>
        <w:continuationSeparator/>
      </w:r>
    </w:p>
    <w:p w:rsidR="00AD2E96" w:rsidRDefault="00AD2E96"/>
    <w:p w:rsidR="00AD2E96" w:rsidRDefault="00AD2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2E" w:rsidRPr="00011154" w:rsidRDefault="00E03A98" w:rsidP="00011D2E">
    <w:pPr>
      <w:pStyle w:val="Footer"/>
      <w:jc w:val="right"/>
      <w:rPr>
        <w:i w:val="0"/>
      </w:rPr>
    </w:pPr>
    <w:r>
      <w:tab/>
    </w:r>
    <w:r>
      <w:tab/>
    </w:r>
    <w:r w:rsidR="00011D2E" w:rsidRPr="00011154">
      <w:rPr>
        <w:i w:val="0"/>
      </w:rPr>
      <w:t>Department of Internal Affairs</w:t>
    </w:r>
  </w:p>
  <w:p w:rsidR="00011D2E" w:rsidRPr="00011154" w:rsidRDefault="00011D2E" w:rsidP="00011D2E">
    <w:pPr>
      <w:pStyle w:val="Footer"/>
      <w:jc w:val="right"/>
      <w:rPr>
        <w:i w:val="0"/>
      </w:rPr>
    </w:pPr>
    <w:proofErr w:type="spellStart"/>
    <w:r w:rsidRPr="00011154">
      <w:rPr>
        <w:i w:val="0"/>
      </w:rPr>
      <w:t>DMS</w:t>
    </w:r>
    <w:proofErr w:type="spellEnd"/>
    <w:r w:rsidRPr="00011154">
      <w:rPr>
        <w:i w:val="0"/>
      </w:rPr>
      <w:t xml:space="preserve"> Library: Service Delivery and Operations Document ID: </w:t>
    </w:r>
    <w:proofErr w:type="spellStart"/>
    <w:r w:rsidRPr="00011154">
      <w:rPr>
        <w:rFonts w:ascii="Arial" w:eastAsia="Times New Roman" w:hAnsi="Arial" w:cs="Arial"/>
        <w:i w:val="0"/>
        <w:color w:val="000000"/>
        <w:sz w:val="18"/>
        <w:szCs w:val="18"/>
        <w:lang w:eastAsia="en-NZ"/>
      </w:rPr>
      <w:t>4468876DA</w:t>
    </w:r>
    <w:proofErr w:type="spellEnd"/>
  </w:p>
  <w:p w:rsidR="00E03A98" w:rsidRPr="00011154" w:rsidRDefault="00E03A98" w:rsidP="002916D9">
    <w:pPr>
      <w:pStyle w:val="Footer"/>
      <w:tabs>
        <w:tab w:val="center" w:pos="4536"/>
        <w:tab w:val="right" w:pos="9071"/>
      </w:tabs>
      <w:ind w:right="-1"/>
      <w:rPr>
        <w:i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2E" w:rsidRPr="00011154" w:rsidRDefault="00011D2E" w:rsidP="00B83B08">
    <w:pPr>
      <w:pStyle w:val="Footer"/>
      <w:rPr>
        <w:i w:val="0"/>
      </w:rPr>
    </w:pPr>
    <w:r w:rsidRPr="00011154">
      <w:rPr>
        <w:i w:val="0"/>
      </w:rPr>
      <w:t>Department of Internal Affairs</w:t>
    </w:r>
  </w:p>
  <w:p w:rsidR="00011D2E" w:rsidRPr="00011154" w:rsidRDefault="00011D2E" w:rsidP="00B83B08">
    <w:pPr>
      <w:pStyle w:val="Footer"/>
      <w:rPr>
        <w:i w:val="0"/>
      </w:rPr>
    </w:pPr>
    <w:proofErr w:type="spellStart"/>
    <w:r w:rsidRPr="00011154">
      <w:rPr>
        <w:i w:val="0"/>
      </w:rPr>
      <w:t>DMS</w:t>
    </w:r>
    <w:proofErr w:type="spellEnd"/>
    <w:r w:rsidRPr="00011154">
      <w:rPr>
        <w:i w:val="0"/>
      </w:rPr>
      <w:t xml:space="preserve"> Library: Service Delivery and Operations Document ID: </w:t>
    </w:r>
    <w:proofErr w:type="spellStart"/>
    <w:r w:rsidRPr="00011154">
      <w:rPr>
        <w:rFonts w:ascii="Arial" w:eastAsia="Times New Roman" w:hAnsi="Arial" w:cs="Arial"/>
        <w:i w:val="0"/>
        <w:color w:val="000000"/>
        <w:sz w:val="18"/>
        <w:szCs w:val="18"/>
        <w:lang w:eastAsia="en-NZ"/>
      </w:rPr>
      <w:t>4468876DA</w:t>
    </w:r>
    <w:proofErr w:type="spellEnd"/>
    <w:r w:rsidR="00B83B08">
      <w:rPr>
        <w:rFonts w:ascii="Arial" w:eastAsia="Times New Roman" w:hAnsi="Arial" w:cs="Arial"/>
        <w:i w:val="0"/>
        <w:color w:val="000000"/>
        <w:sz w:val="18"/>
        <w:szCs w:val="18"/>
        <w:lang w:eastAsia="en-NZ"/>
      </w:rPr>
      <w:ptab w:relativeTo="margin" w:alignment="left" w:leader="none"/>
    </w:r>
    <w:r w:rsidR="00B83B08">
      <w:rPr>
        <w:rFonts w:ascii="Arial" w:eastAsia="Times New Roman" w:hAnsi="Arial" w:cs="Arial"/>
        <w:i w:val="0"/>
        <w:color w:val="000000"/>
        <w:sz w:val="18"/>
        <w:szCs w:val="18"/>
        <w:lang w:eastAsia="en-NZ"/>
      </w:rPr>
      <w:ptab w:relativeTo="margin" w:alignment="right" w:leader="none"/>
    </w:r>
  </w:p>
  <w:p w:rsidR="00E03A98" w:rsidRPr="00011154" w:rsidRDefault="00E03A98" w:rsidP="00C14892">
    <w:pPr>
      <w:pStyle w:val="Footer"/>
      <w:tabs>
        <w:tab w:val="center" w:pos="4536"/>
        <w:tab w:val="right" w:pos="9071"/>
      </w:tabs>
      <w:ind w:right="-1"/>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96" w:rsidRDefault="00AD2E96" w:rsidP="00C70BCA">
      <w:pPr>
        <w:pStyle w:val="Spacer"/>
      </w:pPr>
      <w:r>
        <w:separator/>
      </w:r>
    </w:p>
  </w:footnote>
  <w:footnote w:type="continuationSeparator" w:id="0">
    <w:p w:rsidR="00AD2E96" w:rsidRDefault="00AD2E96">
      <w:r>
        <w:continuationSeparator/>
      </w:r>
    </w:p>
    <w:p w:rsidR="00AD2E96" w:rsidRDefault="00AD2E96"/>
    <w:p w:rsidR="00AD2E96" w:rsidRDefault="00AD2E96"/>
  </w:footnote>
  <w:footnote w:id="1">
    <w:p w:rsidR="000D713B" w:rsidRDefault="000D713B" w:rsidP="000D713B">
      <w:pPr>
        <w:pStyle w:val="FootnoteText"/>
      </w:pPr>
      <w:r>
        <w:rPr>
          <w:rStyle w:val="FootnoteReference"/>
        </w:rPr>
        <w:footnoteRef/>
      </w:r>
      <w:r>
        <w:t xml:space="preserve"> All changes between years are not statistically </w:t>
      </w:r>
      <w:proofErr w:type="gramStart"/>
      <w:r>
        <w:t>significant,</w:t>
      </w:r>
      <w:proofErr w:type="gramEnd"/>
      <w:r>
        <w:t xml:space="preserve"> therefore we cannot say for certain that there has been any change.</w:t>
      </w:r>
    </w:p>
  </w:footnote>
  <w:footnote w:id="2">
    <w:p w:rsidR="000D713B" w:rsidRDefault="000D713B" w:rsidP="000D713B">
      <w:pPr>
        <w:pStyle w:val="FootnoteText"/>
      </w:pPr>
      <w:r>
        <w:rPr>
          <w:rStyle w:val="FootnoteReference"/>
        </w:rPr>
        <w:footnoteRef/>
      </w:r>
      <w:r>
        <w:t xml:space="preserve"> All changes between years are not statistically </w:t>
      </w:r>
      <w:proofErr w:type="gramStart"/>
      <w:r>
        <w:t>significant,</w:t>
      </w:r>
      <w:proofErr w:type="gramEnd"/>
      <w:r>
        <w:t xml:space="preserve"> therefore we cannot say for certain that there has been any change.</w:t>
      </w:r>
    </w:p>
  </w:footnote>
  <w:footnote w:id="3">
    <w:p w:rsidR="0025553B" w:rsidRDefault="0025553B" w:rsidP="0025553B">
      <w:pPr>
        <w:pStyle w:val="FootnoteText"/>
      </w:pPr>
      <w:r>
        <w:rPr>
          <w:rStyle w:val="FootnoteReference"/>
        </w:rPr>
        <w:footnoteRef/>
      </w:r>
      <w:r>
        <w:t xml:space="preserve"> S</w:t>
      </w:r>
      <w:r w:rsidRPr="00B75FCF">
        <w:t xml:space="preserve">ource: </w:t>
      </w:r>
      <w:proofErr w:type="spellStart"/>
      <w:r w:rsidRPr="00B75FCF">
        <w:t>CEB</w:t>
      </w:r>
      <w:proofErr w:type="spellEnd"/>
      <w:r w:rsidRPr="00B75FCF">
        <w:t xml:space="preserve"> Customer Contact Council Member Survey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98" w:rsidRDefault="00E03A98" w:rsidP="00B83B08">
    <w:pPr>
      <w:pStyle w:val="Header"/>
      <w:tabs>
        <w:tab w:val="right" w:pos="9072"/>
      </w:tabs>
    </w:pPr>
    <w:r w:rsidRPr="00CD349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98" w:rsidRDefault="00E03A98" w:rsidP="00406D44">
    <w:pPr>
      <w:pStyle w:val="Tinyline"/>
    </w:pPr>
    <w:r>
      <w:rPr>
        <w:noProof/>
        <w:lang w:eastAsia="en-NZ"/>
      </w:rPr>
      <w:drawing>
        <wp:anchor distT="0" distB="288290" distL="114300" distR="114300" simplePos="0" relativeHeight="251659264" behindDoc="1" locked="0" layoutInCell="1" allowOverlap="1" wp14:anchorId="25716BF5" wp14:editId="0B475E3D">
          <wp:simplePos x="0" y="0"/>
          <wp:positionH relativeFrom="page">
            <wp:posOffset>4464685</wp:posOffset>
          </wp:positionH>
          <wp:positionV relativeFrom="page">
            <wp:posOffset>485775</wp:posOffset>
          </wp:positionV>
          <wp:extent cx="2520000" cy="446400"/>
          <wp:effectExtent l="0" t="0" r="0" b="0"/>
          <wp:wrapTopAndBottom/>
          <wp:docPr id="3" name="Picture 3"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02BA46F3"/>
    <w:multiLevelType w:val="multilevel"/>
    <w:tmpl w:val="DE282D76"/>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nsid w:val="06D9595E"/>
    <w:multiLevelType w:val="hybridMultilevel"/>
    <w:tmpl w:val="4E8A96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1454331"/>
    <w:multiLevelType w:val="hybridMultilevel"/>
    <w:tmpl w:val="04B04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68F5832"/>
    <w:multiLevelType w:val="multilevel"/>
    <w:tmpl w:val="D40EB578"/>
    <w:lvl w:ilvl="0">
      <w:start w:val="1"/>
      <w:numFmt w:val="upperLetter"/>
      <w:pStyle w:val="Headingappendix"/>
      <w:suff w:val="space"/>
      <w:lvlText w:val="Appendix %1:"/>
      <w:lvlJc w:val="left"/>
      <w:pPr>
        <w:ind w:left="0" w:firstLine="0"/>
      </w:pPr>
      <w:rPr>
        <w:rFonts w:ascii="Calibri" w:hAnsi="Calibri" w:hint="default"/>
        <w:b/>
        <w:i w:val="0"/>
        <w:caps w:val="0"/>
        <w:strike w:val="0"/>
        <w:dstrike w:val="0"/>
        <w:vanish w:val="0"/>
        <w:color w:val="000000" w:themeColor="text1"/>
        <w:sz w:val="26"/>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C1364DF"/>
    <w:multiLevelType w:val="hybridMultilevel"/>
    <w:tmpl w:val="F80A506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4941A94"/>
    <w:multiLevelType w:val="hybridMultilevel"/>
    <w:tmpl w:val="6AACC3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506446F"/>
    <w:multiLevelType w:val="hybridMultilevel"/>
    <w:tmpl w:val="A80084BA"/>
    <w:lvl w:ilvl="0" w:tplc="813A0CCE">
      <w:start w:val="1"/>
      <w:numFmt w:val="lowerLetter"/>
      <w:lvlText w:val="%1)"/>
      <w:lvlJc w:val="left"/>
      <w:pPr>
        <w:ind w:left="927"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0E768DC"/>
    <w:multiLevelType w:val="hybridMultilevel"/>
    <w:tmpl w:val="A3E4FDD4"/>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4">
    <w:nsid w:val="581679C9"/>
    <w:multiLevelType w:val="hybridMultilevel"/>
    <w:tmpl w:val="F30E1A72"/>
    <w:lvl w:ilvl="0" w:tplc="D80A994E">
      <w:start w:val="1"/>
      <w:numFmt w:val="decimal"/>
      <w:pStyle w:val="Recommendation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nsid w:val="6006032F"/>
    <w:multiLevelType w:val="hybridMultilevel"/>
    <w:tmpl w:val="AF62D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4BB14A7"/>
    <w:multiLevelType w:val="hybridMultilevel"/>
    <w:tmpl w:val="E5605A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4">
    <w:nsid w:val="724F0CF4"/>
    <w:multiLevelType w:val="multilevel"/>
    <w:tmpl w:val="5B30CED2"/>
    <w:lvl w:ilvl="0">
      <w:start w:val="1"/>
      <w:numFmt w:val="lowerLetter"/>
      <w:lvlText w:val="%1)"/>
      <w:lvlJc w:val="left"/>
      <w:pPr>
        <w:ind w:left="1134" w:hanging="567"/>
      </w:pPr>
      <w:rPr>
        <w:rFonts w:hint="default"/>
        <w:b w:val="0"/>
        <w:i w:val="0"/>
      </w:rPr>
    </w:lvl>
    <w:lvl w:ilvl="1">
      <w:start w:val="1"/>
      <w:numFmt w:val="lowerRoman"/>
      <w:lvlText w:val="%2."/>
      <w:lvlJc w:val="left"/>
      <w:pPr>
        <w:ind w:left="1701" w:hanging="567"/>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6">
    <w:nsid w:val="7B985B67"/>
    <w:multiLevelType w:val="hybridMultilevel"/>
    <w:tmpl w:val="18E6B718"/>
    <w:lvl w:ilvl="0" w:tplc="8B1C3386">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5"/>
  </w:num>
  <w:num w:numId="11">
    <w:abstractNumId w:val="26"/>
  </w:num>
  <w:num w:numId="12">
    <w:abstractNumId w:val="19"/>
  </w:num>
  <w:num w:numId="13">
    <w:abstractNumId w:val="14"/>
  </w:num>
  <w:num w:numId="14">
    <w:abstractNumId w:val="27"/>
  </w:num>
  <w:num w:numId="15">
    <w:abstractNumId w:val="31"/>
  </w:num>
  <w:num w:numId="16">
    <w:abstractNumId w:val="33"/>
  </w:num>
  <w:num w:numId="17">
    <w:abstractNumId w:val="10"/>
  </w:num>
  <w:num w:numId="18">
    <w:abstractNumId w:val="16"/>
  </w:num>
  <w:num w:numId="19">
    <w:abstractNumId w:val="21"/>
  </w:num>
  <w:num w:numId="20">
    <w:abstractNumId w:val="35"/>
  </w:num>
  <w:num w:numId="21">
    <w:abstractNumId w:val="32"/>
  </w:num>
  <w:num w:numId="22">
    <w:abstractNumId w:val="30"/>
  </w:num>
  <w:num w:numId="23">
    <w:abstractNumId w:val="22"/>
  </w:num>
  <w:num w:numId="24">
    <w:abstractNumId w:val="17"/>
  </w:num>
  <w:num w:numId="25">
    <w:abstractNumId w:val="12"/>
  </w:num>
  <w:num w:numId="26">
    <w:abstractNumId w:val="9"/>
  </w:num>
  <w:num w:numId="27">
    <w:abstractNumId w:val="15"/>
  </w:num>
  <w:num w:numId="28">
    <w:abstractNumId w:val="24"/>
  </w:num>
  <w:num w:numId="29">
    <w:abstractNumId w:val="34"/>
  </w:num>
  <w:num w:numId="30">
    <w:abstractNumId w:val="20"/>
  </w:num>
  <w:num w:numId="31">
    <w:abstractNumId w:val="36"/>
  </w:num>
  <w:num w:numId="32">
    <w:abstractNumId w:val="11"/>
  </w:num>
  <w:num w:numId="33">
    <w:abstractNumId w:val="29"/>
  </w:num>
  <w:num w:numId="34">
    <w:abstractNumId w:val="13"/>
  </w:num>
  <w:num w:numId="35">
    <w:abstractNumId w:val="23"/>
  </w:num>
  <w:num w:numId="36">
    <w:abstractNumId w:val="18"/>
  </w:num>
  <w:num w:numId="3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efaultTableStyle w:val="Ministerial"/>
  <w:characterSpacingControl w:val="doNotCompress"/>
  <w:hdrShapeDefaults>
    <o:shapedefaults v:ext="edit" spidmax="1024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04"/>
    <w:rsid w:val="00003360"/>
    <w:rsid w:val="0000364D"/>
    <w:rsid w:val="000042AF"/>
    <w:rsid w:val="00005919"/>
    <w:rsid w:val="00006A2C"/>
    <w:rsid w:val="00011154"/>
    <w:rsid w:val="0001156C"/>
    <w:rsid w:val="00011D2E"/>
    <w:rsid w:val="00015020"/>
    <w:rsid w:val="0001647B"/>
    <w:rsid w:val="00020010"/>
    <w:rsid w:val="00020FAF"/>
    <w:rsid w:val="00024BD8"/>
    <w:rsid w:val="00034673"/>
    <w:rsid w:val="00036671"/>
    <w:rsid w:val="00037226"/>
    <w:rsid w:val="000409E2"/>
    <w:rsid w:val="00044EA1"/>
    <w:rsid w:val="0005649A"/>
    <w:rsid w:val="00063BB2"/>
    <w:rsid w:val="00065F18"/>
    <w:rsid w:val="00067005"/>
    <w:rsid w:val="00076035"/>
    <w:rsid w:val="00077013"/>
    <w:rsid w:val="00084413"/>
    <w:rsid w:val="00091C3A"/>
    <w:rsid w:val="000B55C2"/>
    <w:rsid w:val="000D61F6"/>
    <w:rsid w:val="000D713B"/>
    <w:rsid w:val="000E0646"/>
    <w:rsid w:val="000E3240"/>
    <w:rsid w:val="000E677B"/>
    <w:rsid w:val="000F4ADF"/>
    <w:rsid w:val="000F5529"/>
    <w:rsid w:val="000F5D5E"/>
    <w:rsid w:val="000F61AF"/>
    <w:rsid w:val="0010171C"/>
    <w:rsid w:val="00102FAD"/>
    <w:rsid w:val="00121870"/>
    <w:rsid w:val="001367AD"/>
    <w:rsid w:val="00136A66"/>
    <w:rsid w:val="00140DAA"/>
    <w:rsid w:val="00140ED2"/>
    <w:rsid w:val="00143E7C"/>
    <w:rsid w:val="0016433D"/>
    <w:rsid w:val="00165861"/>
    <w:rsid w:val="001703BA"/>
    <w:rsid w:val="00171F45"/>
    <w:rsid w:val="0017276A"/>
    <w:rsid w:val="00184C0F"/>
    <w:rsid w:val="001A5F55"/>
    <w:rsid w:val="001A6E22"/>
    <w:rsid w:val="001C0031"/>
    <w:rsid w:val="001C0C30"/>
    <w:rsid w:val="001D0111"/>
    <w:rsid w:val="001E64FC"/>
    <w:rsid w:val="002007DF"/>
    <w:rsid w:val="00203601"/>
    <w:rsid w:val="00205FE8"/>
    <w:rsid w:val="00206BA3"/>
    <w:rsid w:val="00207075"/>
    <w:rsid w:val="00215160"/>
    <w:rsid w:val="00215281"/>
    <w:rsid w:val="002224B4"/>
    <w:rsid w:val="00226D5E"/>
    <w:rsid w:val="00237A3D"/>
    <w:rsid w:val="00240E83"/>
    <w:rsid w:val="002502D1"/>
    <w:rsid w:val="0025553B"/>
    <w:rsid w:val="002568A9"/>
    <w:rsid w:val="00260A17"/>
    <w:rsid w:val="00270EEC"/>
    <w:rsid w:val="002806A2"/>
    <w:rsid w:val="002852E3"/>
    <w:rsid w:val="002916D9"/>
    <w:rsid w:val="00296EA2"/>
    <w:rsid w:val="00297CC7"/>
    <w:rsid w:val="002A194F"/>
    <w:rsid w:val="002A4BD9"/>
    <w:rsid w:val="002A4FE7"/>
    <w:rsid w:val="002B1CEB"/>
    <w:rsid w:val="002D3125"/>
    <w:rsid w:val="002D4F42"/>
    <w:rsid w:val="002F4C1B"/>
    <w:rsid w:val="0030084C"/>
    <w:rsid w:val="003039E1"/>
    <w:rsid w:val="003129BA"/>
    <w:rsid w:val="003148FC"/>
    <w:rsid w:val="003279AF"/>
    <w:rsid w:val="00330820"/>
    <w:rsid w:val="003465C8"/>
    <w:rsid w:val="0037016B"/>
    <w:rsid w:val="00370FC0"/>
    <w:rsid w:val="00371386"/>
    <w:rsid w:val="00373206"/>
    <w:rsid w:val="003737ED"/>
    <w:rsid w:val="00375919"/>
    <w:rsid w:val="00375B80"/>
    <w:rsid w:val="00376851"/>
    <w:rsid w:val="00377352"/>
    <w:rsid w:val="003860E9"/>
    <w:rsid w:val="003A10DA"/>
    <w:rsid w:val="003A12C8"/>
    <w:rsid w:val="003A61FF"/>
    <w:rsid w:val="003A6FFE"/>
    <w:rsid w:val="003A7695"/>
    <w:rsid w:val="003B3A23"/>
    <w:rsid w:val="003B6592"/>
    <w:rsid w:val="003C772C"/>
    <w:rsid w:val="003F2B58"/>
    <w:rsid w:val="003F5886"/>
    <w:rsid w:val="0040020C"/>
    <w:rsid w:val="00401CA0"/>
    <w:rsid w:val="00406D44"/>
    <w:rsid w:val="0040700B"/>
    <w:rsid w:val="00407F54"/>
    <w:rsid w:val="00411341"/>
    <w:rsid w:val="00413966"/>
    <w:rsid w:val="00415CDB"/>
    <w:rsid w:val="004231DC"/>
    <w:rsid w:val="0042399E"/>
    <w:rsid w:val="0042551E"/>
    <w:rsid w:val="00433AD8"/>
    <w:rsid w:val="00440043"/>
    <w:rsid w:val="00446CD6"/>
    <w:rsid w:val="004552A0"/>
    <w:rsid w:val="00457E34"/>
    <w:rsid w:val="00460A83"/>
    <w:rsid w:val="00460B3F"/>
    <w:rsid w:val="00462E8B"/>
    <w:rsid w:val="00464752"/>
    <w:rsid w:val="00472878"/>
    <w:rsid w:val="00475A77"/>
    <w:rsid w:val="00476068"/>
    <w:rsid w:val="004763B3"/>
    <w:rsid w:val="00477619"/>
    <w:rsid w:val="00486E6E"/>
    <w:rsid w:val="004875DF"/>
    <w:rsid w:val="00487C1D"/>
    <w:rsid w:val="004923B9"/>
    <w:rsid w:val="00493AD9"/>
    <w:rsid w:val="00494C6F"/>
    <w:rsid w:val="004A5823"/>
    <w:rsid w:val="004A6DF8"/>
    <w:rsid w:val="004B0AAF"/>
    <w:rsid w:val="004B3924"/>
    <w:rsid w:val="004C4864"/>
    <w:rsid w:val="004C4DDD"/>
    <w:rsid w:val="004C6953"/>
    <w:rsid w:val="004C7001"/>
    <w:rsid w:val="004D1706"/>
    <w:rsid w:val="004D243F"/>
    <w:rsid w:val="004D7473"/>
    <w:rsid w:val="004E11CB"/>
    <w:rsid w:val="00501C4B"/>
    <w:rsid w:val="00510D73"/>
    <w:rsid w:val="00512ACB"/>
    <w:rsid w:val="0052216D"/>
    <w:rsid w:val="00524605"/>
    <w:rsid w:val="00526115"/>
    <w:rsid w:val="005312C2"/>
    <w:rsid w:val="00533FAF"/>
    <w:rsid w:val="00534B4D"/>
    <w:rsid w:val="005366B6"/>
    <w:rsid w:val="00544ECD"/>
    <w:rsid w:val="00554BCD"/>
    <w:rsid w:val="00561A97"/>
    <w:rsid w:val="00562289"/>
    <w:rsid w:val="00563DAC"/>
    <w:rsid w:val="005675E0"/>
    <w:rsid w:val="00570A71"/>
    <w:rsid w:val="00570C00"/>
    <w:rsid w:val="00574345"/>
    <w:rsid w:val="0057789B"/>
    <w:rsid w:val="0058206B"/>
    <w:rsid w:val="00585690"/>
    <w:rsid w:val="00592E6E"/>
    <w:rsid w:val="00595B33"/>
    <w:rsid w:val="0059662F"/>
    <w:rsid w:val="00597B77"/>
    <w:rsid w:val="005C0A3A"/>
    <w:rsid w:val="005D031D"/>
    <w:rsid w:val="005D3066"/>
    <w:rsid w:val="005E3818"/>
    <w:rsid w:val="005E4B13"/>
    <w:rsid w:val="005E4C02"/>
    <w:rsid w:val="005F01DF"/>
    <w:rsid w:val="005F22E1"/>
    <w:rsid w:val="005F76CC"/>
    <w:rsid w:val="005F7FF8"/>
    <w:rsid w:val="006004C4"/>
    <w:rsid w:val="00600CA4"/>
    <w:rsid w:val="00602416"/>
    <w:rsid w:val="006025CE"/>
    <w:rsid w:val="006041F2"/>
    <w:rsid w:val="006064F5"/>
    <w:rsid w:val="00612710"/>
    <w:rsid w:val="0061541C"/>
    <w:rsid w:val="00617298"/>
    <w:rsid w:val="00633C17"/>
    <w:rsid w:val="00637753"/>
    <w:rsid w:val="00650192"/>
    <w:rsid w:val="00662716"/>
    <w:rsid w:val="006639FB"/>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C195E"/>
    <w:rsid w:val="006D638F"/>
    <w:rsid w:val="006E4EFB"/>
    <w:rsid w:val="006E7BF7"/>
    <w:rsid w:val="007018AB"/>
    <w:rsid w:val="0070677B"/>
    <w:rsid w:val="007068C8"/>
    <w:rsid w:val="00715B8F"/>
    <w:rsid w:val="0072111D"/>
    <w:rsid w:val="0073106E"/>
    <w:rsid w:val="00746386"/>
    <w:rsid w:val="00755142"/>
    <w:rsid w:val="00755426"/>
    <w:rsid w:val="00756BB7"/>
    <w:rsid w:val="0075764B"/>
    <w:rsid w:val="00760C01"/>
    <w:rsid w:val="00761293"/>
    <w:rsid w:val="00767C04"/>
    <w:rsid w:val="00770DB2"/>
    <w:rsid w:val="007723F0"/>
    <w:rsid w:val="007736A2"/>
    <w:rsid w:val="0077668B"/>
    <w:rsid w:val="00777729"/>
    <w:rsid w:val="007A6226"/>
    <w:rsid w:val="007B3C61"/>
    <w:rsid w:val="007D0935"/>
    <w:rsid w:val="007D1918"/>
    <w:rsid w:val="007D26C4"/>
    <w:rsid w:val="007F03F2"/>
    <w:rsid w:val="008065D7"/>
    <w:rsid w:val="00811D1C"/>
    <w:rsid w:val="00813053"/>
    <w:rsid w:val="00816E30"/>
    <w:rsid w:val="0082264B"/>
    <w:rsid w:val="0082765B"/>
    <w:rsid w:val="008352B1"/>
    <w:rsid w:val="00835BD7"/>
    <w:rsid w:val="008418E8"/>
    <w:rsid w:val="008428E8"/>
    <w:rsid w:val="00843D71"/>
    <w:rsid w:val="00846F11"/>
    <w:rsid w:val="0084745A"/>
    <w:rsid w:val="00864EEC"/>
    <w:rsid w:val="00870045"/>
    <w:rsid w:val="00876E5F"/>
    <w:rsid w:val="00884A12"/>
    <w:rsid w:val="00890CE4"/>
    <w:rsid w:val="00891ED7"/>
    <w:rsid w:val="008A23B1"/>
    <w:rsid w:val="008A2FDD"/>
    <w:rsid w:val="008A3975"/>
    <w:rsid w:val="008B7B54"/>
    <w:rsid w:val="008C2E36"/>
    <w:rsid w:val="008C3187"/>
    <w:rsid w:val="008C5E4F"/>
    <w:rsid w:val="008D2826"/>
    <w:rsid w:val="008D63B7"/>
    <w:rsid w:val="008D6A03"/>
    <w:rsid w:val="008D6CA7"/>
    <w:rsid w:val="008E4787"/>
    <w:rsid w:val="008E6E99"/>
    <w:rsid w:val="008E7FEE"/>
    <w:rsid w:val="008F31F5"/>
    <w:rsid w:val="008F67F5"/>
    <w:rsid w:val="008F6BCE"/>
    <w:rsid w:val="00900D4B"/>
    <w:rsid w:val="00905F9B"/>
    <w:rsid w:val="009170B9"/>
    <w:rsid w:val="00923A87"/>
    <w:rsid w:val="009269E4"/>
    <w:rsid w:val="00927482"/>
    <w:rsid w:val="00936FF5"/>
    <w:rsid w:val="0095112B"/>
    <w:rsid w:val="0095712A"/>
    <w:rsid w:val="00961DDB"/>
    <w:rsid w:val="00973A6D"/>
    <w:rsid w:val="00974010"/>
    <w:rsid w:val="0098489F"/>
    <w:rsid w:val="009865AA"/>
    <w:rsid w:val="00987080"/>
    <w:rsid w:val="0098765A"/>
    <w:rsid w:val="009968B0"/>
    <w:rsid w:val="009A5D25"/>
    <w:rsid w:val="009A6CB2"/>
    <w:rsid w:val="009B0982"/>
    <w:rsid w:val="009B4C99"/>
    <w:rsid w:val="009C13FB"/>
    <w:rsid w:val="009D28CF"/>
    <w:rsid w:val="009E20AC"/>
    <w:rsid w:val="009E5D36"/>
    <w:rsid w:val="009E6375"/>
    <w:rsid w:val="009E7CA0"/>
    <w:rsid w:val="00A04392"/>
    <w:rsid w:val="00A069CE"/>
    <w:rsid w:val="00A103EF"/>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06A1"/>
    <w:rsid w:val="00A821C9"/>
    <w:rsid w:val="00A863E3"/>
    <w:rsid w:val="00A94BAE"/>
    <w:rsid w:val="00A97BFB"/>
    <w:rsid w:val="00AA1A41"/>
    <w:rsid w:val="00AA246D"/>
    <w:rsid w:val="00AB0BBC"/>
    <w:rsid w:val="00AB3A92"/>
    <w:rsid w:val="00AB478B"/>
    <w:rsid w:val="00AB47AC"/>
    <w:rsid w:val="00AB4AD9"/>
    <w:rsid w:val="00AB5B01"/>
    <w:rsid w:val="00AC3D09"/>
    <w:rsid w:val="00AD2E96"/>
    <w:rsid w:val="00AD5540"/>
    <w:rsid w:val="00AD6E77"/>
    <w:rsid w:val="00AD7A25"/>
    <w:rsid w:val="00AE2666"/>
    <w:rsid w:val="00AE5D10"/>
    <w:rsid w:val="00AF3A5A"/>
    <w:rsid w:val="00AF3E15"/>
    <w:rsid w:val="00AF5218"/>
    <w:rsid w:val="00B00FAE"/>
    <w:rsid w:val="00B0480E"/>
    <w:rsid w:val="00B06638"/>
    <w:rsid w:val="00B10236"/>
    <w:rsid w:val="00B1026A"/>
    <w:rsid w:val="00B21166"/>
    <w:rsid w:val="00B243DB"/>
    <w:rsid w:val="00B263AE"/>
    <w:rsid w:val="00B33A6C"/>
    <w:rsid w:val="00B47091"/>
    <w:rsid w:val="00B56534"/>
    <w:rsid w:val="00B57A21"/>
    <w:rsid w:val="00B62C3E"/>
    <w:rsid w:val="00B645DE"/>
    <w:rsid w:val="00B65857"/>
    <w:rsid w:val="00B66698"/>
    <w:rsid w:val="00B745DC"/>
    <w:rsid w:val="00B83B08"/>
    <w:rsid w:val="00B84350"/>
    <w:rsid w:val="00B855A6"/>
    <w:rsid w:val="00B91098"/>
    <w:rsid w:val="00B91904"/>
    <w:rsid w:val="00B9256D"/>
    <w:rsid w:val="00B92735"/>
    <w:rsid w:val="00B969ED"/>
    <w:rsid w:val="00BA00B2"/>
    <w:rsid w:val="00BA3136"/>
    <w:rsid w:val="00BA77F1"/>
    <w:rsid w:val="00BB0D90"/>
    <w:rsid w:val="00BB60C6"/>
    <w:rsid w:val="00BB7984"/>
    <w:rsid w:val="00BC6A06"/>
    <w:rsid w:val="00BD137C"/>
    <w:rsid w:val="00BE3329"/>
    <w:rsid w:val="00BE3BC7"/>
    <w:rsid w:val="00BF1AB7"/>
    <w:rsid w:val="00BF7FE9"/>
    <w:rsid w:val="00C03596"/>
    <w:rsid w:val="00C05EEC"/>
    <w:rsid w:val="00C11EC8"/>
    <w:rsid w:val="00C14892"/>
    <w:rsid w:val="00C15A13"/>
    <w:rsid w:val="00C238D9"/>
    <w:rsid w:val="00C24A9D"/>
    <w:rsid w:val="00C25DAD"/>
    <w:rsid w:val="00C2677E"/>
    <w:rsid w:val="00C31542"/>
    <w:rsid w:val="00C319A9"/>
    <w:rsid w:val="00C323CA"/>
    <w:rsid w:val="00C41C61"/>
    <w:rsid w:val="00C436A4"/>
    <w:rsid w:val="00C54CE7"/>
    <w:rsid w:val="00C5526B"/>
    <w:rsid w:val="00C6078D"/>
    <w:rsid w:val="00C657CF"/>
    <w:rsid w:val="00C70BCA"/>
    <w:rsid w:val="00C72561"/>
    <w:rsid w:val="00C76304"/>
    <w:rsid w:val="00C80D62"/>
    <w:rsid w:val="00C8388B"/>
    <w:rsid w:val="00C84944"/>
    <w:rsid w:val="00C8703D"/>
    <w:rsid w:val="00C934E9"/>
    <w:rsid w:val="00C93635"/>
    <w:rsid w:val="00C96BFD"/>
    <w:rsid w:val="00C96C98"/>
    <w:rsid w:val="00CA5358"/>
    <w:rsid w:val="00CB1DCA"/>
    <w:rsid w:val="00CC5121"/>
    <w:rsid w:val="00CD502A"/>
    <w:rsid w:val="00CF12CF"/>
    <w:rsid w:val="00CF376B"/>
    <w:rsid w:val="00CF4BE3"/>
    <w:rsid w:val="00D060D2"/>
    <w:rsid w:val="00D07A84"/>
    <w:rsid w:val="00D10004"/>
    <w:rsid w:val="00D13E2D"/>
    <w:rsid w:val="00D14394"/>
    <w:rsid w:val="00D16FB4"/>
    <w:rsid w:val="00D242CD"/>
    <w:rsid w:val="00D341C3"/>
    <w:rsid w:val="00D36240"/>
    <w:rsid w:val="00D41E65"/>
    <w:rsid w:val="00D42843"/>
    <w:rsid w:val="00D5152A"/>
    <w:rsid w:val="00D57E89"/>
    <w:rsid w:val="00D65145"/>
    <w:rsid w:val="00D74314"/>
    <w:rsid w:val="00D81410"/>
    <w:rsid w:val="00D92505"/>
    <w:rsid w:val="00D93B34"/>
    <w:rsid w:val="00DA267C"/>
    <w:rsid w:val="00DA2999"/>
    <w:rsid w:val="00DA5101"/>
    <w:rsid w:val="00DA79EF"/>
    <w:rsid w:val="00DB0C0B"/>
    <w:rsid w:val="00DB3B74"/>
    <w:rsid w:val="00DB4DEB"/>
    <w:rsid w:val="00DC5870"/>
    <w:rsid w:val="00DD0384"/>
    <w:rsid w:val="00DD0901"/>
    <w:rsid w:val="00DE16B6"/>
    <w:rsid w:val="00DE3323"/>
    <w:rsid w:val="00DE36CA"/>
    <w:rsid w:val="00DE4FB9"/>
    <w:rsid w:val="00DE6A39"/>
    <w:rsid w:val="00DE7E63"/>
    <w:rsid w:val="00DF1AD9"/>
    <w:rsid w:val="00DF43A6"/>
    <w:rsid w:val="00DF77A2"/>
    <w:rsid w:val="00E03A98"/>
    <w:rsid w:val="00E21229"/>
    <w:rsid w:val="00E367C5"/>
    <w:rsid w:val="00E37E71"/>
    <w:rsid w:val="00E42486"/>
    <w:rsid w:val="00E42847"/>
    <w:rsid w:val="00E43E7C"/>
    <w:rsid w:val="00E45743"/>
    <w:rsid w:val="00E46064"/>
    <w:rsid w:val="00E604A1"/>
    <w:rsid w:val="00E65010"/>
    <w:rsid w:val="00E73AA8"/>
    <w:rsid w:val="00E80228"/>
    <w:rsid w:val="00E8405F"/>
    <w:rsid w:val="00E8651B"/>
    <w:rsid w:val="00E86D2A"/>
    <w:rsid w:val="00EA2ED4"/>
    <w:rsid w:val="00EA491A"/>
    <w:rsid w:val="00EB1583"/>
    <w:rsid w:val="00EB54A9"/>
    <w:rsid w:val="00EC23FB"/>
    <w:rsid w:val="00EC2FF8"/>
    <w:rsid w:val="00EC3F1E"/>
    <w:rsid w:val="00ED2500"/>
    <w:rsid w:val="00ED28BD"/>
    <w:rsid w:val="00ED7681"/>
    <w:rsid w:val="00EE243C"/>
    <w:rsid w:val="00EE64DD"/>
    <w:rsid w:val="00EF63C6"/>
    <w:rsid w:val="00F034FB"/>
    <w:rsid w:val="00F05606"/>
    <w:rsid w:val="00F105F5"/>
    <w:rsid w:val="00F1075A"/>
    <w:rsid w:val="00F10BA4"/>
    <w:rsid w:val="00F17BD8"/>
    <w:rsid w:val="00F22E82"/>
    <w:rsid w:val="00F2483A"/>
    <w:rsid w:val="00F27359"/>
    <w:rsid w:val="00F31D95"/>
    <w:rsid w:val="00F337BF"/>
    <w:rsid w:val="00F33D14"/>
    <w:rsid w:val="00F37A8C"/>
    <w:rsid w:val="00F473B6"/>
    <w:rsid w:val="00F52E57"/>
    <w:rsid w:val="00F53E06"/>
    <w:rsid w:val="00F54188"/>
    <w:rsid w:val="00F54CC0"/>
    <w:rsid w:val="00F727A5"/>
    <w:rsid w:val="00F847A9"/>
    <w:rsid w:val="00F9093A"/>
    <w:rsid w:val="00FA19F2"/>
    <w:rsid w:val="00FA1C00"/>
    <w:rsid w:val="00FA5FE9"/>
    <w:rsid w:val="00FA67D2"/>
    <w:rsid w:val="00FB302F"/>
    <w:rsid w:val="00FB5A92"/>
    <w:rsid w:val="00FC085B"/>
    <w:rsid w:val="00FC1C69"/>
    <w:rsid w:val="00FC3739"/>
    <w:rsid w:val="00FC7349"/>
    <w:rsid w:val="00FE5AD9"/>
    <w:rsid w:val="00FE7A33"/>
    <w:rsid w:val="00FF09B2"/>
    <w:rsid w:val="00FF33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3A"/>
    <w:rPr>
      <w:rFonts w:eastAsiaTheme="minorHAnsi"/>
      <w:lang w:eastAsia="en-US"/>
    </w:rPr>
  </w:style>
  <w:style w:type="paragraph" w:styleId="Heading1">
    <w:name w:val="heading 1"/>
    <w:basedOn w:val="Normal"/>
    <w:next w:val="Normal"/>
    <w:link w:val="Heading1Char"/>
    <w:semiHidden/>
    <w:qFormat/>
    <w:rsid w:val="00974010"/>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974010"/>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97401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974010"/>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974010"/>
    <w:pPr>
      <w:keepNext/>
      <w:spacing w:before="360"/>
      <w:outlineLvl w:val="4"/>
    </w:pPr>
    <w:rPr>
      <w:b/>
      <w:bCs/>
      <w:iCs/>
      <w:szCs w:val="26"/>
    </w:rPr>
  </w:style>
  <w:style w:type="paragraph" w:styleId="Heading6">
    <w:name w:val="heading 6"/>
    <w:basedOn w:val="Normal"/>
    <w:next w:val="Normal"/>
    <w:link w:val="Heading6Char"/>
    <w:uiPriority w:val="1"/>
    <w:semiHidden/>
    <w:qFormat/>
    <w:rsid w:val="00974010"/>
    <w:pPr>
      <w:spacing w:before="360"/>
      <w:outlineLvl w:val="5"/>
    </w:pPr>
    <w:rPr>
      <w:b/>
      <w:bCs/>
      <w:i/>
      <w:szCs w:val="22"/>
    </w:rPr>
  </w:style>
  <w:style w:type="paragraph" w:styleId="Heading7">
    <w:name w:val="heading 7"/>
    <w:basedOn w:val="Normal"/>
    <w:next w:val="Normal"/>
    <w:uiPriority w:val="99"/>
    <w:semiHidden/>
    <w:qFormat/>
    <w:rsid w:val="00974010"/>
    <w:pPr>
      <w:spacing w:after="60"/>
      <w:outlineLvl w:val="6"/>
    </w:pPr>
  </w:style>
  <w:style w:type="paragraph" w:styleId="Heading8">
    <w:name w:val="heading 8"/>
    <w:basedOn w:val="Normal"/>
    <w:next w:val="Normal"/>
    <w:uiPriority w:val="99"/>
    <w:semiHidden/>
    <w:qFormat/>
    <w:rsid w:val="00974010"/>
    <w:pPr>
      <w:spacing w:after="60"/>
      <w:outlineLvl w:val="7"/>
    </w:pPr>
    <w:rPr>
      <w:i/>
      <w:iCs/>
    </w:rPr>
  </w:style>
  <w:style w:type="paragraph" w:styleId="Heading9">
    <w:name w:val="heading 9"/>
    <w:basedOn w:val="Normal"/>
    <w:next w:val="Normal"/>
    <w:uiPriority w:val="99"/>
    <w:semiHidden/>
    <w:qFormat/>
    <w:rsid w:val="0097401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74010"/>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974010"/>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74010"/>
    <w:rPr>
      <w:b/>
      <w:bCs/>
    </w:rPr>
  </w:style>
  <w:style w:type="paragraph" w:styleId="Subtitle">
    <w:name w:val="Subtitle"/>
    <w:basedOn w:val="Normal"/>
    <w:uiPriority w:val="1"/>
    <w:semiHidden/>
    <w:qFormat/>
    <w:rsid w:val="00974010"/>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974010"/>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974010"/>
    <w:pPr>
      <w:spacing w:before="0" w:after="0"/>
    </w:pPr>
    <w:rPr>
      <w:sz w:val="8"/>
    </w:rPr>
  </w:style>
  <w:style w:type="paragraph" w:customStyle="1" w:styleId="Numberedpara1level3a">
    <w:name w:val="Numbered para (1) level 3 (a)"/>
    <w:basedOn w:val="Normal"/>
    <w:semiHidden/>
    <w:unhideWhenUsed/>
    <w:rsid w:val="00065F18"/>
    <w:pPr>
      <w:numPr>
        <w:ilvl w:val="2"/>
        <w:numId w:val="25"/>
      </w:numPr>
    </w:pPr>
  </w:style>
  <w:style w:type="paragraph" w:customStyle="1" w:styleId="Numberedpara1level4i">
    <w:name w:val="Numbered para (1) level 4 (i)"/>
    <w:basedOn w:val="Normal"/>
    <w:semiHidden/>
    <w:unhideWhenUsed/>
    <w:rsid w:val="00065F18"/>
    <w:pPr>
      <w:numPr>
        <w:ilvl w:val="3"/>
        <w:numId w:val="25"/>
      </w:numPr>
    </w:pPr>
  </w:style>
  <w:style w:type="paragraph" w:customStyle="1" w:styleId="Bullet">
    <w:name w:val="Bullet"/>
    <w:basedOn w:val="Normal"/>
    <w:rsid w:val="004E11CB"/>
    <w:pPr>
      <w:numPr>
        <w:numId w:val="14"/>
      </w:numPr>
      <w:spacing w:before="80" w:after="80"/>
    </w:p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0"/>
      </w:numPr>
      <w:spacing w:before="80" w:after="80"/>
    </w:pPr>
  </w:style>
  <w:style w:type="paragraph" w:customStyle="1" w:styleId="List123">
    <w:name w:val="List 1 2 3"/>
    <w:basedOn w:val="Normal"/>
    <w:rsid w:val="00065F18"/>
    <w:pPr>
      <w:numPr>
        <w:numId w:val="21"/>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974010"/>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974010"/>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8E4787"/>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7D0935"/>
    <w:pPr>
      <w:pageBreakBefore/>
      <w:numPr>
        <w:numId w:val="18"/>
      </w:numPr>
      <w:tabs>
        <w:tab w:val="left" w:pos="2268"/>
      </w:tabs>
      <w:spacing w:before="0"/>
      <w:outlineLvl w:val="7"/>
    </w:pPr>
    <w:rPr>
      <w:color w:val="000000" w:themeColor="text1"/>
      <w:sz w:val="26"/>
    </w:r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74010"/>
    <w:pPr>
      <w:numPr>
        <w:ilvl w:val="1"/>
        <w:numId w:val="20"/>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97401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0F5529"/>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974010"/>
    <w:rPr>
      <w:i/>
      <w:iCs/>
    </w:rPr>
  </w:style>
  <w:style w:type="character" w:styleId="IntenseEmphasis">
    <w:name w:val="Intense Emphasis"/>
    <w:uiPriority w:val="99"/>
    <w:semiHidden/>
    <w:qFormat/>
    <w:rsid w:val="00974010"/>
    <w:rPr>
      <w:b/>
      <w:i/>
    </w:rPr>
  </w:style>
  <w:style w:type="paragraph" w:styleId="ListParagraph">
    <w:name w:val="List Paragraph"/>
    <w:basedOn w:val="List123"/>
    <w:uiPriority w:val="34"/>
    <w:qFormat/>
    <w:rsid w:val="00974010"/>
    <w:pPr>
      <w:numPr>
        <w:numId w:val="0"/>
      </w:numPr>
    </w:pPr>
  </w:style>
  <w:style w:type="character" w:customStyle="1" w:styleId="Heading5Char">
    <w:name w:val="Heading 5 Char"/>
    <w:basedOn w:val="DefaultParagraphFont"/>
    <w:link w:val="Heading5"/>
    <w:uiPriority w:val="1"/>
    <w:semiHidden/>
    <w:rsid w:val="00974010"/>
    <w:rPr>
      <w:rFonts w:eastAsiaTheme="minorHAnsi"/>
      <w:b/>
      <w:bCs/>
      <w:iCs/>
      <w:szCs w:val="26"/>
      <w:lang w:eastAsia="en-US"/>
    </w:rPr>
  </w:style>
  <w:style w:type="character" w:styleId="SubtleReference">
    <w:name w:val="Subtle Reference"/>
    <w:basedOn w:val="DefaultParagraphFont"/>
    <w:uiPriority w:val="99"/>
    <w:semiHidden/>
    <w:qFormat/>
    <w:rsid w:val="00974010"/>
    <w:rPr>
      <w:rFonts w:ascii="Calibri" w:hAnsi="Calibri"/>
      <w:smallCaps/>
      <w:color w:val="A42F13" w:themeColor="accent2"/>
      <w:u w:val="single"/>
    </w:rPr>
  </w:style>
  <w:style w:type="character" w:styleId="BookTitle">
    <w:name w:val="Book Title"/>
    <w:basedOn w:val="DefaultParagraphFont"/>
    <w:uiPriority w:val="33"/>
    <w:semiHidden/>
    <w:qFormat/>
    <w:rsid w:val="00974010"/>
    <w:rPr>
      <w:rFonts w:ascii="Calibri" w:hAnsi="Calibri"/>
      <w:b/>
      <w:bCs/>
      <w:smallCaps/>
      <w:spacing w:val="5"/>
    </w:rPr>
  </w:style>
  <w:style w:type="character" w:styleId="IntenseReference">
    <w:name w:val="Intense Reference"/>
    <w:basedOn w:val="DefaultParagraphFont"/>
    <w:uiPriority w:val="99"/>
    <w:semiHidden/>
    <w:qFormat/>
    <w:rsid w:val="00974010"/>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74010"/>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974010"/>
    <w:rPr>
      <w:rFonts w:eastAsiaTheme="minorHAnsi"/>
      <w:b/>
      <w:bCs/>
      <w:i/>
      <w:iCs/>
      <w:color w:val="1F546B" w:themeColor="text2"/>
      <w:lang w:eastAsia="en-US"/>
    </w:rPr>
  </w:style>
  <w:style w:type="paragraph" w:customStyle="1" w:styleId="Coverpageheading">
    <w:name w:val="Cover page heading"/>
    <w:basedOn w:val="Normal"/>
    <w:next w:val="Normal"/>
    <w:rsid w:val="00DF43A6"/>
    <w:pPr>
      <w:spacing w:before="0"/>
    </w:pPr>
    <w:rPr>
      <w:b/>
      <w:color w:val="1F546B" w:themeColor="text2"/>
      <w:sz w:val="48"/>
    </w:rPr>
  </w:style>
  <w:style w:type="paragraph" w:customStyle="1" w:styleId="Tablenormal0">
    <w:name w:val="Table normal"/>
    <w:basedOn w:val="Normal"/>
    <w:qFormat/>
    <w:rsid w:val="00974010"/>
    <w:pPr>
      <w:spacing w:before="40" w:after="40"/>
    </w:pPr>
    <w:rPr>
      <w:sz w:val="22"/>
    </w:rPr>
  </w:style>
  <w:style w:type="character" w:customStyle="1" w:styleId="Heading6Char">
    <w:name w:val="Heading 6 Char"/>
    <w:basedOn w:val="DefaultParagraphFont"/>
    <w:link w:val="Heading6"/>
    <w:uiPriority w:val="1"/>
    <w:semiHidden/>
    <w:rsid w:val="00974010"/>
    <w:rPr>
      <w:rFonts w:eastAsiaTheme="minorHAnsi"/>
      <w:b/>
      <w:bCs/>
      <w:i/>
      <w:szCs w:val="22"/>
      <w:lang w:eastAsia="en-US"/>
    </w:rPr>
  </w:style>
  <w:style w:type="paragraph" w:customStyle="1" w:styleId="ListABClevel3">
    <w:name w:val="List A B C level 3"/>
    <w:basedOn w:val="Normal"/>
    <w:uiPriority w:val="1"/>
    <w:semiHidden/>
    <w:qFormat/>
    <w:rsid w:val="00974010"/>
    <w:pPr>
      <w:numPr>
        <w:ilvl w:val="2"/>
        <w:numId w:val="20"/>
      </w:numPr>
      <w:spacing w:before="80" w:after="80"/>
    </w:pPr>
  </w:style>
  <w:style w:type="paragraph" w:customStyle="1" w:styleId="List123level2">
    <w:name w:val="List 1 2 3 level 2"/>
    <w:basedOn w:val="Normal"/>
    <w:uiPriority w:val="1"/>
    <w:semiHidden/>
    <w:qFormat/>
    <w:rsid w:val="00974010"/>
    <w:pPr>
      <w:numPr>
        <w:ilvl w:val="1"/>
        <w:numId w:val="21"/>
      </w:numPr>
      <w:spacing w:before="80" w:after="80"/>
    </w:pPr>
  </w:style>
  <w:style w:type="paragraph" w:customStyle="1" w:styleId="List123level3">
    <w:name w:val="List 1 2 3 level 3"/>
    <w:basedOn w:val="Normal"/>
    <w:uiPriority w:val="1"/>
    <w:semiHidden/>
    <w:qFormat/>
    <w:rsid w:val="00974010"/>
    <w:pPr>
      <w:numPr>
        <w:ilvl w:val="2"/>
        <w:numId w:val="21"/>
      </w:numPr>
      <w:spacing w:before="80" w:after="80"/>
    </w:pPr>
  </w:style>
  <w:style w:type="paragraph" w:customStyle="1" w:styleId="Legislationsection">
    <w:name w:val="Legislation section"/>
    <w:basedOn w:val="Normal"/>
    <w:semiHidden/>
    <w:qFormat/>
    <w:rsid w:val="00974010"/>
    <w:pPr>
      <w:keepNext/>
      <w:numPr>
        <w:numId w:val="23"/>
      </w:numPr>
      <w:spacing w:after="60"/>
    </w:pPr>
    <w:rPr>
      <w:b/>
      <w:sz w:val="22"/>
    </w:rPr>
  </w:style>
  <w:style w:type="paragraph" w:customStyle="1" w:styleId="Legislationnumber">
    <w:name w:val="Legislation number"/>
    <w:basedOn w:val="Normal"/>
    <w:semiHidden/>
    <w:qFormat/>
    <w:rsid w:val="00974010"/>
    <w:pPr>
      <w:numPr>
        <w:numId w:val="22"/>
      </w:numPr>
      <w:tabs>
        <w:tab w:val="left" w:pos="567"/>
      </w:tabs>
      <w:spacing w:before="60" w:after="60"/>
    </w:pPr>
    <w:rPr>
      <w:sz w:val="22"/>
    </w:rPr>
  </w:style>
  <w:style w:type="paragraph" w:customStyle="1" w:styleId="Legislationa">
    <w:name w:val="Legislation (a)"/>
    <w:basedOn w:val="Normal"/>
    <w:semiHidden/>
    <w:qFormat/>
    <w:rsid w:val="00974010"/>
    <w:pPr>
      <w:numPr>
        <w:ilvl w:val="2"/>
        <w:numId w:val="23"/>
      </w:numPr>
      <w:spacing w:before="60" w:after="60"/>
    </w:pPr>
    <w:rPr>
      <w:sz w:val="22"/>
    </w:rPr>
  </w:style>
  <w:style w:type="paragraph" w:customStyle="1" w:styleId="Legislationi">
    <w:name w:val="Legislation (i)"/>
    <w:basedOn w:val="Normal"/>
    <w:semiHidden/>
    <w:qFormat/>
    <w:rsid w:val="00974010"/>
    <w:pPr>
      <w:numPr>
        <w:ilvl w:val="3"/>
        <w:numId w:val="23"/>
      </w:numPr>
      <w:spacing w:before="60" w:after="60"/>
    </w:pPr>
    <w:rPr>
      <w:sz w:val="22"/>
    </w:rPr>
  </w:style>
  <w:style w:type="paragraph" w:customStyle="1" w:styleId="Numberedparaindentonly">
    <w:name w:val="Numbered para indent only"/>
    <w:basedOn w:val="Normal"/>
    <w:qFormat/>
    <w:rsid w:val="00974010"/>
    <w:pPr>
      <w:spacing w:after="120"/>
      <w:ind w:left="567"/>
    </w:pPr>
  </w:style>
  <w:style w:type="paragraph" w:customStyle="1" w:styleId="Spacer">
    <w:name w:val="Spacer"/>
    <w:basedOn w:val="Normal"/>
    <w:qFormat/>
    <w:rsid w:val="00974010"/>
    <w:pPr>
      <w:spacing w:before="0" w:after="0"/>
    </w:pPr>
  </w:style>
  <w:style w:type="paragraph" w:customStyle="1" w:styleId="Page">
    <w:name w:val="Page"/>
    <w:basedOn w:val="Spacer"/>
    <w:semiHidden/>
    <w:qFormat/>
    <w:rsid w:val="00974010"/>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74010"/>
    <w:rPr>
      <w:sz w:val="24"/>
    </w:rPr>
  </w:style>
  <w:style w:type="paragraph" w:customStyle="1" w:styleId="Tableheading12pt">
    <w:name w:val="Table heading 12pt"/>
    <w:basedOn w:val="Tableheading"/>
    <w:semiHidden/>
    <w:qFormat/>
    <w:rsid w:val="00974010"/>
    <w:pPr>
      <w:keepNext/>
    </w:pPr>
    <w:rPr>
      <w:sz w:val="24"/>
    </w:rPr>
  </w:style>
  <w:style w:type="paragraph" w:customStyle="1" w:styleId="Documentationpageheading">
    <w:name w:val="Documentation page heading"/>
    <w:basedOn w:val="Normal"/>
    <w:semiHidden/>
    <w:qFormat/>
    <w:rsid w:val="00974010"/>
    <w:pPr>
      <w:spacing w:after="0"/>
    </w:pPr>
    <w:rPr>
      <w:b/>
      <w:color w:val="1F546B" w:themeColor="text2"/>
      <w:sz w:val="36"/>
    </w:rPr>
  </w:style>
  <w:style w:type="paragraph" w:customStyle="1" w:styleId="Documentationpagesubheading">
    <w:name w:val="Documentation page subheading"/>
    <w:basedOn w:val="Documentationpageheading"/>
    <w:semiHidden/>
    <w:qFormat/>
    <w:rsid w:val="00974010"/>
    <w:rPr>
      <w:sz w:val="28"/>
    </w:rPr>
  </w:style>
  <w:style w:type="paragraph" w:customStyle="1" w:styleId="Documentationpagetable">
    <w:name w:val="Documentation page table"/>
    <w:basedOn w:val="Normal"/>
    <w:semiHidden/>
    <w:qFormat/>
    <w:rsid w:val="00974010"/>
    <w:pPr>
      <w:spacing w:before="44" w:after="24"/>
    </w:pPr>
    <w:rPr>
      <w:rFonts w:cstheme="minorBidi"/>
      <w:sz w:val="20"/>
    </w:rPr>
  </w:style>
  <w:style w:type="paragraph" w:customStyle="1" w:styleId="Documentationpagetableheading">
    <w:name w:val="Documentation page table heading"/>
    <w:basedOn w:val="Normal"/>
    <w:semiHidden/>
    <w:qFormat/>
    <w:rsid w:val="00974010"/>
    <w:pPr>
      <w:spacing w:before="40" w:after="40"/>
    </w:pPr>
    <w:rPr>
      <w:rFonts w:cstheme="minorBidi"/>
      <w:b/>
      <w:color w:val="FFFFFF" w:themeColor="background1"/>
      <w:sz w:val="20"/>
    </w:rPr>
  </w:style>
  <w:style w:type="paragraph" w:customStyle="1" w:styleId="Briefingparasubheading">
    <w:name w:val="Briefing para subheading"/>
    <w:basedOn w:val="Normal"/>
    <w:next w:val="Numberedpara3level1"/>
    <w:qFormat/>
    <w:rsid w:val="00C323CA"/>
    <w:pPr>
      <w:keepNext/>
      <w:spacing w:before="240" w:after="120"/>
    </w:pPr>
    <w:rPr>
      <w:b/>
      <w:i/>
    </w:rPr>
  </w:style>
  <w:style w:type="paragraph" w:customStyle="1" w:styleId="Numberedpara3level1">
    <w:name w:val="Numbered para (3) level 1"/>
    <w:basedOn w:val="Normal"/>
    <w:qFormat/>
    <w:rsid w:val="00974010"/>
    <w:pPr>
      <w:numPr>
        <w:numId w:val="26"/>
      </w:numPr>
      <w:spacing w:after="120"/>
    </w:pPr>
  </w:style>
  <w:style w:type="paragraph" w:customStyle="1" w:styleId="Numberedpara3level211">
    <w:name w:val="Numbered para (3) level 2 (1.1)"/>
    <w:basedOn w:val="Normal"/>
    <w:qFormat/>
    <w:rsid w:val="00A806A1"/>
    <w:pPr>
      <w:numPr>
        <w:ilvl w:val="1"/>
        <w:numId w:val="26"/>
      </w:numPr>
      <w:spacing w:after="120"/>
    </w:pPr>
  </w:style>
  <w:style w:type="paragraph" w:customStyle="1" w:styleId="Recommendations">
    <w:name w:val="Recommendations"/>
    <w:basedOn w:val="Normal"/>
    <w:semiHidden/>
    <w:qFormat/>
    <w:rsid w:val="0017276A"/>
    <w:pPr>
      <w:numPr>
        <w:numId w:val="28"/>
      </w:numPr>
      <w:ind w:left="567" w:hanging="567"/>
    </w:pPr>
  </w:style>
  <w:style w:type="paragraph" w:customStyle="1" w:styleId="Title2">
    <w:name w:val="Title 2"/>
    <w:basedOn w:val="Title"/>
    <w:semiHidden/>
    <w:qFormat/>
    <w:rsid w:val="00974010"/>
    <w:rPr>
      <w:sz w:val="52"/>
    </w:rPr>
  </w:style>
  <w:style w:type="paragraph" w:customStyle="1" w:styleId="Briefingparaheading">
    <w:name w:val="Briefing para heading"/>
    <w:basedOn w:val="Normal"/>
    <w:next w:val="Numberedpara3level1"/>
    <w:qFormat/>
    <w:rsid w:val="00FF3300"/>
    <w:pPr>
      <w:keepNext/>
      <w:spacing w:before="240" w:after="120"/>
    </w:pPr>
    <w:rPr>
      <w:b/>
      <w:sz w:val="26"/>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974010"/>
    <w:rPr>
      <w:b/>
      <w:i/>
      <w:caps/>
      <w:smallCaps w:val="0"/>
      <w:sz w:val="22"/>
    </w:rPr>
  </w:style>
  <w:style w:type="paragraph" w:customStyle="1" w:styleId="Numberedpara1level211">
    <w:name w:val="Numbered para (1) level 2 (1.1)"/>
    <w:basedOn w:val="Normal"/>
    <w:semiHidden/>
    <w:unhideWhenUsed/>
    <w:rsid w:val="00065F18"/>
    <w:pPr>
      <w:numPr>
        <w:ilvl w:val="1"/>
        <w:numId w:val="25"/>
      </w:numPr>
    </w:pPr>
  </w:style>
  <w:style w:type="paragraph" w:customStyle="1" w:styleId="Numberedpara11headingwithnumber">
    <w:name w:val="Numbered para (1) 1 (heading with number)"/>
    <w:basedOn w:val="Normal"/>
    <w:semiHidden/>
    <w:qFormat/>
    <w:rsid w:val="00974010"/>
    <w:pPr>
      <w:keepNext/>
      <w:numPr>
        <w:numId w:val="25"/>
      </w:numPr>
      <w:spacing w:before="240" w:after="120"/>
    </w:pPr>
    <w:rPr>
      <w:b/>
      <w:sz w:val="28"/>
    </w:rPr>
  </w:style>
  <w:style w:type="paragraph" w:customStyle="1" w:styleId="Crossreference">
    <w:name w:val="Cross reference"/>
    <w:basedOn w:val="Normal"/>
    <w:semiHidden/>
    <w:qFormat/>
    <w:rsid w:val="00974010"/>
    <w:rPr>
      <w:i/>
      <w:color w:val="1F546B" w:themeColor="text2"/>
      <w:u w:val="single"/>
    </w:rPr>
  </w:style>
  <w:style w:type="paragraph" w:customStyle="1" w:styleId="Coverpagesubheading">
    <w:name w:val="Cover page subheading"/>
    <w:basedOn w:val="Spacer"/>
    <w:qFormat/>
    <w:rsid w:val="00C934E9"/>
    <w:rPr>
      <w:b/>
      <w:sz w:val="26"/>
    </w:rPr>
  </w:style>
  <w:style w:type="paragraph" w:customStyle="1" w:styleId="Tick">
    <w:name w:val="Tick"/>
    <w:basedOn w:val="Normal"/>
    <w:semiHidden/>
    <w:qFormat/>
    <w:rsid w:val="00C8703D"/>
    <w:pPr>
      <w:spacing w:before="44" w:after="24"/>
      <w:jc w:val="center"/>
    </w:pPr>
    <w:rPr>
      <w:rFonts w:ascii="Wingdings" w:hAnsi="Wingdings" w:cstheme="minorBidi"/>
      <w:sz w:val="28"/>
    </w:rPr>
  </w:style>
  <w:style w:type="paragraph" w:customStyle="1" w:styleId="Numberedpara3level3111">
    <w:name w:val="Numbered para (3) level 3 (1.1.1)"/>
    <w:basedOn w:val="Normal"/>
    <w:qFormat/>
    <w:rsid w:val="00974010"/>
    <w:pPr>
      <w:numPr>
        <w:ilvl w:val="2"/>
        <w:numId w:val="26"/>
      </w:numPr>
      <w:spacing w:after="120"/>
    </w:pPr>
  </w:style>
  <w:style w:type="table" w:customStyle="1" w:styleId="Ministerial">
    <w:name w:val="_Ministerial"/>
    <w:basedOn w:val="TableNormal"/>
    <w:uiPriority w:val="99"/>
    <w:rsid w:val="00AE5D1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Tablesource">
    <w:name w:val="Table source"/>
    <w:basedOn w:val="Normal"/>
    <w:next w:val="Numberedpara3level1"/>
    <w:qFormat/>
    <w:rsid w:val="00BA00B2"/>
    <w:pPr>
      <w:spacing w:before="40"/>
      <w:ind w:left="567"/>
    </w:pPr>
    <w:rPr>
      <w:sz w:val="22"/>
    </w:rPr>
  </w:style>
  <w:style w:type="paragraph" w:customStyle="1" w:styleId="FinancialtableLHC">
    <w:name w:val="Financial table LHC"/>
    <w:basedOn w:val="Normal"/>
    <w:semiHidden/>
    <w:qFormat/>
    <w:rsid w:val="00BA00B2"/>
    <w:pPr>
      <w:spacing w:before="0" w:after="0"/>
      <w:contextualSpacing/>
    </w:pPr>
    <w:rPr>
      <w:sz w:val="22"/>
    </w:rPr>
  </w:style>
  <w:style w:type="paragraph" w:customStyle="1" w:styleId="Financialtablefigures">
    <w:name w:val="Financial table figures"/>
    <w:basedOn w:val="FinancialtableLHC"/>
    <w:semiHidden/>
    <w:qFormat/>
    <w:rsid w:val="00BA00B2"/>
    <w:pPr>
      <w:jc w:val="right"/>
    </w:pPr>
  </w:style>
  <w:style w:type="paragraph" w:customStyle="1" w:styleId="Financialtableyears">
    <w:name w:val="Financial table years"/>
    <w:basedOn w:val="Financialtablefigures"/>
    <w:semiHidden/>
    <w:qFormat/>
    <w:rsid w:val="00BA00B2"/>
    <w:pPr>
      <w:jc w:val="center"/>
    </w:pPr>
    <w:rPr>
      <w:b/>
      <w:sz w:val="20"/>
    </w:rPr>
  </w:style>
  <w:style w:type="paragraph" w:customStyle="1" w:styleId="Tableheading2">
    <w:name w:val="Table heading 2"/>
    <w:basedOn w:val="Normal"/>
    <w:qFormat/>
    <w:rsid w:val="007723F0"/>
    <w:pPr>
      <w:spacing w:before="44" w:after="24"/>
    </w:pPr>
    <w:rPr>
      <w:rFonts w:cstheme="minorBidi"/>
      <w:b/>
      <w:sz w:val="22"/>
    </w:rPr>
  </w:style>
  <w:style w:type="paragraph" w:customStyle="1" w:styleId="Priorityrating">
    <w:name w:val="Priority rating"/>
    <w:basedOn w:val="Tablenormal0"/>
    <w:semiHidden/>
    <w:qFormat/>
    <w:rsid w:val="004C4864"/>
    <w:rPr>
      <w:i/>
    </w:rPr>
  </w:style>
  <w:style w:type="paragraph" w:customStyle="1" w:styleId="Numberedpara2subheading">
    <w:name w:val="Numbered para (2) subheading"/>
    <w:basedOn w:val="Normal"/>
    <w:next w:val="Normal"/>
    <w:semiHidden/>
    <w:qFormat/>
    <w:rsid w:val="00974010"/>
    <w:pPr>
      <w:keepNext/>
      <w:spacing w:before="240" w:after="120"/>
    </w:pPr>
    <w:rPr>
      <w:b/>
      <w:i/>
    </w:rPr>
  </w:style>
  <w:style w:type="paragraph" w:customStyle="1" w:styleId="Numberedpara2level1">
    <w:name w:val="Numbered para (2) level 1"/>
    <w:basedOn w:val="Normal"/>
    <w:semiHidden/>
    <w:qFormat/>
    <w:rsid w:val="00974010"/>
    <w:pPr>
      <w:numPr>
        <w:numId w:val="24"/>
      </w:numPr>
      <w:spacing w:after="120"/>
    </w:pPr>
  </w:style>
  <w:style w:type="paragraph" w:customStyle="1" w:styleId="Numberedpara2level2a">
    <w:name w:val="Numbered para (2) level 2 (a)"/>
    <w:basedOn w:val="Normal"/>
    <w:semiHidden/>
    <w:qFormat/>
    <w:rsid w:val="00974010"/>
    <w:pPr>
      <w:numPr>
        <w:ilvl w:val="1"/>
        <w:numId w:val="24"/>
      </w:numPr>
      <w:spacing w:after="120"/>
    </w:pPr>
  </w:style>
  <w:style w:type="paragraph" w:customStyle="1" w:styleId="Numberedpara2level3i">
    <w:name w:val="Numbered para (2) level 3 (i)"/>
    <w:basedOn w:val="Normal"/>
    <w:semiHidden/>
    <w:qFormat/>
    <w:rsid w:val="00974010"/>
    <w:pPr>
      <w:numPr>
        <w:ilvl w:val="2"/>
        <w:numId w:val="24"/>
      </w:numPr>
      <w:spacing w:after="120"/>
    </w:pPr>
  </w:style>
  <w:style w:type="paragraph" w:customStyle="1" w:styleId="Numberedpara2heading">
    <w:name w:val="Numbered para (2) heading"/>
    <w:basedOn w:val="Normal"/>
    <w:semiHidden/>
    <w:qFormat/>
    <w:rsid w:val="00974010"/>
    <w:pPr>
      <w:keepNext/>
      <w:spacing w:before="240" w:after="120"/>
    </w:pPr>
    <w:rPr>
      <w:b/>
      <w:sz w:val="28"/>
    </w:rPr>
  </w:style>
  <w:style w:type="paragraph" w:customStyle="1" w:styleId="Numberedpara3heading">
    <w:name w:val="Numbered para (3) heading"/>
    <w:basedOn w:val="Normal"/>
    <w:semiHidden/>
    <w:qFormat/>
    <w:rsid w:val="00974010"/>
    <w:pPr>
      <w:keepNext/>
      <w:spacing w:before="200" w:after="120"/>
    </w:pPr>
    <w:rPr>
      <w:b/>
    </w:rPr>
  </w:style>
  <w:style w:type="paragraph" w:customStyle="1" w:styleId="Numberedpara3subheading">
    <w:name w:val="Numbered para (3) subheading"/>
    <w:basedOn w:val="Normal"/>
    <w:semiHidden/>
    <w:qFormat/>
    <w:rsid w:val="00974010"/>
    <w:pPr>
      <w:keepNext/>
      <w:spacing w:before="240" w:after="120"/>
    </w:pPr>
    <w:rPr>
      <w:b/>
      <w:i/>
    </w:rPr>
  </w:style>
  <w:style w:type="paragraph" w:customStyle="1" w:styleId="Recommendationslevel2">
    <w:name w:val="Recommendations level 2"/>
    <w:basedOn w:val="Recommendations"/>
    <w:qFormat/>
    <w:rsid w:val="00493AD9"/>
    <w:pPr>
      <w:numPr>
        <w:numId w:val="27"/>
      </w:numPr>
      <w:spacing w:after="120"/>
    </w:pPr>
  </w:style>
  <w:style w:type="paragraph" w:customStyle="1" w:styleId="Recommendationslevel3">
    <w:name w:val="Recommendations level 3"/>
    <w:basedOn w:val="Recommendationslevel2"/>
    <w:qFormat/>
    <w:rsid w:val="00592E6E"/>
    <w:pPr>
      <w:numPr>
        <w:ilvl w:val="1"/>
      </w:numPr>
    </w:pPr>
  </w:style>
  <w:style w:type="paragraph" w:customStyle="1" w:styleId="Briefingparasubsubheading">
    <w:name w:val="Briefing para subsubheading"/>
    <w:basedOn w:val="Normal"/>
    <w:next w:val="Numberedpara3level1"/>
    <w:qFormat/>
    <w:rsid w:val="00C323CA"/>
    <w:pPr>
      <w:keepNext/>
      <w:spacing w:before="240" w:after="120"/>
    </w:pPr>
    <w:rPr>
      <w:i/>
    </w:rPr>
  </w:style>
  <w:style w:type="paragraph" w:customStyle="1" w:styleId="Ministerialdatabase">
    <w:name w:val="Ministerial database"/>
    <w:basedOn w:val="Tablenormal0"/>
    <w:semiHidden/>
    <w:qFormat/>
    <w:rsid w:val="0077668B"/>
    <w:rPr>
      <w:sz w:val="20"/>
      <w:szCs w:val="20"/>
    </w:rPr>
  </w:style>
  <w:style w:type="paragraph" w:customStyle="1" w:styleId="YesNo">
    <w:name w:val="Yes No"/>
    <w:basedOn w:val="Normal"/>
    <w:qFormat/>
    <w:rsid w:val="00F17BD8"/>
    <w:pPr>
      <w:spacing w:after="120"/>
    </w:pPr>
    <w:rPr>
      <w:b/>
    </w:rPr>
  </w:style>
  <w:style w:type="paragraph" w:customStyle="1" w:styleId="Ministerssign-off">
    <w:name w:val="Minister's sign-off"/>
    <w:basedOn w:val="Spacer"/>
    <w:qFormat/>
    <w:rsid w:val="00DE6A39"/>
    <w:rPr>
      <w:b/>
    </w:rPr>
  </w:style>
  <w:style w:type="paragraph" w:customStyle="1" w:styleId="Briefingtitle">
    <w:name w:val="Briefing title"/>
    <w:basedOn w:val="Normal"/>
    <w:qFormat/>
    <w:rsid w:val="008A3975"/>
    <w:pPr>
      <w:spacing w:before="0" w:after="0"/>
      <w:contextualSpacing/>
    </w:pPr>
    <w:rPr>
      <w:b/>
      <w:sz w:val="28"/>
    </w:rPr>
  </w:style>
  <w:style w:type="table" w:customStyle="1" w:styleId="TableGrid10">
    <w:name w:val="Table Grid1"/>
    <w:basedOn w:val="TableNormal"/>
    <w:next w:val="TableGrid"/>
    <w:rsid w:val="000B55C2"/>
    <w:pPr>
      <w:spacing w:before="0" w:after="0" w:line="28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B55C2"/>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3A"/>
    <w:rPr>
      <w:rFonts w:eastAsiaTheme="minorHAnsi"/>
      <w:lang w:eastAsia="en-US"/>
    </w:rPr>
  </w:style>
  <w:style w:type="paragraph" w:styleId="Heading1">
    <w:name w:val="heading 1"/>
    <w:basedOn w:val="Normal"/>
    <w:next w:val="Normal"/>
    <w:link w:val="Heading1Char"/>
    <w:semiHidden/>
    <w:qFormat/>
    <w:rsid w:val="00974010"/>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974010"/>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97401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974010"/>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974010"/>
    <w:pPr>
      <w:keepNext/>
      <w:spacing w:before="360"/>
      <w:outlineLvl w:val="4"/>
    </w:pPr>
    <w:rPr>
      <w:b/>
      <w:bCs/>
      <w:iCs/>
      <w:szCs w:val="26"/>
    </w:rPr>
  </w:style>
  <w:style w:type="paragraph" w:styleId="Heading6">
    <w:name w:val="heading 6"/>
    <w:basedOn w:val="Normal"/>
    <w:next w:val="Normal"/>
    <w:link w:val="Heading6Char"/>
    <w:uiPriority w:val="1"/>
    <w:semiHidden/>
    <w:qFormat/>
    <w:rsid w:val="00974010"/>
    <w:pPr>
      <w:spacing w:before="360"/>
      <w:outlineLvl w:val="5"/>
    </w:pPr>
    <w:rPr>
      <w:b/>
      <w:bCs/>
      <w:i/>
      <w:szCs w:val="22"/>
    </w:rPr>
  </w:style>
  <w:style w:type="paragraph" w:styleId="Heading7">
    <w:name w:val="heading 7"/>
    <w:basedOn w:val="Normal"/>
    <w:next w:val="Normal"/>
    <w:uiPriority w:val="99"/>
    <w:semiHidden/>
    <w:qFormat/>
    <w:rsid w:val="00974010"/>
    <w:pPr>
      <w:spacing w:after="60"/>
      <w:outlineLvl w:val="6"/>
    </w:pPr>
  </w:style>
  <w:style w:type="paragraph" w:styleId="Heading8">
    <w:name w:val="heading 8"/>
    <w:basedOn w:val="Normal"/>
    <w:next w:val="Normal"/>
    <w:uiPriority w:val="99"/>
    <w:semiHidden/>
    <w:qFormat/>
    <w:rsid w:val="00974010"/>
    <w:pPr>
      <w:spacing w:after="60"/>
      <w:outlineLvl w:val="7"/>
    </w:pPr>
    <w:rPr>
      <w:i/>
      <w:iCs/>
    </w:rPr>
  </w:style>
  <w:style w:type="paragraph" w:styleId="Heading9">
    <w:name w:val="heading 9"/>
    <w:basedOn w:val="Normal"/>
    <w:next w:val="Normal"/>
    <w:uiPriority w:val="99"/>
    <w:semiHidden/>
    <w:qFormat/>
    <w:rsid w:val="0097401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74010"/>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974010"/>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74010"/>
    <w:rPr>
      <w:b/>
      <w:bCs/>
    </w:rPr>
  </w:style>
  <w:style w:type="paragraph" w:styleId="Subtitle">
    <w:name w:val="Subtitle"/>
    <w:basedOn w:val="Normal"/>
    <w:uiPriority w:val="1"/>
    <w:semiHidden/>
    <w:qFormat/>
    <w:rsid w:val="00974010"/>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974010"/>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974010"/>
    <w:pPr>
      <w:spacing w:before="0" w:after="0"/>
    </w:pPr>
    <w:rPr>
      <w:sz w:val="8"/>
    </w:rPr>
  </w:style>
  <w:style w:type="paragraph" w:customStyle="1" w:styleId="Numberedpara1level3a">
    <w:name w:val="Numbered para (1) level 3 (a)"/>
    <w:basedOn w:val="Normal"/>
    <w:semiHidden/>
    <w:unhideWhenUsed/>
    <w:rsid w:val="00065F18"/>
    <w:pPr>
      <w:numPr>
        <w:ilvl w:val="2"/>
        <w:numId w:val="25"/>
      </w:numPr>
    </w:pPr>
  </w:style>
  <w:style w:type="paragraph" w:customStyle="1" w:styleId="Numberedpara1level4i">
    <w:name w:val="Numbered para (1) level 4 (i)"/>
    <w:basedOn w:val="Normal"/>
    <w:semiHidden/>
    <w:unhideWhenUsed/>
    <w:rsid w:val="00065F18"/>
    <w:pPr>
      <w:numPr>
        <w:ilvl w:val="3"/>
        <w:numId w:val="25"/>
      </w:numPr>
    </w:pPr>
  </w:style>
  <w:style w:type="paragraph" w:customStyle="1" w:styleId="Bullet">
    <w:name w:val="Bullet"/>
    <w:basedOn w:val="Normal"/>
    <w:rsid w:val="004E11CB"/>
    <w:pPr>
      <w:numPr>
        <w:numId w:val="14"/>
      </w:numPr>
      <w:spacing w:before="80" w:after="80"/>
    </w:p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0"/>
      </w:numPr>
      <w:spacing w:before="80" w:after="80"/>
    </w:pPr>
  </w:style>
  <w:style w:type="paragraph" w:customStyle="1" w:styleId="List123">
    <w:name w:val="List 1 2 3"/>
    <w:basedOn w:val="Normal"/>
    <w:rsid w:val="00065F18"/>
    <w:pPr>
      <w:numPr>
        <w:numId w:val="21"/>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974010"/>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974010"/>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8E4787"/>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7D0935"/>
    <w:pPr>
      <w:pageBreakBefore/>
      <w:numPr>
        <w:numId w:val="18"/>
      </w:numPr>
      <w:tabs>
        <w:tab w:val="left" w:pos="2268"/>
      </w:tabs>
      <w:spacing w:before="0"/>
      <w:outlineLvl w:val="7"/>
    </w:pPr>
    <w:rPr>
      <w:color w:val="000000" w:themeColor="text1"/>
      <w:sz w:val="26"/>
    </w:r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74010"/>
    <w:pPr>
      <w:numPr>
        <w:ilvl w:val="1"/>
        <w:numId w:val="20"/>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97401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0F5529"/>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974010"/>
    <w:rPr>
      <w:i/>
      <w:iCs/>
    </w:rPr>
  </w:style>
  <w:style w:type="character" w:styleId="IntenseEmphasis">
    <w:name w:val="Intense Emphasis"/>
    <w:uiPriority w:val="99"/>
    <w:semiHidden/>
    <w:qFormat/>
    <w:rsid w:val="00974010"/>
    <w:rPr>
      <w:b/>
      <w:i/>
    </w:rPr>
  </w:style>
  <w:style w:type="paragraph" w:styleId="ListParagraph">
    <w:name w:val="List Paragraph"/>
    <w:basedOn w:val="List123"/>
    <w:uiPriority w:val="34"/>
    <w:qFormat/>
    <w:rsid w:val="00974010"/>
    <w:pPr>
      <w:numPr>
        <w:numId w:val="0"/>
      </w:numPr>
    </w:pPr>
  </w:style>
  <w:style w:type="character" w:customStyle="1" w:styleId="Heading5Char">
    <w:name w:val="Heading 5 Char"/>
    <w:basedOn w:val="DefaultParagraphFont"/>
    <w:link w:val="Heading5"/>
    <w:uiPriority w:val="1"/>
    <w:semiHidden/>
    <w:rsid w:val="00974010"/>
    <w:rPr>
      <w:rFonts w:eastAsiaTheme="minorHAnsi"/>
      <w:b/>
      <w:bCs/>
      <w:iCs/>
      <w:szCs w:val="26"/>
      <w:lang w:eastAsia="en-US"/>
    </w:rPr>
  </w:style>
  <w:style w:type="character" w:styleId="SubtleReference">
    <w:name w:val="Subtle Reference"/>
    <w:basedOn w:val="DefaultParagraphFont"/>
    <w:uiPriority w:val="99"/>
    <w:semiHidden/>
    <w:qFormat/>
    <w:rsid w:val="00974010"/>
    <w:rPr>
      <w:rFonts w:ascii="Calibri" w:hAnsi="Calibri"/>
      <w:smallCaps/>
      <w:color w:val="A42F13" w:themeColor="accent2"/>
      <w:u w:val="single"/>
    </w:rPr>
  </w:style>
  <w:style w:type="character" w:styleId="BookTitle">
    <w:name w:val="Book Title"/>
    <w:basedOn w:val="DefaultParagraphFont"/>
    <w:uiPriority w:val="33"/>
    <w:semiHidden/>
    <w:qFormat/>
    <w:rsid w:val="00974010"/>
    <w:rPr>
      <w:rFonts w:ascii="Calibri" w:hAnsi="Calibri"/>
      <w:b/>
      <w:bCs/>
      <w:smallCaps/>
      <w:spacing w:val="5"/>
    </w:rPr>
  </w:style>
  <w:style w:type="character" w:styleId="IntenseReference">
    <w:name w:val="Intense Reference"/>
    <w:basedOn w:val="DefaultParagraphFont"/>
    <w:uiPriority w:val="99"/>
    <w:semiHidden/>
    <w:qFormat/>
    <w:rsid w:val="00974010"/>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74010"/>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974010"/>
    <w:rPr>
      <w:rFonts w:eastAsiaTheme="minorHAnsi"/>
      <w:b/>
      <w:bCs/>
      <w:i/>
      <w:iCs/>
      <w:color w:val="1F546B" w:themeColor="text2"/>
      <w:lang w:eastAsia="en-US"/>
    </w:rPr>
  </w:style>
  <w:style w:type="paragraph" w:customStyle="1" w:styleId="Coverpageheading">
    <w:name w:val="Cover page heading"/>
    <w:basedOn w:val="Normal"/>
    <w:next w:val="Normal"/>
    <w:rsid w:val="00DF43A6"/>
    <w:pPr>
      <w:spacing w:before="0"/>
    </w:pPr>
    <w:rPr>
      <w:b/>
      <w:color w:val="1F546B" w:themeColor="text2"/>
      <w:sz w:val="48"/>
    </w:rPr>
  </w:style>
  <w:style w:type="paragraph" w:customStyle="1" w:styleId="Tablenormal0">
    <w:name w:val="Table normal"/>
    <w:basedOn w:val="Normal"/>
    <w:qFormat/>
    <w:rsid w:val="00974010"/>
    <w:pPr>
      <w:spacing w:before="40" w:after="40"/>
    </w:pPr>
    <w:rPr>
      <w:sz w:val="22"/>
    </w:rPr>
  </w:style>
  <w:style w:type="character" w:customStyle="1" w:styleId="Heading6Char">
    <w:name w:val="Heading 6 Char"/>
    <w:basedOn w:val="DefaultParagraphFont"/>
    <w:link w:val="Heading6"/>
    <w:uiPriority w:val="1"/>
    <w:semiHidden/>
    <w:rsid w:val="00974010"/>
    <w:rPr>
      <w:rFonts w:eastAsiaTheme="minorHAnsi"/>
      <w:b/>
      <w:bCs/>
      <w:i/>
      <w:szCs w:val="22"/>
      <w:lang w:eastAsia="en-US"/>
    </w:rPr>
  </w:style>
  <w:style w:type="paragraph" w:customStyle="1" w:styleId="ListABClevel3">
    <w:name w:val="List A B C level 3"/>
    <w:basedOn w:val="Normal"/>
    <w:uiPriority w:val="1"/>
    <w:semiHidden/>
    <w:qFormat/>
    <w:rsid w:val="00974010"/>
    <w:pPr>
      <w:numPr>
        <w:ilvl w:val="2"/>
        <w:numId w:val="20"/>
      </w:numPr>
      <w:spacing w:before="80" w:after="80"/>
    </w:pPr>
  </w:style>
  <w:style w:type="paragraph" w:customStyle="1" w:styleId="List123level2">
    <w:name w:val="List 1 2 3 level 2"/>
    <w:basedOn w:val="Normal"/>
    <w:uiPriority w:val="1"/>
    <w:semiHidden/>
    <w:qFormat/>
    <w:rsid w:val="00974010"/>
    <w:pPr>
      <w:numPr>
        <w:ilvl w:val="1"/>
        <w:numId w:val="21"/>
      </w:numPr>
      <w:spacing w:before="80" w:after="80"/>
    </w:pPr>
  </w:style>
  <w:style w:type="paragraph" w:customStyle="1" w:styleId="List123level3">
    <w:name w:val="List 1 2 3 level 3"/>
    <w:basedOn w:val="Normal"/>
    <w:uiPriority w:val="1"/>
    <w:semiHidden/>
    <w:qFormat/>
    <w:rsid w:val="00974010"/>
    <w:pPr>
      <w:numPr>
        <w:ilvl w:val="2"/>
        <w:numId w:val="21"/>
      </w:numPr>
      <w:spacing w:before="80" w:after="80"/>
    </w:pPr>
  </w:style>
  <w:style w:type="paragraph" w:customStyle="1" w:styleId="Legislationsection">
    <w:name w:val="Legislation section"/>
    <w:basedOn w:val="Normal"/>
    <w:semiHidden/>
    <w:qFormat/>
    <w:rsid w:val="00974010"/>
    <w:pPr>
      <w:keepNext/>
      <w:numPr>
        <w:numId w:val="23"/>
      </w:numPr>
      <w:spacing w:after="60"/>
    </w:pPr>
    <w:rPr>
      <w:b/>
      <w:sz w:val="22"/>
    </w:rPr>
  </w:style>
  <w:style w:type="paragraph" w:customStyle="1" w:styleId="Legislationnumber">
    <w:name w:val="Legislation number"/>
    <w:basedOn w:val="Normal"/>
    <w:semiHidden/>
    <w:qFormat/>
    <w:rsid w:val="00974010"/>
    <w:pPr>
      <w:numPr>
        <w:numId w:val="22"/>
      </w:numPr>
      <w:tabs>
        <w:tab w:val="left" w:pos="567"/>
      </w:tabs>
      <w:spacing w:before="60" w:after="60"/>
    </w:pPr>
    <w:rPr>
      <w:sz w:val="22"/>
    </w:rPr>
  </w:style>
  <w:style w:type="paragraph" w:customStyle="1" w:styleId="Legislationa">
    <w:name w:val="Legislation (a)"/>
    <w:basedOn w:val="Normal"/>
    <w:semiHidden/>
    <w:qFormat/>
    <w:rsid w:val="00974010"/>
    <w:pPr>
      <w:numPr>
        <w:ilvl w:val="2"/>
        <w:numId w:val="23"/>
      </w:numPr>
      <w:spacing w:before="60" w:after="60"/>
    </w:pPr>
    <w:rPr>
      <w:sz w:val="22"/>
    </w:rPr>
  </w:style>
  <w:style w:type="paragraph" w:customStyle="1" w:styleId="Legislationi">
    <w:name w:val="Legislation (i)"/>
    <w:basedOn w:val="Normal"/>
    <w:semiHidden/>
    <w:qFormat/>
    <w:rsid w:val="00974010"/>
    <w:pPr>
      <w:numPr>
        <w:ilvl w:val="3"/>
        <w:numId w:val="23"/>
      </w:numPr>
      <w:spacing w:before="60" w:after="60"/>
    </w:pPr>
    <w:rPr>
      <w:sz w:val="22"/>
    </w:rPr>
  </w:style>
  <w:style w:type="paragraph" w:customStyle="1" w:styleId="Numberedparaindentonly">
    <w:name w:val="Numbered para indent only"/>
    <w:basedOn w:val="Normal"/>
    <w:qFormat/>
    <w:rsid w:val="00974010"/>
    <w:pPr>
      <w:spacing w:after="120"/>
      <w:ind w:left="567"/>
    </w:pPr>
  </w:style>
  <w:style w:type="paragraph" w:customStyle="1" w:styleId="Spacer">
    <w:name w:val="Spacer"/>
    <w:basedOn w:val="Normal"/>
    <w:qFormat/>
    <w:rsid w:val="00974010"/>
    <w:pPr>
      <w:spacing w:before="0" w:after="0"/>
    </w:pPr>
  </w:style>
  <w:style w:type="paragraph" w:customStyle="1" w:styleId="Page">
    <w:name w:val="Page"/>
    <w:basedOn w:val="Spacer"/>
    <w:semiHidden/>
    <w:qFormat/>
    <w:rsid w:val="00974010"/>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74010"/>
    <w:rPr>
      <w:sz w:val="24"/>
    </w:rPr>
  </w:style>
  <w:style w:type="paragraph" w:customStyle="1" w:styleId="Tableheading12pt">
    <w:name w:val="Table heading 12pt"/>
    <w:basedOn w:val="Tableheading"/>
    <w:semiHidden/>
    <w:qFormat/>
    <w:rsid w:val="00974010"/>
    <w:pPr>
      <w:keepNext/>
    </w:pPr>
    <w:rPr>
      <w:sz w:val="24"/>
    </w:rPr>
  </w:style>
  <w:style w:type="paragraph" w:customStyle="1" w:styleId="Documentationpageheading">
    <w:name w:val="Documentation page heading"/>
    <w:basedOn w:val="Normal"/>
    <w:semiHidden/>
    <w:qFormat/>
    <w:rsid w:val="00974010"/>
    <w:pPr>
      <w:spacing w:after="0"/>
    </w:pPr>
    <w:rPr>
      <w:b/>
      <w:color w:val="1F546B" w:themeColor="text2"/>
      <w:sz w:val="36"/>
    </w:rPr>
  </w:style>
  <w:style w:type="paragraph" w:customStyle="1" w:styleId="Documentationpagesubheading">
    <w:name w:val="Documentation page subheading"/>
    <w:basedOn w:val="Documentationpageheading"/>
    <w:semiHidden/>
    <w:qFormat/>
    <w:rsid w:val="00974010"/>
    <w:rPr>
      <w:sz w:val="28"/>
    </w:rPr>
  </w:style>
  <w:style w:type="paragraph" w:customStyle="1" w:styleId="Documentationpagetable">
    <w:name w:val="Documentation page table"/>
    <w:basedOn w:val="Normal"/>
    <w:semiHidden/>
    <w:qFormat/>
    <w:rsid w:val="00974010"/>
    <w:pPr>
      <w:spacing w:before="44" w:after="24"/>
    </w:pPr>
    <w:rPr>
      <w:rFonts w:cstheme="minorBidi"/>
      <w:sz w:val="20"/>
    </w:rPr>
  </w:style>
  <w:style w:type="paragraph" w:customStyle="1" w:styleId="Documentationpagetableheading">
    <w:name w:val="Documentation page table heading"/>
    <w:basedOn w:val="Normal"/>
    <w:semiHidden/>
    <w:qFormat/>
    <w:rsid w:val="00974010"/>
    <w:pPr>
      <w:spacing w:before="40" w:after="40"/>
    </w:pPr>
    <w:rPr>
      <w:rFonts w:cstheme="minorBidi"/>
      <w:b/>
      <w:color w:val="FFFFFF" w:themeColor="background1"/>
      <w:sz w:val="20"/>
    </w:rPr>
  </w:style>
  <w:style w:type="paragraph" w:customStyle="1" w:styleId="Briefingparasubheading">
    <w:name w:val="Briefing para subheading"/>
    <w:basedOn w:val="Normal"/>
    <w:next w:val="Numberedpara3level1"/>
    <w:qFormat/>
    <w:rsid w:val="00C323CA"/>
    <w:pPr>
      <w:keepNext/>
      <w:spacing w:before="240" w:after="120"/>
    </w:pPr>
    <w:rPr>
      <w:b/>
      <w:i/>
    </w:rPr>
  </w:style>
  <w:style w:type="paragraph" w:customStyle="1" w:styleId="Numberedpara3level1">
    <w:name w:val="Numbered para (3) level 1"/>
    <w:basedOn w:val="Normal"/>
    <w:qFormat/>
    <w:rsid w:val="00974010"/>
    <w:pPr>
      <w:numPr>
        <w:numId w:val="26"/>
      </w:numPr>
      <w:spacing w:after="120"/>
    </w:pPr>
  </w:style>
  <w:style w:type="paragraph" w:customStyle="1" w:styleId="Numberedpara3level211">
    <w:name w:val="Numbered para (3) level 2 (1.1)"/>
    <w:basedOn w:val="Normal"/>
    <w:qFormat/>
    <w:rsid w:val="00A806A1"/>
    <w:pPr>
      <w:numPr>
        <w:ilvl w:val="1"/>
        <w:numId w:val="26"/>
      </w:numPr>
      <w:spacing w:after="120"/>
    </w:pPr>
  </w:style>
  <w:style w:type="paragraph" w:customStyle="1" w:styleId="Recommendations">
    <w:name w:val="Recommendations"/>
    <w:basedOn w:val="Normal"/>
    <w:semiHidden/>
    <w:qFormat/>
    <w:rsid w:val="0017276A"/>
    <w:pPr>
      <w:numPr>
        <w:numId w:val="28"/>
      </w:numPr>
      <w:ind w:left="567" w:hanging="567"/>
    </w:pPr>
  </w:style>
  <w:style w:type="paragraph" w:customStyle="1" w:styleId="Title2">
    <w:name w:val="Title 2"/>
    <w:basedOn w:val="Title"/>
    <w:semiHidden/>
    <w:qFormat/>
    <w:rsid w:val="00974010"/>
    <w:rPr>
      <w:sz w:val="52"/>
    </w:rPr>
  </w:style>
  <w:style w:type="paragraph" w:customStyle="1" w:styleId="Briefingparaheading">
    <w:name w:val="Briefing para heading"/>
    <w:basedOn w:val="Normal"/>
    <w:next w:val="Numberedpara3level1"/>
    <w:qFormat/>
    <w:rsid w:val="00FF3300"/>
    <w:pPr>
      <w:keepNext/>
      <w:spacing w:before="240" w:after="120"/>
    </w:pPr>
    <w:rPr>
      <w:b/>
      <w:sz w:val="26"/>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974010"/>
    <w:rPr>
      <w:b/>
      <w:i/>
      <w:caps/>
      <w:smallCaps w:val="0"/>
      <w:sz w:val="22"/>
    </w:rPr>
  </w:style>
  <w:style w:type="paragraph" w:customStyle="1" w:styleId="Numberedpara1level211">
    <w:name w:val="Numbered para (1) level 2 (1.1)"/>
    <w:basedOn w:val="Normal"/>
    <w:semiHidden/>
    <w:unhideWhenUsed/>
    <w:rsid w:val="00065F18"/>
    <w:pPr>
      <w:numPr>
        <w:ilvl w:val="1"/>
        <w:numId w:val="25"/>
      </w:numPr>
    </w:pPr>
  </w:style>
  <w:style w:type="paragraph" w:customStyle="1" w:styleId="Numberedpara11headingwithnumber">
    <w:name w:val="Numbered para (1) 1 (heading with number)"/>
    <w:basedOn w:val="Normal"/>
    <w:semiHidden/>
    <w:qFormat/>
    <w:rsid w:val="00974010"/>
    <w:pPr>
      <w:keepNext/>
      <w:numPr>
        <w:numId w:val="25"/>
      </w:numPr>
      <w:spacing w:before="240" w:after="120"/>
    </w:pPr>
    <w:rPr>
      <w:b/>
      <w:sz w:val="28"/>
    </w:rPr>
  </w:style>
  <w:style w:type="paragraph" w:customStyle="1" w:styleId="Crossreference">
    <w:name w:val="Cross reference"/>
    <w:basedOn w:val="Normal"/>
    <w:semiHidden/>
    <w:qFormat/>
    <w:rsid w:val="00974010"/>
    <w:rPr>
      <w:i/>
      <w:color w:val="1F546B" w:themeColor="text2"/>
      <w:u w:val="single"/>
    </w:rPr>
  </w:style>
  <w:style w:type="paragraph" w:customStyle="1" w:styleId="Coverpagesubheading">
    <w:name w:val="Cover page subheading"/>
    <w:basedOn w:val="Spacer"/>
    <w:qFormat/>
    <w:rsid w:val="00C934E9"/>
    <w:rPr>
      <w:b/>
      <w:sz w:val="26"/>
    </w:rPr>
  </w:style>
  <w:style w:type="paragraph" w:customStyle="1" w:styleId="Tick">
    <w:name w:val="Tick"/>
    <w:basedOn w:val="Normal"/>
    <w:semiHidden/>
    <w:qFormat/>
    <w:rsid w:val="00C8703D"/>
    <w:pPr>
      <w:spacing w:before="44" w:after="24"/>
      <w:jc w:val="center"/>
    </w:pPr>
    <w:rPr>
      <w:rFonts w:ascii="Wingdings" w:hAnsi="Wingdings" w:cstheme="minorBidi"/>
      <w:sz w:val="28"/>
    </w:rPr>
  </w:style>
  <w:style w:type="paragraph" w:customStyle="1" w:styleId="Numberedpara3level3111">
    <w:name w:val="Numbered para (3) level 3 (1.1.1)"/>
    <w:basedOn w:val="Normal"/>
    <w:qFormat/>
    <w:rsid w:val="00974010"/>
    <w:pPr>
      <w:numPr>
        <w:ilvl w:val="2"/>
        <w:numId w:val="26"/>
      </w:numPr>
      <w:spacing w:after="120"/>
    </w:pPr>
  </w:style>
  <w:style w:type="table" w:customStyle="1" w:styleId="Ministerial">
    <w:name w:val="_Ministerial"/>
    <w:basedOn w:val="TableNormal"/>
    <w:uiPriority w:val="99"/>
    <w:rsid w:val="00AE5D1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Tablesource">
    <w:name w:val="Table source"/>
    <w:basedOn w:val="Normal"/>
    <w:next w:val="Numberedpara3level1"/>
    <w:qFormat/>
    <w:rsid w:val="00BA00B2"/>
    <w:pPr>
      <w:spacing w:before="40"/>
      <w:ind w:left="567"/>
    </w:pPr>
    <w:rPr>
      <w:sz w:val="22"/>
    </w:rPr>
  </w:style>
  <w:style w:type="paragraph" w:customStyle="1" w:styleId="FinancialtableLHC">
    <w:name w:val="Financial table LHC"/>
    <w:basedOn w:val="Normal"/>
    <w:semiHidden/>
    <w:qFormat/>
    <w:rsid w:val="00BA00B2"/>
    <w:pPr>
      <w:spacing w:before="0" w:after="0"/>
      <w:contextualSpacing/>
    </w:pPr>
    <w:rPr>
      <w:sz w:val="22"/>
    </w:rPr>
  </w:style>
  <w:style w:type="paragraph" w:customStyle="1" w:styleId="Financialtablefigures">
    <w:name w:val="Financial table figures"/>
    <w:basedOn w:val="FinancialtableLHC"/>
    <w:semiHidden/>
    <w:qFormat/>
    <w:rsid w:val="00BA00B2"/>
    <w:pPr>
      <w:jc w:val="right"/>
    </w:pPr>
  </w:style>
  <w:style w:type="paragraph" w:customStyle="1" w:styleId="Financialtableyears">
    <w:name w:val="Financial table years"/>
    <w:basedOn w:val="Financialtablefigures"/>
    <w:semiHidden/>
    <w:qFormat/>
    <w:rsid w:val="00BA00B2"/>
    <w:pPr>
      <w:jc w:val="center"/>
    </w:pPr>
    <w:rPr>
      <w:b/>
      <w:sz w:val="20"/>
    </w:rPr>
  </w:style>
  <w:style w:type="paragraph" w:customStyle="1" w:styleId="Tableheading2">
    <w:name w:val="Table heading 2"/>
    <w:basedOn w:val="Normal"/>
    <w:qFormat/>
    <w:rsid w:val="007723F0"/>
    <w:pPr>
      <w:spacing w:before="44" w:after="24"/>
    </w:pPr>
    <w:rPr>
      <w:rFonts w:cstheme="minorBidi"/>
      <w:b/>
      <w:sz w:val="22"/>
    </w:rPr>
  </w:style>
  <w:style w:type="paragraph" w:customStyle="1" w:styleId="Priorityrating">
    <w:name w:val="Priority rating"/>
    <w:basedOn w:val="Tablenormal0"/>
    <w:semiHidden/>
    <w:qFormat/>
    <w:rsid w:val="004C4864"/>
    <w:rPr>
      <w:i/>
    </w:rPr>
  </w:style>
  <w:style w:type="paragraph" w:customStyle="1" w:styleId="Numberedpara2subheading">
    <w:name w:val="Numbered para (2) subheading"/>
    <w:basedOn w:val="Normal"/>
    <w:next w:val="Normal"/>
    <w:semiHidden/>
    <w:qFormat/>
    <w:rsid w:val="00974010"/>
    <w:pPr>
      <w:keepNext/>
      <w:spacing w:before="240" w:after="120"/>
    </w:pPr>
    <w:rPr>
      <w:b/>
      <w:i/>
    </w:rPr>
  </w:style>
  <w:style w:type="paragraph" w:customStyle="1" w:styleId="Numberedpara2level1">
    <w:name w:val="Numbered para (2) level 1"/>
    <w:basedOn w:val="Normal"/>
    <w:semiHidden/>
    <w:qFormat/>
    <w:rsid w:val="00974010"/>
    <w:pPr>
      <w:numPr>
        <w:numId w:val="24"/>
      </w:numPr>
      <w:spacing w:after="120"/>
    </w:pPr>
  </w:style>
  <w:style w:type="paragraph" w:customStyle="1" w:styleId="Numberedpara2level2a">
    <w:name w:val="Numbered para (2) level 2 (a)"/>
    <w:basedOn w:val="Normal"/>
    <w:semiHidden/>
    <w:qFormat/>
    <w:rsid w:val="00974010"/>
    <w:pPr>
      <w:numPr>
        <w:ilvl w:val="1"/>
        <w:numId w:val="24"/>
      </w:numPr>
      <w:spacing w:after="120"/>
    </w:pPr>
  </w:style>
  <w:style w:type="paragraph" w:customStyle="1" w:styleId="Numberedpara2level3i">
    <w:name w:val="Numbered para (2) level 3 (i)"/>
    <w:basedOn w:val="Normal"/>
    <w:semiHidden/>
    <w:qFormat/>
    <w:rsid w:val="00974010"/>
    <w:pPr>
      <w:numPr>
        <w:ilvl w:val="2"/>
        <w:numId w:val="24"/>
      </w:numPr>
      <w:spacing w:after="120"/>
    </w:pPr>
  </w:style>
  <w:style w:type="paragraph" w:customStyle="1" w:styleId="Numberedpara2heading">
    <w:name w:val="Numbered para (2) heading"/>
    <w:basedOn w:val="Normal"/>
    <w:semiHidden/>
    <w:qFormat/>
    <w:rsid w:val="00974010"/>
    <w:pPr>
      <w:keepNext/>
      <w:spacing w:before="240" w:after="120"/>
    </w:pPr>
    <w:rPr>
      <w:b/>
      <w:sz w:val="28"/>
    </w:rPr>
  </w:style>
  <w:style w:type="paragraph" w:customStyle="1" w:styleId="Numberedpara3heading">
    <w:name w:val="Numbered para (3) heading"/>
    <w:basedOn w:val="Normal"/>
    <w:semiHidden/>
    <w:qFormat/>
    <w:rsid w:val="00974010"/>
    <w:pPr>
      <w:keepNext/>
      <w:spacing w:before="200" w:after="120"/>
    </w:pPr>
    <w:rPr>
      <w:b/>
    </w:rPr>
  </w:style>
  <w:style w:type="paragraph" w:customStyle="1" w:styleId="Numberedpara3subheading">
    <w:name w:val="Numbered para (3) subheading"/>
    <w:basedOn w:val="Normal"/>
    <w:semiHidden/>
    <w:qFormat/>
    <w:rsid w:val="00974010"/>
    <w:pPr>
      <w:keepNext/>
      <w:spacing w:before="240" w:after="120"/>
    </w:pPr>
    <w:rPr>
      <w:b/>
      <w:i/>
    </w:rPr>
  </w:style>
  <w:style w:type="paragraph" w:customStyle="1" w:styleId="Recommendationslevel2">
    <w:name w:val="Recommendations level 2"/>
    <w:basedOn w:val="Recommendations"/>
    <w:qFormat/>
    <w:rsid w:val="00493AD9"/>
    <w:pPr>
      <w:numPr>
        <w:numId w:val="27"/>
      </w:numPr>
      <w:spacing w:after="120"/>
    </w:pPr>
  </w:style>
  <w:style w:type="paragraph" w:customStyle="1" w:styleId="Recommendationslevel3">
    <w:name w:val="Recommendations level 3"/>
    <w:basedOn w:val="Recommendationslevel2"/>
    <w:qFormat/>
    <w:rsid w:val="00592E6E"/>
    <w:pPr>
      <w:numPr>
        <w:ilvl w:val="1"/>
      </w:numPr>
    </w:pPr>
  </w:style>
  <w:style w:type="paragraph" w:customStyle="1" w:styleId="Briefingparasubsubheading">
    <w:name w:val="Briefing para subsubheading"/>
    <w:basedOn w:val="Normal"/>
    <w:next w:val="Numberedpara3level1"/>
    <w:qFormat/>
    <w:rsid w:val="00C323CA"/>
    <w:pPr>
      <w:keepNext/>
      <w:spacing w:before="240" w:after="120"/>
    </w:pPr>
    <w:rPr>
      <w:i/>
    </w:rPr>
  </w:style>
  <w:style w:type="paragraph" w:customStyle="1" w:styleId="Ministerialdatabase">
    <w:name w:val="Ministerial database"/>
    <w:basedOn w:val="Tablenormal0"/>
    <w:semiHidden/>
    <w:qFormat/>
    <w:rsid w:val="0077668B"/>
    <w:rPr>
      <w:sz w:val="20"/>
      <w:szCs w:val="20"/>
    </w:rPr>
  </w:style>
  <w:style w:type="paragraph" w:customStyle="1" w:styleId="YesNo">
    <w:name w:val="Yes No"/>
    <w:basedOn w:val="Normal"/>
    <w:qFormat/>
    <w:rsid w:val="00F17BD8"/>
    <w:pPr>
      <w:spacing w:after="120"/>
    </w:pPr>
    <w:rPr>
      <w:b/>
    </w:rPr>
  </w:style>
  <w:style w:type="paragraph" w:customStyle="1" w:styleId="Ministerssign-off">
    <w:name w:val="Minister's sign-off"/>
    <w:basedOn w:val="Spacer"/>
    <w:qFormat/>
    <w:rsid w:val="00DE6A39"/>
    <w:rPr>
      <w:b/>
    </w:rPr>
  </w:style>
  <w:style w:type="paragraph" w:customStyle="1" w:styleId="Briefingtitle">
    <w:name w:val="Briefing title"/>
    <w:basedOn w:val="Normal"/>
    <w:qFormat/>
    <w:rsid w:val="008A3975"/>
    <w:pPr>
      <w:spacing w:before="0" w:after="0"/>
      <w:contextualSpacing/>
    </w:pPr>
    <w:rPr>
      <w:b/>
      <w:sz w:val="28"/>
    </w:rPr>
  </w:style>
  <w:style w:type="table" w:customStyle="1" w:styleId="TableGrid10">
    <w:name w:val="Table Grid1"/>
    <w:basedOn w:val="TableNormal"/>
    <w:next w:val="TableGrid"/>
    <w:rsid w:val="000B55C2"/>
    <w:pPr>
      <w:spacing w:before="0" w:after="0" w:line="28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B55C2"/>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wlgprddata1.dia.govt.nz\home$\sength\CES%20Analysis\CES%202014-15%20to%20Min-%20ser-improvemen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wlgprddata1.dia.govt.nz\home$\sength\CES%20Analysis\CES%202014-15%20to%20Min-%20ser-improvement.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400" b="0">
                <a:solidFill>
                  <a:schemeClr val="accent5"/>
                </a:solidFill>
                <a:latin typeface="+mn-lt"/>
              </a:rPr>
              <a:t>Overall</a:t>
            </a:r>
            <a:r>
              <a:rPr lang="en-NZ" sz="1400" b="0" baseline="0">
                <a:solidFill>
                  <a:schemeClr val="accent5"/>
                </a:solidFill>
                <a:latin typeface="+mn-lt"/>
              </a:rPr>
              <a:t> Satisfaction - Business Group</a:t>
            </a:r>
            <a:endParaRPr lang="en-NZ" sz="1400" b="0">
              <a:solidFill>
                <a:schemeClr val="accent5"/>
              </a:solidFill>
              <a:latin typeface="+mn-lt"/>
            </a:endParaRPr>
          </a:p>
        </c:rich>
      </c:tx>
      <c:layout>
        <c:manualLayout>
          <c:xMode val="edge"/>
          <c:yMode val="edge"/>
          <c:x val="0.30972486689848544"/>
          <c:y val="1.7391304347826087E-2"/>
        </c:manualLayout>
      </c:layout>
      <c:overlay val="0"/>
    </c:title>
    <c:autoTitleDeleted val="0"/>
    <c:plotArea>
      <c:layout/>
      <c:barChart>
        <c:barDir val="col"/>
        <c:grouping val="clustered"/>
        <c:varyColors val="0"/>
        <c:ser>
          <c:idx val="0"/>
          <c:order val="0"/>
          <c:tx>
            <c:strRef>
              <c:f>'Key Ser Measures'!$N$38</c:f>
              <c:strCache>
                <c:ptCount val="1"/>
                <c:pt idx="0">
                  <c:v>2012-13</c:v>
                </c:pt>
              </c:strCache>
            </c:strRef>
          </c:tx>
          <c:spPr>
            <a:solidFill>
              <a:schemeClr val="accent5">
                <a:lumMod val="60000"/>
                <a:lumOff val="40000"/>
              </a:schemeClr>
            </a:solidFill>
          </c:spPr>
          <c:invertIfNegative val="0"/>
          <c:dPt>
            <c:idx val="0"/>
            <c:invertIfNegative val="0"/>
            <c:bubble3D val="0"/>
            <c:spPr>
              <a:solidFill>
                <a:srgbClr val="7BC7CE">
                  <a:lumMod val="75000"/>
                </a:srgbClr>
              </a:solidFill>
            </c:spPr>
          </c:dPt>
          <c:dLbls>
            <c:dLbl>
              <c:idx val="0"/>
              <c:layout>
                <c:manualLayout>
                  <c:x val="2.0320894119341252E-3"/>
                  <c:y val="1.9014552121208016E-2"/>
                </c:manualLayout>
              </c:layout>
              <c:showLegendKey val="0"/>
              <c:showVal val="1"/>
              <c:showCatName val="0"/>
              <c:showSerName val="0"/>
              <c:showPercent val="0"/>
              <c:showBubbleSize val="0"/>
            </c:dLbl>
            <c:dLbl>
              <c:idx val="1"/>
              <c:layout>
                <c:manualLayout>
                  <c:x val="2.0320894119341252E-3"/>
                  <c:y val="1.4260914090906006E-2"/>
                </c:manualLayout>
              </c:layout>
              <c:showLegendKey val="0"/>
              <c:showVal val="1"/>
              <c:showCatName val="0"/>
              <c:showSerName val="0"/>
              <c:showPercent val="0"/>
              <c:showBubbleSize val="0"/>
            </c:dLbl>
            <c:dLbl>
              <c:idx val="2"/>
              <c:layout>
                <c:manualLayout>
                  <c:x val="-2.0320894119341252E-3"/>
                  <c:y val="2.3768190151510049E-2"/>
                </c:manualLayout>
              </c:layout>
              <c:showLegendKey val="0"/>
              <c:showVal val="1"/>
              <c:showCatName val="0"/>
              <c:showSerName val="0"/>
              <c:showPercent val="0"/>
              <c:showBubbleSize val="0"/>
            </c:dLbl>
            <c:dLbl>
              <c:idx val="5"/>
              <c:layout>
                <c:manualLayout>
                  <c:x val="-2.0320894119341252E-3"/>
                  <c:y val="1.9014552121208016E-2"/>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'Key Ser Measures'!$M$39:$M$44</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'Key Ser Measures'!$N$39:$N$44</c:f>
              <c:numCache>
                <c:formatCode>General</c:formatCode>
                <c:ptCount val="6"/>
                <c:pt idx="0">
                  <c:v>90</c:v>
                </c:pt>
                <c:pt idx="1">
                  <c:v>89</c:v>
                </c:pt>
                <c:pt idx="2">
                  <c:v>91</c:v>
                </c:pt>
                <c:pt idx="3">
                  <c:v>83</c:v>
                </c:pt>
                <c:pt idx="4">
                  <c:v>86</c:v>
                </c:pt>
                <c:pt idx="5">
                  <c:v>89</c:v>
                </c:pt>
              </c:numCache>
            </c:numRef>
          </c:val>
        </c:ser>
        <c:ser>
          <c:idx val="1"/>
          <c:order val="1"/>
          <c:tx>
            <c:strRef>
              <c:f>'Key Ser Measures'!$O$38</c:f>
              <c:strCache>
                <c:ptCount val="1"/>
                <c:pt idx="0">
                  <c:v>2013-14</c:v>
                </c:pt>
              </c:strCache>
            </c:strRef>
          </c:tx>
          <c:spPr>
            <a:solidFill>
              <a:schemeClr val="accent5">
                <a:lumMod val="50000"/>
              </a:schemeClr>
            </a:solidFill>
          </c:spPr>
          <c:invertIfNegative val="0"/>
          <c:dLbls>
            <c:dLbl>
              <c:idx val="0"/>
              <c:layout>
                <c:manualLayout>
                  <c:x val="0"/>
                  <c:y val="1.4260914090906029E-2"/>
                </c:manualLayout>
              </c:layout>
              <c:showLegendKey val="0"/>
              <c:showVal val="1"/>
              <c:showCatName val="0"/>
              <c:showSerName val="0"/>
              <c:showPercent val="0"/>
              <c:showBubbleSize val="0"/>
            </c:dLbl>
            <c:dLbl>
              <c:idx val="1"/>
              <c:layout>
                <c:manualLayout>
                  <c:x val="0"/>
                  <c:y val="1.4260539788698918E-2"/>
                </c:manualLayout>
              </c:layout>
              <c:showLegendKey val="0"/>
              <c:showVal val="1"/>
              <c:showCatName val="0"/>
              <c:showSerName val="0"/>
              <c:showPercent val="0"/>
              <c:showBubbleSize val="0"/>
            </c:dLbl>
            <c:dLbl>
              <c:idx val="2"/>
              <c:layout>
                <c:manualLayout>
                  <c:x val="0"/>
                  <c:y val="2.3768190151510049E-2"/>
                </c:manualLayout>
              </c:layout>
              <c:showLegendKey val="0"/>
              <c:showVal val="1"/>
              <c:showCatName val="0"/>
              <c:showSerName val="0"/>
              <c:showPercent val="0"/>
              <c:showBubbleSize val="0"/>
            </c:dLbl>
            <c:dLbl>
              <c:idx val="5"/>
              <c:layout>
                <c:manualLayout>
                  <c:x val="0"/>
                  <c:y val="2.376819015151007E-2"/>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'Key Ser Measures'!$M$39:$M$44</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'Key Ser Measures'!$O$39:$O$44</c:f>
              <c:numCache>
                <c:formatCode>General</c:formatCode>
                <c:ptCount val="6"/>
                <c:pt idx="0">
                  <c:v>91</c:v>
                </c:pt>
                <c:pt idx="1">
                  <c:v>90</c:v>
                </c:pt>
                <c:pt idx="2">
                  <c:v>91</c:v>
                </c:pt>
                <c:pt idx="3">
                  <c:v>82</c:v>
                </c:pt>
                <c:pt idx="4">
                  <c:v>88</c:v>
                </c:pt>
                <c:pt idx="5">
                  <c:v>93</c:v>
                </c:pt>
              </c:numCache>
            </c:numRef>
          </c:val>
        </c:ser>
        <c:ser>
          <c:idx val="2"/>
          <c:order val="2"/>
          <c:tx>
            <c:strRef>
              <c:f>'Key Ser Measures'!$P$38</c:f>
              <c:strCache>
                <c:ptCount val="1"/>
                <c:pt idx="0">
                  <c:v>2014-15</c:v>
                </c:pt>
              </c:strCache>
            </c:strRef>
          </c:tx>
          <c:spPr>
            <a:solidFill>
              <a:srgbClr val="7BC7CE">
                <a:lumMod val="40000"/>
                <a:lumOff val="60000"/>
              </a:srgbClr>
            </a:solidFill>
            <a:ln>
              <a:solidFill>
                <a:srgbClr val="7BC7CE">
                  <a:lumMod val="50000"/>
                </a:srgbClr>
              </a:solidFill>
            </a:ln>
          </c:spPr>
          <c:invertIfNegative val="0"/>
          <c:dLbls>
            <c:dLbl>
              <c:idx val="0"/>
              <c:layout>
                <c:manualLayout>
                  <c:x val="-2.0320894119341252E-3"/>
                  <c:y val="1.4260539788698918E-2"/>
                </c:manualLayout>
              </c:layout>
              <c:showLegendKey val="0"/>
              <c:showVal val="1"/>
              <c:showCatName val="0"/>
              <c:showSerName val="0"/>
              <c:showPercent val="0"/>
              <c:showBubbleSize val="0"/>
            </c:dLbl>
            <c:dLbl>
              <c:idx val="1"/>
              <c:layout>
                <c:manualLayout>
                  <c:x val="0"/>
                  <c:y val="1.9014552121208037E-2"/>
                </c:manualLayout>
              </c:layout>
              <c:showLegendKey val="0"/>
              <c:showVal val="1"/>
              <c:showCatName val="0"/>
              <c:showSerName val="0"/>
              <c:showPercent val="0"/>
              <c:showBubbleSize val="0"/>
            </c:dLbl>
            <c:dLbl>
              <c:idx val="2"/>
              <c:layout>
                <c:manualLayout>
                  <c:x val="0"/>
                  <c:y val="1.9014552121208037E-2"/>
                </c:manualLayout>
              </c:layout>
              <c:showLegendKey val="0"/>
              <c:showVal val="1"/>
              <c:showCatName val="0"/>
              <c:showSerName val="0"/>
              <c:showPercent val="0"/>
              <c:showBubbleSize val="0"/>
            </c:dLbl>
            <c:dLbl>
              <c:idx val="5"/>
              <c:layout>
                <c:manualLayout>
                  <c:x val="0"/>
                  <c:y val="1.4260914090906006E-2"/>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'Key Ser Measures'!$M$39:$M$44</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'Key Ser Measures'!$P$39:$P$44</c:f>
              <c:numCache>
                <c:formatCode>General</c:formatCode>
                <c:ptCount val="6"/>
                <c:pt idx="0">
                  <c:v>90</c:v>
                </c:pt>
                <c:pt idx="1">
                  <c:v>93</c:v>
                </c:pt>
                <c:pt idx="2">
                  <c:v>91</c:v>
                </c:pt>
                <c:pt idx="3">
                  <c:v>80</c:v>
                </c:pt>
                <c:pt idx="4">
                  <c:v>86</c:v>
                </c:pt>
                <c:pt idx="5">
                  <c:v>89</c:v>
                </c:pt>
              </c:numCache>
            </c:numRef>
          </c:val>
        </c:ser>
        <c:dLbls>
          <c:showLegendKey val="0"/>
          <c:showVal val="0"/>
          <c:showCatName val="0"/>
          <c:showSerName val="0"/>
          <c:showPercent val="0"/>
          <c:showBubbleSize val="0"/>
        </c:dLbls>
        <c:gapWidth val="163"/>
        <c:overlap val="-17"/>
        <c:axId val="123561472"/>
        <c:axId val="140271616"/>
      </c:barChart>
      <c:catAx>
        <c:axId val="123561472"/>
        <c:scaling>
          <c:orientation val="minMax"/>
        </c:scaling>
        <c:delete val="0"/>
        <c:axPos val="b"/>
        <c:majorTickMark val="none"/>
        <c:minorTickMark val="none"/>
        <c:tickLblPos val="nextTo"/>
        <c:txPr>
          <a:bodyPr/>
          <a:lstStyle/>
          <a:p>
            <a:pPr>
              <a:defRPr sz="900">
                <a:solidFill>
                  <a:schemeClr val="tx1">
                    <a:lumMod val="50000"/>
                    <a:lumOff val="50000"/>
                  </a:schemeClr>
                </a:solidFill>
                <a:latin typeface="+mn-lt"/>
              </a:defRPr>
            </a:pPr>
            <a:endParaRPr lang="en-US"/>
          </a:p>
        </c:txPr>
        <c:crossAx val="140271616"/>
        <c:crosses val="autoZero"/>
        <c:auto val="1"/>
        <c:lblAlgn val="ctr"/>
        <c:lblOffset val="100"/>
        <c:noMultiLvlLbl val="0"/>
      </c:catAx>
      <c:valAx>
        <c:axId val="140271616"/>
        <c:scaling>
          <c:orientation val="minMax"/>
          <c:max val="100"/>
          <c:min val="0"/>
        </c:scaling>
        <c:delete val="0"/>
        <c:axPos val="l"/>
        <c:majorGridlines>
          <c:spPr>
            <a:ln w="19050">
              <a:solidFill>
                <a:schemeClr val="bg1">
                  <a:lumMod val="85000"/>
                </a:schemeClr>
              </a:solidFill>
            </a:ln>
          </c:spPr>
        </c:majorGridlines>
        <c:title>
          <c:tx>
            <c:rich>
              <a:bodyPr rot="-5400000" vert="horz"/>
              <a:lstStyle/>
              <a:p>
                <a:pPr>
                  <a:defRPr>
                    <a:solidFill>
                      <a:schemeClr val="bg1">
                        <a:lumMod val="50000"/>
                      </a:schemeClr>
                    </a:solidFill>
                  </a:defRPr>
                </a:pPr>
                <a:r>
                  <a:rPr lang="en-NZ">
                    <a:solidFill>
                      <a:schemeClr val="bg1">
                        <a:lumMod val="50000"/>
                      </a:schemeClr>
                    </a:solidFill>
                  </a:rPr>
                  <a:t>Percentage</a:t>
                </a:r>
              </a:p>
            </c:rich>
          </c:tx>
          <c:layout>
            <c:manualLayout>
              <c:xMode val="edge"/>
              <c:yMode val="edge"/>
              <c:x val="1.7883752790522581E-2"/>
              <c:y val="0.10269976035604245"/>
            </c:manualLayout>
          </c:layout>
          <c:overlay val="0"/>
        </c:title>
        <c:numFmt formatCode="#,##0" sourceLinked="0"/>
        <c:majorTickMark val="none"/>
        <c:minorTickMark val="none"/>
        <c:tickLblPos val="nextTo"/>
        <c:spPr>
          <a:ln>
            <a:noFill/>
          </a:ln>
        </c:spPr>
        <c:txPr>
          <a:bodyPr/>
          <a:lstStyle/>
          <a:p>
            <a:pPr>
              <a:defRPr sz="900">
                <a:solidFill>
                  <a:schemeClr val="bg1">
                    <a:lumMod val="50000"/>
                  </a:schemeClr>
                </a:solidFill>
              </a:defRPr>
            </a:pPr>
            <a:endParaRPr lang="en-US"/>
          </a:p>
        </c:txPr>
        <c:crossAx val="123561472"/>
        <c:crosses val="autoZero"/>
        <c:crossBetween val="between"/>
        <c:majorUnit val="25"/>
        <c:minorUnit val="1"/>
      </c:valAx>
    </c:plotArea>
    <c:legend>
      <c:legendPos val="b"/>
      <c:layout/>
      <c:overlay val="0"/>
      <c:txPr>
        <a:bodyPr/>
        <a:lstStyle/>
        <a:p>
          <a:pPr>
            <a:defRPr sz="900" b="1"/>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chemeClr val="accent5">
                    <a:lumMod val="75000"/>
                  </a:schemeClr>
                </a:solidFill>
              </a:defRPr>
            </a:pPr>
            <a:r>
              <a:rPr lang="en-NZ" sz="1400" b="0">
                <a:solidFill>
                  <a:schemeClr val="accent5">
                    <a:lumMod val="75000"/>
                  </a:schemeClr>
                </a:solidFill>
                <a:latin typeface="+mn-lt"/>
              </a:rPr>
              <a:t>Key Service Measures</a:t>
            </a:r>
          </a:p>
        </c:rich>
      </c:tx>
      <c:layout/>
      <c:overlay val="0"/>
    </c:title>
    <c:autoTitleDeleted val="0"/>
    <c:plotArea>
      <c:layout/>
      <c:barChart>
        <c:barDir val="col"/>
        <c:grouping val="clustered"/>
        <c:varyColors val="0"/>
        <c:ser>
          <c:idx val="0"/>
          <c:order val="0"/>
          <c:tx>
            <c:strRef>
              <c:f>'Key Ser Measures'!$I$8</c:f>
              <c:strCache>
                <c:ptCount val="1"/>
                <c:pt idx="0">
                  <c:v>2012-13</c:v>
                </c:pt>
              </c:strCache>
            </c:strRef>
          </c:tx>
          <c:spPr>
            <a:solidFill>
              <a:srgbClr val="7BC7CE">
                <a:lumMod val="75000"/>
              </a:srgbClr>
            </a:solidFill>
          </c:spPr>
          <c:invertIfNegative val="0"/>
          <c:dLbls>
            <c:dLbl>
              <c:idx val="0"/>
              <c:layout>
                <c:manualLayout>
                  <c:x val="0"/>
                  <c:y val="1.3020833333333334E-2"/>
                </c:manualLayout>
              </c:layout>
              <c:showLegendKey val="0"/>
              <c:showVal val="1"/>
              <c:showCatName val="0"/>
              <c:showSerName val="0"/>
              <c:showPercent val="0"/>
              <c:showBubbleSize val="0"/>
            </c:dLbl>
            <c:dLbl>
              <c:idx val="1"/>
              <c:layout>
                <c:manualLayout>
                  <c:x val="0"/>
                  <c:y val="2.1701388888888888E-2"/>
                </c:manualLayout>
              </c:layout>
              <c:showLegendKey val="0"/>
              <c:showVal val="1"/>
              <c:showCatName val="0"/>
              <c:showSerName val="0"/>
              <c:showPercent val="0"/>
              <c:showBubbleSize val="0"/>
            </c:dLbl>
            <c:dLbl>
              <c:idx val="2"/>
              <c:layout>
                <c:manualLayout>
                  <c:x val="0"/>
                  <c:y val="2.1701388888888888E-2"/>
                </c:manualLayout>
              </c:layout>
              <c:showLegendKey val="0"/>
              <c:showVal val="1"/>
              <c:showCatName val="0"/>
              <c:showSerName val="0"/>
              <c:showPercent val="0"/>
              <c:showBubbleSize val="0"/>
            </c:dLbl>
            <c:txPr>
              <a:bodyPr/>
              <a:lstStyle/>
              <a:p>
                <a:pPr>
                  <a:defRPr sz="900">
                    <a:solidFill>
                      <a:schemeClr val="tx1">
                        <a:lumMod val="85000"/>
                        <a:lumOff val="15000"/>
                      </a:schemeClr>
                    </a:solidFill>
                  </a:defRPr>
                </a:pPr>
                <a:endParaRPr lang="en-US"/>
              </a:p>
            </c:txPr>
            <c:showLegendKey val="0"/>
            <c:showVal val="1"/>
            <c:showCatName val="0"/>
            <c:showSerName val="0"/>
            <c:showPercent val="0"/>
            <c:showBubbleSize val="0"/>
            <c:showLeaderLines val="0"/>
          </c:dLbls>
          <c:cat>
            <c:strRef>
              <c:f>'Key Ser Measures'!$H$9:$H$13</c:f>
              <c:strCache>
                <c:ptCount val="5"/>
                <c:pt idx="0">
                  <c:v>Staff were competent</c:v>
                </c:pt>
                <c:pt idx="1">
                  <c:v>Staff did what they said they would do</c:v>
                </c:pt>
                <c:pt idx="2">
                  <c:v>I was treaded fairly</c:v>
                </c:pt>
                <c:pt idx="3">
                  <c:v>Individual circumstances taken into account</c:v>
                </c:pt>
                <c:pt idx="4">
                  <c:v>It's an example of good value for tax dollars spent</c:v>
                </c:pt>
              </c:strCache>
            </c:strRef>
          </c:cat>
          <c:val>
            <c:numRef>
              <c:f>'Key Ser Measures'!$I$9:$I$13</c:f>
              <c:numCache>
                <c:formatCode>0</c:formatCode>
                <c:ptCount val="5"/>
                <c:pt idx="0">
                  <c:v>90.843023255813947</c:v>
                </c:pt>
                <c:pt idx="1">
                  <c:v>92.313377679231337</c:v>
                </c:pt>
                <c:pt idx="2">
                  <c:v>93.708851499634235</c:v>
                </c:pt>
                <c:pt idx="3">
                  <c:v>84.83455882352942</c:v>
                </c:pt>
                <c:pt idx="4">
                  <c:v>78.559463986599667</c:v>
                </c:pt>
              </c:numCache>
            </c:numRef>
          </c:val>
        </c:ser>
        <c:ser>
          <c:idx val="1"/>
          <c:order val="1"/>
          <c:tx>
            <c:strRef>
              <c:f>'Key Ser Measures'!$J$8</c:f>
              <c:strCache>
                <c:ptCount val="1"/>
                <c:pt idx="0">
                  <c:v>2013-14</c:v>
                </c:pt>
              </c:strCache>
            </c:strRef>
          </c:tx>
          <c:spPr>
            <a:solidFill>
              <a:schemeClr val="accent5">
                <a:lumMod val="50000"/>
              </a:schemeClr>
            </a:solidFill>
          </c:spPr>
          <c:invertIfNegative val="0"/>
          <c:dLbls>
            <c:dLbl>
              <c:idx val="0"/>
              <c:layout>
                <c:manualLayout>
                  <c:x val="0"/>
                  <c:y val="1.3020833333333353E-2"/>
                </c:manualLayout>
              </c:layout>
              <c:showLegendKey val="0"/>
              <c:showVal val="1"/>
              <c:showCatName val="0"/>
              <c:showSerName val="0"/>
              <c:showPercent val="0"/>
              <c:showBubbleSize val="0"/>
            </c:dLbl>
            <c:dLbl>
              <c:idx val="1"/>
              <c:layout>
                <c:manualLayout>
                  <c:x val="0"/>
                  <c:y val="1.3020833333333334E-2"/>
                </c:manualLayout>
              </c:layout>
              <c:showLegendKey val="0"/>
              <c:showVal val="1"/>
              <c:showCatName val="0"/>
              <c:showSerName val="0"/>
              <c:showPercent val="0"/>
              <c:showBubbleSize val="0"/>
            </c:dLbl>
            <c:dLbl>
              <c:idx val="2"/>
              <c:layout>
                <c:manualLayout>
                  <c:x val="0"/>
                  <c:y val="1.7361111111111112E-2"/>
                </c:manualLayout>
              </c:layout>
              <c:showLegendKey val="0"/>
              <c:showVal val="1"/>
              <c:showCatName val="0"/>
              <c:showSerName val="0"/>
              <c:showPercent val="0"/>
              <c:showBubbleSize val="0"/>
            </c:dLbl>
            <c:txPr>
              <a:bodyPr/>
              <a:lstStyle/>
              <a:p>
                <a:pPr>
                  <a:defRPr sz="900">
                    <a:solidFill>
                      <a:schemeClr val="tx1">
                        <a:lumMod val="85000"/>
                        <a:lumOff val="15000"/>
                      </a:schemeClr>
                    </a:solidFill>
                  </a:defRPr>
                </a:pPr>
                <a:endParaRPr lang="en-US"/>
              </a:p>
            </c:txPr>
            <c:showLegendKey val="0"/>
            <c:showVal val="1"/>
            <c:showCatName val="0"/>
            <c:showSerName val="0"/>
            <c:showPercent val="0"/>
            <c:showBubbleSize val="0"/>
            <c:showLeaderLines val="0"/>
          </c:dLbls>
          <c:cat>
            <c:strRef>
              <c:f>'Key Ser Measures'!$H$9:$H$13</c:f>
              <c:strCache>
                <c:ptCount val="5"/>
                <c:pt idx="0">
                  <c:v>Staff were competent</c:v>
                </c:pt>
                <c:pt idx="1">
                  <c:v>Staff did what they said they would do</c:v>
                </c:pt>
                <c:pt idx="2">
                  <c:v>I was treaded fairly</c:v>
                </c:pt>
                <c:pt idx="3">
                  <c:v>Individual circumstances taken into account</c:v>
                </c:pt>
                <c:pt idx="4">
                  <c:v>It's an example of good value for tax dollars spent</c:v>
                </c:pt>
              </c:strCache>
            </c:strRef>
          </c:cat>
          <c:val>
            <c:numRef>
              <c:f>'Key Ser Measures'!$J$9:$J$13</c:f>
              <c:numCache>
                <c:formatCode>0</c:formatCode>
                <c:ptCount val="5"/>
                <c:pt idx="0">
                  <c:v>90.285273708558208</c:v>
                </c:pt>
                <c:pt idx="1">
                  <c:v>91.830322073841316</c:v>
                </c:pt>
                <c:pt idx="2">
                  <c:v>93.798449612403104</c:v>
                </c:pt>
                <c:pt idx="3">
                  <c:v>84.491978609625676</c:v>
                </c:pt>
                <c:pt idx="4">
                  <c:v>78.350515463917532</c:v>
                </c:pt>
              </c:numCache>
            </c:numRef>
          </c:val>
        </c:ser>
        <c:ser>
          <c:idx val="2"/>
          <c:order val="2"/>
          <c:tx>
            <c:strRef>
              <c:f>'Key Ser Measures'!$K$8</c:f>
              <c:strCache>
                <c:ptCount val="1"/>
                <c:pt idx="0">
                  <c:v>2014-15</c:v>
                </c:pt>
              </c:strCache>
            </c:strRef>
          </c:tx>
          <c:spPr>
            <a:solidFill>
              <a:srgbClr val="7BC7CE">
                <a:lumMod val="40000"/>
                <a:lumOff val="60000"/>
              </a:srgbClr>
            </a:solidFill>
            <a:ln>
              <a:solidFill>
                <a:srgbClr val="7BC7CE">
                  <a:lumMod val="75000"/>
                </a:srgbClr>
              </a:solidFill>
            </a:ln>
          </c:spPr>
          <c:invertIfNegative val="0"/>
          <c:dLbls>
            <c:dLbl>
              <c:idx val="0"/>
              <c:layout>
                <c:manualLayout>
                  <c:x val="0"/>
                  <c:y val="1.3020833333333353E-2"/>
                </c:manualLayout>
              </c:layout>
              <c:showLegendKey val="0"/>
              <c:showVal val="1"/>
              <c:showCatName val="0"/>
              <c:showSerName val="0"/>
              <c:showPercent val="0"/>
              <c:showBubbleSize val="0"/>
            </c:dLbl>
            <c:dLbl>
              <c:idx val="1"/>
              <c:layout>
                <c:manualLayout>
                  <c:x val="0"/>
                  <c:y val="2.1701388888888888E-2"/>
                </c:manualLayout>
              </c:layout>
              <c:showLegendKey val="0"/>
              <c:showVal val="1"/>
              <c:showCatName val="0"/>
              <c:showSerName val="0"/>
              <c:showPercent val="0"/>
              <c:showBubbleSize val="0"/>
            </c:dLbl>
            <c:dLbl>
              <c:idx val="2"/>
              <c:layout>
                <c:manualLayout>
                  <c:x val="-2.1353237016223082E-3"/>
                  <c:y val="1.7361111111111112E-2"/>
                </c:manualLayout>
              </c:layout>
              <c:showLegendKey val="0"/>
              <c:showVal val="1"/>
              <c:showCatName val="0"/>
              <c:showSerName val="0"/>
              <c:showPercent val="0"/>
              <c:showBubbleSize val="0"/>
            </c:dLbl>
            <c:txPr>
              <a:bodyPr/>
              <a:lstStyle/>
              <a:p>
                <a:pPr>
                  <a:defRPr sz="900">
                    <a:solidFill>
                      <a:schemeClr val="tx1">
                        <a:lumMod val="85000"/>
                        <a:lumOff val="15000"/>
                      </a:schemeClr>
                    </a:solidFill>
                  </a:defRPr>
                </a:pPr>
                <a:endParaRPr lang="en-US"/>
              </a:p>
            </c:txPr>
            <c:showLegendKey val="0"/>
            <c:showVal val="1"/>
            <c:showCatName val="0"/>
            <c:showSerName val="0"/>
            <c:showPercent val="0"/>
            <c:showBubbleSize val="0"/>
            <c:showLeaderLines val="0"/>
          </c:dLbls>
          <c:cat>
            <c:strRef>
              <c:f>'Key Ser Measures'!$H$9:$H$13</c:f>
              <c:strCache>
                <c:ptCount val="5"/>
                <c:pt idx="0">
                  <c:v>Staff were competent</c:v>
                </c:pt>
                <c:pt idx="1">
                  <c:v>Staff did what they said they would do</c:v>
                </c:pt>
                <c:pt idx="2">
                  <c:v>I was treaded fairly</c:v>
                </c:pt>
                <c:pt idx="3">
                  <c:v>Individual circumstances taken into account</c:v>
                </c:pt>
                <c:pt idx="4">
                  <c:v>It's an example of good value for tax dollars spent</c:v>
                </c:pt>
              </c:strCache>
            </c:strRef>
          </c:cat>
          <c:val>
            <c:numRef>
              <c:f>'Key Ser Measures'!$K$9:$K$13</c:f>
              <c:numCache>
                <c:formatCode>0</c:formatCode>
                <c:ptCount val="5"/>
                <c:pt idx="0">
                  <c:v>91.262798634812299</c:v>
                </c:pt>
                <c:pt idx="1">
                  <c:v>93.2085932085932</c:v>
                </c:pt>
                <c:pt idx="2">
                  <c:v>94.174091843728576</c:v>
                </c:pt>
                <c:pt idx="3">
                  <c:v>84.507622579316035</c:v>
                </c:pt>
                <c:pt idx="4">
                  <c:v>79.802581624905088</c:v>
                </c:pt>
              </c:numCache>
            </c:numRef>
          </c:val>
        </c:ser>
        <c:dLbls>
          <c:showLegendKey val="0"/>
          <c:showVal val="0"/>
          <c:showCatName val="0"/>
          <c:showSerName val="0"/>
          <c:showPercent val="0"/>
          <c:showBubbleSize val="0"/>
        </c:dLbls>
        <c:gapWidth val="163"/>
        <c:overlap val="-17"/>
        <c:axId val="147713024"/>
        <c:axId val="158761728"/>
      </c:barChart>
      <c:catAx>
        <c:axId val="147713024"/>
        <c:scaling>
          <c:orientation val="minMax"/>
        </c:scaling>
        <c:delete val="0"/>
        <c:axPos val="b"/>
        <c:majorTickMark val="none"/>
        <c:minorTickMark val="none"/>
        <c:tickLblPos val="nextTo"/>
        <c:txPr>
          <a:bodyPr/>
          <a:lstStyle/>
          <a:p>
            <a:pPr>
              <a:defRPr sz="900">
                <a:solidFill>
                  <a:schemeClr val="tx1">
                    <a:lumMod val="50000"/>
                    <a:lumOff val="50000"/>
                  </a:schemeClr>
                </a:solidFill>
                <a:latin typeface="+mn-lt"/>
              </a:defRPr>
            </a:pPr>
            <a:endParaRPr lang="en-US"/>
          </a:p>
        </c:txPr>
        <c:crossAx val="158761728"/>
        <c:crosses val="autoZero"/>
        <c:auto val="1"/>
        <c:lblAlgn val="ctr"/>
        <c:lblOffset val="100"/>
        <c:noMultiLvlLbl val="0"/>
      </c:catAx>
      <c:valAx>
        <c:axId val="158761728"/>
        <c:scaling>
          <c:orientation val="minMax"/>
        </c:scaling>
        <c:delete val="0"/>
        <c:axPos val="l"/>
        <c:majorGridlines>
          <c:spPr>
            <a:ln w="19050">
              <a:solidFill>
                <a:schemeClr val="bg1">
                  <a:lumMod val="85000"/>
                </a:schemeClr>
              </a:solidFill>
            </a:ln>
          </c:spPr>
        </c:majorGridlines>
        <c:title>
          <c:tx>
            <c:rich>
              <a:bodyPr rot="-5400000" vert="horz"/>
              <a:lstStyle/>
              <a:p>
                <a:pPr>
                  <a:defRPr>
                    <a:solidFill>
                      <a:schemeClr val="bg1">
                        <a:lumMod val="50000"/>
                      </a:schemeClr>
                    </a:solidFill>
                  </a:defRPr>
                </a:pPr>
                <a:r>
                  <a:rPr lang="en-NZ">
                    <a:solidFill>
                      <a:schemeClr val="bg1">
                        <a:lumMod val="50000"/>
                      </a:schemeClr>
                    </a:solidFill>
                  </a:rPr>
                  <a:t>Percentage</a:t>
                </a:r>
              </a:p>
            </c:rich>
          </c:tx>
          <c:layout>
            <c:manualLayout>
              <c:xMode val="edge"/>
              <c:yMode val="edge"/>
              <c:x val="1.7883752790522581E-2"/>
              <c:y val="0.10269976035604245"/>
            </c:manualLayout>
          </c:layout>
          <c:overlay val="0"/>
        </c:title>
        <c:numFmt formatCode="#,##0" sourceLinked="0"/>
        <c:majorTickMark val="none"/>
        <c:minorTickMark val="none"/>
        <c:tickLblPos val="nextTo"/>
        <c:spPr>
          <a:ln>
            <a:noFill/>
          </a:ln>
        </c:spPr>
        <c:txPr>
          <a:bodyPr/>
          <a:lstStyle/>
          <a:p>
            <a:pPr>
              <a:defRPr sz="900">
                <a:solidFill>
                  <a:schemeClr val="bg1">
                    <a:lumMod val="50000"/>
                  </a:schemeClr>
                </a:solidFill>
              </a:defRPr>
            </a:pPr>
            <a:endParaRPr lang="en-US"/>
          </a:p>
        </c:txPr>
        <c:crossAx val="147713024"/>
        <c:crosses val="autoZero"/>
        <c:crossBetween val="between"/>
        <c:majorUnit val="25"/>
      </c:valAx>
    </c:plotArea>
    <c:legend>
      <c:legendPos val="b"/>
      <c:layout/>
      <c:overlay val="0"/>
      <c:txPr>
        <a:bodyPr/>
        <a:lstStyle/>
        <a:p>
          <a:pPr>
            <a:defRPr sz="900" b="1"/>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pPr>
            <a:r>
              <a:rPr lang="en-NZ" sz="1400" b="0">
                <a:solidFill>
                  <a:schemeClr val="accent5"/>
                </a:solidFill>
                <a:latin typeface="+mn-lt"/>
              </a:rPr>
              <a:t>Trust and Confidence</a:t>
            </a:r>
          </a:p>
        </c:rich>
      </c:tx>
      <c:layout>
        <c:manualLayout>
          <c:xMode val="edge"/>
          <c:yMode val="edge"/>
          <c:x val="0.38403711291297926"/>
          <c:y val="1.7391304347826087E-2"/>
        </c:manualLayout>
      </c:layout>
      <c:overlay val="0"/>
    </c:title>
    <c:autoTitleDeleted val="0"/>
    <c:plotArea>
      <c:layout>
        <c:manualLayout>
          <c:layoutTarget val="inner"/>
          <c:xMode val="edge"/>
          <c:yMode val="edge"/>
          <c:x val="0.10802383411891063"/>
          <c:y val="0.16974828375286041"/>
          <c:w val="0.86808389828769228"/>
          <c:h val="0.56918322852664016"/>
        </c:manualLayout>
      </c:layout>
      <c:barChart>
        <c:barDir val="col"/>
        <c:grouping val="clustered"/>
        <c:varyColors val="0"/>
        <c:ser>
          <c:idx val="0"/>
          <c:order val="0"/>
          <c:tx>
            <c:strRef>
              <c:f>'Key Ser Measures'!$N$73</c:f>
              <c:strCache>
                <c:ptCount val="1"/>
                <c:pt idx="0">
                  <c:v>2012-13</c:v>
                </c:pt>
              </c:strCache>
            </c:strRef>
          </c:tx>
          <c:spPr>
            <a:solidFill>
              <a:srgbClr val="7BC7CE">
                <a:lumMod val="75000"/>
              </a:srgbClr>
            </a:solidFill>
          </c:spPr>
          <c:invertIfNegative val="0"/>
          <c:dLbls>
            <c:dLbl>
              <c:idx val="1"/>
              <c:layout>
                <c:manualLayout>
                  <c:x val="0"/>
                  <c:y val="1.3020833333333353E-2"/>
                </c:manualLayout>
              </c:layout>
              <c:showLegendKey val="0"/>
              <c:showVal val="1"/>
              <c:showCatName val="0"/>
              <c:showSerName val="0"/>
              <c:showPercent val="0"/>
              <c:showBubbleSize val="0"/>
            </c:dLbl>
            <c:dLbl>
              <c:idx val="2"/>
              <c:layout>
                <c:manualLayout>
                  <c:x val="-2.1353237016223082E-3"/>
                  <c:y val="2.1701388888888909E-2"/>
                </c:manualLayout>
              </c:layout>
              <c:showLegendKey val="0"/>
              <c:showVal val="1"/>
              <c:showCatName val="0"/>
              <c:showSerName val="0"/>
              <c:showPercent val="0"/>
              <c:showBubbleSize val="0"/>
            </c:dLbl>
            <c:dLbl>
              <c:idx val="5"/>
              <c:layout>
                <c:manualLayout>
                  <c:x val="0"/>
                  <c:y val="1.3020833333333334E-2"/>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'Key Ser Measures'!$M$74:$M$79</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'Key Ser Measures'!$N$74:$N$79</c:f>
              <c:numCache>
                <c:formatCode>General</c:formatCode>
                <c:ptCount val="6"/>
                <c:pt idx="0">
                  <c:v>91</c:v>
                </c:pt>
                <c:pt idx="1">
                  <c:v>91</c:v>
                </c:pt>
                <c:pt idx="2">
                  <c:v>91</c:v>
                </c:pt>
                <c:pt idx="3">
                  <c:v>84</c:v>
                </c:pt>
                <c:pt idx="4">
                  <c:v>89</c:v>
                </c:pt>
                <c:pt idx="5">
                  <c:v>92</c:v>
                </c:pt>
              </c:numCache>
            </c:numRef>
          </c:val>
        </c:ser>
        <c:ser>
          <c:idx val="1"/>
          <c:order val="1"/>
          <c:tx>
            <c:strRef>
              <c:f>'Key Ser Measures'!$O$73</c:f>
              <c:strCache>
                <c:ptCount val="1"/>
                <c:pt idx="0">
                  <c:v>2013-14</c:v>
                </c:pt>
              </c:strCache>
            </c:strRef>
          </c:tx>
          <c:spPr>
            <a:solidFill>
              <a:schemeClr val="accent5">
                <a:lumMod val="50000"/>
              </a:schemeClr>
            </a:solidFill>
          </c:spPr>
          <c:invertIfNegative val="0"/>
          <c:dLbls>
            <c:dLbl>
              <c:idx val="1"/>
              <c:layout>
                <c:manualLayout>
                  <c:x val="0"/>
                  <c:y val="1.3020833333333334E-2"/>
                </c:manualLayout>
              </c:layout>
              <c:showLegendKey val="0"/>
              <c:showVal val="1"/>
              <c:showCatName val="0"/>
              <c:showSerName val="0"/>
              <c:showPercent val="0"/>
              <c:showBubbleSize val="0"/>
            </c:dLbl>
            <c:dLbl>
              <c:idx val="2"/>
              <c:layout>
                <c:manualLayout>
                  <c:x val="0"/>
                  <c:y val="1.7361111111111112E-2"/>
                </c:manualLayout>
              </c:layout>
              <c:showLegendKey val="0"/>
              <c:showVal val="1"/>
              <c:showCatName val="0"/>
              <c:showSerName val="0"/>
              <c:showPercent val="0"/>
              <c:showBubbleSize val="0"/>
            </c:dLbl>
            <c:dLbl>
              <c:idx val="5"/>
              <c:layout>
                <c:manualLayout>
                  <c:x val="0"/>
                  <c:y val="1.3020833333333353E-2"/>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'Key Ser Measures'!$M$74:$M$79</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'Key Ser Measures'!$O$74:$O$79</c:f>
              <c:numCache>
                <c:formatCode>General</c:formatCode>
                <c:ptCount val="6"/>
                <c:pt idx="0">
                  <c:v>90</c:v>
                </c:pt>
                <c:pt idx="1">
                  <c:v>92</c:v>
                </c:pt>
                <c:pt idx="2">
                  <c:v>90</c:v>
                </c:pt>
                <c:pt idx="3">
                  <c:v>82</c:v>
                </c:pt>
                <c:pt idx="4">
                  <c:v>88</c:v>
                </c:pt>
                <c:pt idx="5">
                  <c:v>91</c:v>
                </c:pt>
              </c:numCache>
            </c:numRef>
          </c:val>
        </c:ser>
        <c:ser>
          <c:idx val="2"/>
          <c:order val="2"/>
          <c:tx>
            <c:strRef>
              <c:f>'Key Ser Measures'!$P$73</c:f>
              <c:strCache>
                <c:ptCount val="1"/>
                <c:pt idx="0">
                  <c:v>2014-15</c:v>
                </c:pt>
              </c:strCache>
            </c:strRef>
          </c:tx>
          <c:spPr>
            <a:solidFill>
              <a:srgbClr val="7BC7CE">
                <a:lumMod val="40000"/>
                <a:lumOff val="60000"/>
              </a:srgbClr>
            </a:solidFill>
            <a:ln>
              <a:solidFill>
                <a:srgbClr val="7BC7CE"/>
              </a:solidFill>
            </a:ln>
          </c:spPr>
          <c:invertIfNegative val="0"/>
          <c:dLbls>
            <c:dLbl>
              <c:idx val="1"/>
              <c:layout>
                <c:manualLayout>
                  <c:x val="-2.1353237016222687E-3"/>
                  <c:y val="2.1701388888888888E-2"/>
                </c:manualLayout>
              </c:layout>
              <c:showLegendKey val="0"/>
              <c:showVal val="1"/>
              <c:showCatName val="0"/>
              <c:showSerName val="0"/>
              <c:showPercent val="0"/>
              <c:showBubbleSize val="0"/>
            </c:dLbl>
            <c:dLbl>
              <c:idx val="2"/>
              <c:layout>
                <c:manualLayout>
                  <c:x val="0"/>
                  <c:y val="1.3020833333333334E-2"/>
                </c:manualLayout>
              </c:layout>
              <c:showLegendKey val="0"/>
              <c:showVal val="1"/>
              <c:showCatName val="0"/>
              <c:showSerName val="0"/>
              <c:showPercent val="0"/>
              <c:showBubbleSize val="0"/>
            </c:dLbl>
            <c:dLbl>
              <c:idx val="5"/>
              <c:layout>
                <c:manualLayout>
                  <c:x val="0"/>
                  <c:y val="1.7361111111111112E-2"/>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'Key Ser Measures'!$M$74:$M$79</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'Key Ser Measures'!$P$74:$P$79</c:f>
              <c:numCache>
                <c:formatCode>General</c:formatCode>
                <c:ptCount val="6"/>
                <c:pt idx="0">
                  <c:v>91</c:v>
                </c:pt>
                <c:pt idx="1">
                  <c:v>94</c:v>
                </c:pt>
                <c:pt idx="2">
                  <c:v>92</c:v>
                </c:pt>
                <c:pt idx="3">
                  <c:v>83</c:v>
                </c:pt>
                <c:pt idx="4">
                  <c:v>89</c:v>
                </c:pt>
                <c:pt idx="5">
                  <c:v>90</c:v>
                </c:pt>
              </c:numCache>
            </c:numRef>
          </c:val>
        </c:ser>
        <c:dLbls>
          <c:showLegendKey val="0"/>
          <c:showVal val="0"/>
          <c:showCatName val="0"/>
          <c:showSerName val="0"/>
          <c:showPercent val="0"/>
          <c:showBubbleSize val="0"/>
        </c:dLbls>
        <c:gapWidth val="163"/>
        <c:overlap val="-17"/>
        <c:axId val="178323456"/>
        <c:axId val="178324992"/>
      </c:barChart>
      <c:catAx>
        <c:axId val="178323456"/>
        <c:scaling>
          <c:orientation val="minMax"/>
        </c:scaling>
        <c:delete val="0"/>
        <c:axPos val="b"/>
        <c:majorTickMark val="none"/>
        <c:minorTickMark val="none"/>
        <c:tickLblPos val="nextTo"/>
        <c:txPr>
          <a:bodyPr/>
          <a:lstStyle/>
          <a:p>
            <a:pPr>
              <a:defRPr sz="900">
                <a:solidFill>
                  <a:schemeClr val="tx1">
                    <a:lumMod val="50000"/>
                    <a:lumOff val="50000"/>
                  </a:schemeClr>
                </a:solidFill>
                <a:latin typeface="+mn-lt"/>
              </a:defRPr>
            </a:pPr>
            <a:endParaRPr lang="en-US"/>
          </a:p>
        </c:txPr>
        <c:crossAx val="178324992"/>
        <c:crosses val="autoZero"/>
        <c:auto val="1"/>
        <c:lblAlgn val="ctr"/>
        <c:lblOffset val="100"/>
        <c:noMultiLvlLbl val="0"/>
      </c:catAx>
      <c:valAx>
        <c:axId val="178324992"/>
        <c:scaling>
          <c:orientation val="minMax"/>
          <c:max val="100"/>
          <c:min val="0"/>
        </c:scaling>
        <c:delete val="0"/>
        <c:axPos val="l"/>
        <c:majorGridlines>
          <c:spPr>
            <a:ln w="19050">
              <a:solidFill>
                <a:srgbClr val="FFFFFF">
                  <a:lumMod val="85000"/>
                </a:srgbClr>
              </a:solidFill>
            </a:ln>
          </c:spPr>
        </c:majorGridlines>
        <c:title>
          <c:tx>
            <c:rich>
              <a:bodyPr rot="-5400000" vert="horz"/>
              <a:lstStyle/>
              <a:p>
                <a:pPr>
                  <a:defRPr>
                    <a:solidFill>
                      <a:schemeClr val="bg1">
                        <a:lumMod val="50000"/>
                      </a:schemeClr>
                    </a:solidFill>
                  </a:defRPr>
                </a:pPr>
                <a:r>
                  <a:rPr lang="en-NZ">
                    <a:solidFill>
                      <a:schemeClr val="bg1">
                        <a:lumMod val="50000"/>
                      </a:schemeClr>
                    </a:solidFill>
                  </a:rPr>
                  <a:t>Percentage</a:t>
                </a:r>
              </a:p>
            </c:rich>
          </c:tx>
          <c:layout>
            <c:manualLayout>
              <c:xMode val="edge"/>
              <c:yMode val="edge"/>
              <c:x val="1.7883756340398172E-2"/>
              <c:y val="0.13265199921515769"/>
            </c:manualLayout>
          </c:layout>
          <c:overlay val="0"/>
        </c:title>
        <c:numFmt formatCode="#,##0" sourceLinked="0"/>
        <c:majorTickMark val="none"/>
        <c:minorTickMark val="none"/>
        <c:tickLblPos val="nextTo"/>
        <c:spPr>
          <a:ln>
            <a:noFill/>
          </a:ln>
        </c:spPr>
        <c:txPr>
          <a:bodyPr/>
          <a:lstStyle/>
          <a:p>
            <a:pPr>
              <a:defRPr sz="900">
                <a:solidFill>
                  <a:schemeClr val="bg1">
                    <a:lumMod val="50000"/>
                  </a:schemeClr>
                </a:solidFill>
              </a:defRPr>
            </a:pPr>
            <a:endParaRPr lang="en-US"/>
          </a:p>
        </c:txPr>
        <c:crossAx val="178323456"/>
        <c:crosses val="autoZero"/>
        <c:crossBetween val="between"/>
        <c:majorUnit val="25"/>
        <c:minorUnit val="1"/>
      </c:valAx>
    </c:plotArea>
    <c:legend>
      <c:legendPos val="b"/>
      <c:layout/>
      <c:overlay val="0"/>
      <c:txPr>
        <a:bodyPr/>
        <a:lstStyle/>
        <a:p>
          <a:pPr>
            <a:defRPr sz="900" b="1">
              <a:solidFill>
                <a:schemeClr val="tx1">
                  <a:lumMod val="75000"/>
                  <a:lumOff val="25000"/>
                </a:schemeClr>
              </a:solidFill>
            </a:defRPr>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chemeClr val="accent5"/>
                </a:solidFill>
              </a:defRPr>
            </a:pPr>
            <a:r>
              <a:rPr lang="en-NZ" sz="1400" b="0" i="0" baseline="0">
                <a:solidFill>
                  <a:schemeClr val="accent5"/>
                </a:solidFill>
                <a:effectLst/>
              </a:rPr>
              <a:t>Ease of doing business with SDO</a:t>
            </a:r>
            <a:endParaRPr lang="en-NZ" sz="1400">
              <a:solidFill>
                <a:schemeClr val="accent5"/>
              </a:solidFill>
              <a:effectLst/>
            </a:endParaRPr>
          </a:p>
        </c:rich>
      </c:tx>
      <c:layout/>
      <c:overlay val="0"/>
    </c:title>
    <c:autoTitleDeleted val="0"/>
    <c:plotArea>
      <c:layout>
        <c:manualLayout>
          <c:layoutTarget val="inner"/>
          <c:xMode val="edge"/>
          <c:yMode val="edge"/>
          <c:x val="0.10802383411891063"/>
          <c:y val="0.17323680523120039"/>
          <c:w val="0.86591187396101987"/>
          <c:h val="0.56032945087842534"/>
        </c:manualLayout>
      </c:layout>
      <c:barChart>
        <c:barDir val="col"/>
        <c:grouping val="stacked"/>
        <c:varyColors val="0"/>
        <c:ser>
          <c:idx val="0"/>
          <c:order val="0"/>
          <c:tx>
            <c:strRef>
              <c:f>'Ease of doing bus'!$B$1</c:f>
              <c:strCache>
                <c:ptCount val="1"/>
                <c:pt idx="0">
                  <c:v>Easy</c:v>
                </c:pt>
              </c:strCache>
            </c:strRef>
          </c:tx>
          <c:spPr>
            <a:solidFill>
              <a:schemeClr val="accent5">
                <a:lumMod val="50000"/>
              </a:schemeClr>
            </a:solidFill>
          </c:spPr>
          <c:invertIfNegative val="0"/>
          <c:dLbls>
            <c:txPr>
              <a:bodyPr/>
              <a:lstStyle/>
              <a:p>
                <a:pPr>
                  <a:defRPr sz="900">
                    <a:solidFill>
                      <a:schemeClr val="bg1"/>
                    </a:solidFill>
                  </a:defRPr>
                </a:pPr>
                <a:endParaRPr lang="en-US"/>
              </a:p>
            </c:txPr>
            <c:dLblPos val="ctr"/>
            <c:showLegendKey val="0"/>
            <c:showVal val="1"/>
            <c:showCatName val="0"/>
            <c:showSerName val="0"/>
            <c:showPercent val="0"/>
            <c:showBubbleSize val="0"/>
            <c:showLeaderLines val="0"/>
          </c:dLbls>
          <c:cat>
            <c:strRef>
              <c:f>'Ease of doing bus'!$A$2:$A$7</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'Ease of doing bus'!$B$2:$B$7</c:f>
              <c:numCache>
                <c:formatCode>General</c:formatCode>
                <c:ptCount val="6"/>
                <c:pt idx="0">
                  <c:v>86</c:v>
                </c:pt>
                <c:pt idx="1">
                  <c:v>86</c:v>
                </c:pt>
                <c:pt idx="2">
                  <c:v>87</c:v>
                </c:pt>
                <c:pt idx="3">
                  <c:v>66</c:v>
                </c:pt>
                <c:pt idx="4">
                  <c:v>75</c:v>
                </c:pt>
                <c:pt idx="5">
                  <c:v>86</c:v>
                </c:pt>
              </c:numCache>
            </c:numRef>
          </c:val>
        </c:ser>
        <c:ser>
          <c:idx val="1"/>
          <c:order val="1"/>
          <c:tx>
            <c:strRef>
              <c:f>'Ease of doing bus'!$C$1</c:f>
              <c:strCache>
                <c:ptCount val="1"/>
                <c:pt idx="0">
                  <c:v>Moderately easy </c:v>
                </c:pt>
              </c:strCache>
            </c:strRef>
          </c:tx>
          <c:spPr>
            <a:solidFill>
              <a:srgbClr val="7BC7CE">
                <a:lumMod val="75000"/>
              </a:srgbClr>
            </a:solidFill>
          </c:spPr>
          <c:invertIfNegative val="0"/>
          <c:dLbls>
            <c:txPr>
              <a:bodyPr/>
              <a:lstStyle/>
              <a:p>
                <a:pPr>
                  <a:defRPr sz="900">
                    <a:solidFill>
                      <a:schemeClr val="bg1"/>
                    </a:solidFill>
                  </a:defRPr>
                </a:pPr>
                <a:endParaRPr lang="en-US"/>
              </a:p>
            </c:txPr>
            <c:dLblPos val="ctr"/>
            <c:showLegendKey val="0"/>
            <c:showVal val="1"/>
            <c:showCatName val="0"/>
            <c:showSerName val="0"/>
            <c:showPercent val="0"/>
            <c:showBubbleSize val="0"/>
            <c:showLeaderLines val="0"/>
          </c:dLbls>
          <c:cat>
            <c:strRef>
              <c:f>'Ease of doing bus'!$A$2:$A$7</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'Ease of doing bus'!$C$2:$C$7</c:f>
              <c:numCache>
                <c:formatCode>General</c:formatCode>
                <c:ptCount val="6"/>
                <c:pt idx="0">
                  <c:v>10</c:v>
                </c:pt>
                <c:pt idx="1">
                  <c:v>12</c:v>
                </c:pt>
                <c:pt idx="2">
                  <c:v>10</c:v>
                </c:pt>
                <c:pt idx="3">
                  <c:v>24</c:v>
                </c:pt>
                <c:pt idx="4">
                  <c:v>19</c:v>
                </c:pt>
                <c:pt idx="5">
                  <c:v>10</c:v>
                </c:pt>
              </c:numCache>
            </c:numRef>
          </c:val>
        </c:ser>
        <c:ser>
          <c:idx val="2"/>
          <c:order val="2"/>
          <c:tx>
            <c:strRef>
              <c:f>'Ease of doing bus'!$D$1</c:f>
              <c:strCache>
                <c:ptCount val="1"/>
                <c:pt idx="0">
                  <c:v>Not easy</c:v>
                </c:pt>
              </c:strCache>
            </c:strRef>
          </c:tx>
          <c:spPr>
            <a:solidFill>
              <a:srgbClr val="7BC7CE">
                <a:lumMod val="40000"/>
                <a:lumOff val="60000"/>
              </a:srgbClr>
            </a:solidFill>
            <a:ln>
              <a:solidFill>
                <a:srgbClr val="7BC7CE"/>
              </a:solidFill>
            </a:ln>
          </c:spPr>
          <c:invertIfNegative val="0"/>
          <c:dLbls>
            <c:txPr>
              <a:bodyPr/>
              <a:lstStyle/>
              <a:p>
                <a:pPr>
                  <a:defRPr sz="900"/>
                </a:pPr>
                <a:endParaRPr lang="en-US"/>
              </a:p>
            </c:txPr>
            <c:dLblPos val="ctr"/>
            <c:showLegendKey val="0"/>
            <c:showVal val="1"/>
            <c:showCatName val="0"/>
            <c:showSerName val="0"/>
            <c:showPercent val="0"/>
            <c:showBubbleSize val="0"/>
            <c:showLeaderLines val="0"/>
          </c:dLbls>
          <c:cat>
            <c:strRef>
              <c:f>'Ease of doing bus'!$A$2:$A$7</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'Ease of doing bus'!$D$2:$D$7</c:f>
              <c:numCache>
                <c:formatCode>General</c:formatCode>
                <c:ptCount val="6"/>
                <c:pt idx="0">
                  <c:v>4</c:v>
                </c:pt>
                <c:pt idx="1">
                  <c:v>3</c:v>
                </c:pt>
                <c:pt idx="2">
                  <c:v>3</c:v>
                </c:pt>
                <c:pt idx="3">
                  <c:v>10</c:v>
                </c:pt>
                <c:pt idx="4">
                  <c:v>6</c:v>
                </c:pt>
                <c:pt idx="5">
                  <c:v>4</c:v>
                </c:pt>
              </c:numCache>
            </c:numRef>
          </c:val>
        </c:ser>
        <c:dLbls>
          <c:showLegendKey val="0"/>
          <c:showVal val="0"/>
          <c:showCatName val="0"/>
          <c:showSerName val="0"/>
          <c:showPercent val="0"/>
          <c:showBubbleSize val="0"/>
        </c:dLbls>
        <c:gapWidth val="150"/>
        <c:overlap val="100"/>
        <c:axId val="195048192"/>
        <c:axId val="195049728"/>
      </c:barChart>
      <c:catAx>
        <c:axId val="195048192"/>
        <c:scaling>
          <c:orientation val="minMax"/>
        </c:scaling>
        <c:delete val="0"/>
        <c:axPos val="b"/>
        <c:majorTickMark val="out"/>
        <c:minorTickMark val="none"/>
        <c:tickLblPos val="nextTo"/>
        <c:txPr>
          <a:bodyPr/>
          <a:lstStyle/>
          <a:p>
            <a:pPr>
              <a:defRPr sz="900">
                <a:solidFill>
                  <a:schemeClr val="tx1">
                    <a:lumMod val="65000"/>
                    <a:lumOff val="35000"/>
                  </a:schemeClr>
                </a:solidFill>
              </a:defRPr>
            </a:pPr>
            <a:endParaRPr lang="en-US"/>
          </a:p>
        </c:txPr>
        <c:crossAx val="195049728"/>
        <c:crosses val="autoZero"/>
        <c:auto val="1"/>
        <c:lblAlgn val="ctr"/>
        <c:lblOffset val="100"/>
        <c:noMultiLvlLbl val="0"/>
      </c:catAx>
      <c:valAx>
        <c:axId val="195049728"/>
        <c:scaling>
          <c:orientation val="minMax"/>
          <c:max val="100"/>
        </c:scaling>
        <c:delete val="0"/>
        <c:axPos val="l"/>
        <c:majorGridlines>
          <c:spPr>
            <a:ln w="19050">
              <a:solidFill>
                <a:srgbClr val="FFFFFF">
                  <a:lumMod val="85000"/>
                </a:srgbClr>
              </a:solidFill>
            </a:ln>
          </c:spPr>
        </c:majorGridlines>
        <c:title>
          <c:tx>
            <c:rich>
              <a:bodyPr rot="-5400000" vert="horz"/>
              <a:lstStyle/>
              <a:p>
                <a:pPr>
                  <a:defRPr/>
                </a:pPr>
                <a:r>
                  <a:rPr lang="en-NZ">
                    <a:solidFill>
                      <a:schemeClr val="bg1">
                        <a:lumMod val="65000"/>
                      </a:schemeClr>
                    </a:solidFill>
                  </a:rPr>
                  <a:t>Percentage</a:t>
                </a:r>
              </a:p>
            </c:rich>
          </c:tx>
          <c:layout>
            <c:manualLayout>
              <c:xMode val="edge"/>
              <c:yMode val="edge"/>
              <c:x val="1.7082589612978465E-2"/>
              <c:y val="0.13559709310869553"/>
            </c:manualLayout>
          </c:layout>
          <c:overlay val="0"/>
        </c:title>
        <c:numFmt formatCode="General" sourceLinked="1"/>
        <c:majorTickMark val="out"/>
        <c:minorTickMark val="none"/>
        <c:tickLblPos val="nextTo"/>
        <c:spPr>
          <a:ln>
            <a:noFill/>
          </a:ln>
        </c:spPr>
        <c:txPr>
          <a:bodyPr/>
          <a:lstStyle/>
          <a:p>
            <a:pPr>
              <a:defRPr sz="900">
                <a:solidFill>
                  <a:schemeClr val="tx1">
                    <a:lumMod val="65000"/>
                    <a:lumOff val="35000"/>
                  </a:schemeClr>
                </a:solidFill>
              </a:defRPr>
            </a:pPr>
            <a:endParaRPr lang="en-US"/>
          </a:p>
        </c:txPr>
        <c:crossAx val="195048192"/>
        <c:crosses val="autoZero"/>
        <c:crossBetween val="between"/>
        <c:majorUnit val="25"/>
      </c:valAx>
    </c:plotArea>
    <c:legend>
      <c:legendPos val="b"/>
      <c:layout>
        <c:manualLayout>
          <c:xMode val="edge"/>
          <c:yMode val="edge"/>
          <c:x val="0.31824432516147916"/>
          <c:y val="0.89891396690780301"/>
          <c:w val="0.36785502895586664"/>
          <c:h val="7.4633924143733529E-2"/>
        </c:manualLayout>
      </c:layout>
      <c:overlay val="0"/>
      <c:txPr>
        <a:bodyPr/>
        <a:lstStyle/>
        <a:p>
          <a:pPr>
            <a:defRPr sz="900">
              <a:solidFill>
                <a:schemeClr val="tx1">
                  <a:lumMod val="65000"/>
                  <a:lumOff val="35000"/>
                </a:schemeClr>
              </a:solidFill>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971A"/>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74C0-9F29-4162-B526-B5B4A770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1233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greenwmi</dc:creator>
  <cp:lastModifiedBy>Thida Seng</cp:lastModifiedBy>
  <cp:revision>10</cp:revision>
  <cp:lastPrinted>2016-01-14T21:39:00Z</cp:lastPrinted>
  <dcterms:created xsi:type="dcterms:W3CDTF">2016-01-11T22:48:00Z</dcterms:created>
  <dcterms:modified xsi:type="dcterms:W3CDTF">2016-01-19T00:55:00Z</dcterms:modified>
</cp:coreProperties>
</file>